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 Works employee handbook — fictional evaluation policy</w:t>
      </w:r>
    </w:p>
    <w:p>
      <w:pPr>
        <w:pStyle w:val="Heading1"/>
      </w:pPr>
      <w:r>
        <w:t>Scope and effective date</w:t>
      </w:r>
    </w:p>
    <w:p>
      <w:r>
        <w:t>This original fictional handbook takes effect on 1 September 2026. It applies to employee employment arrangements at Aster Works in France. It is not legal guidance. The People Operations team owns this policy. Machine credentials are governed separately by the Machine Credential Standard. External consultants have their own contract terms and cannot infer employee entitlements from this handbook.</w:t>
      </w:r>
    </w:p>
    <w:p>
      <w:pPr>
        <w:pStyle w:val="Heading1"/>
      </w:pPr>
      <w:r>
        <w:t>Time away and remote work</w:t>
      </w:r>
    </w:p>
    <w:p>
      <w:r>
        <w:t>Full-time employees receive 25 days of annual leave each calendar year. Public holidays are separate from that allowance. Part-time allowances are pro-rated; this document does not specify any country-specific statutory rules. Managers approve requests in the leave portal. Employees should submit planned leave at least ten working days before the first day away.</w:t>
      </w:r>
    </w:p>
    <w:p>
      <w:r>
        <w:t>Employees may work remotely up to two days per week, with manager approval. Remote days cannot be accumulated or converted into extra annual leave. The office calendar records planned attendance so the team can schedule shared workshops.</w:t>
      </w:r>
    </w:p>
    <w:p>
      <w:pPr>
        <w:pStyle w:val="Heading1"/>
      </w:pPr>
      <w:r>
        <w:t>Employee account security</w:t>
      </w:r>
    </w:p>
    <w:p>
      <w:r>
        <w:t>Employee account passwords rotate every 90 days. This fictional evaluation rule applies only to human employee passwords, not service API keys. Employees use a unique password and a second authentication factor. A suspected compromised password must be reset immediately, without waiting for the scheduled rotation. The security desk handles suspected account compromise.</w:t>
      </w:r>
    </w:p>
    <w:p>
      <w:pPr>
        <w:pStyle w:val="Heading1"/>
      </w:pPr>
      <w:r>
        <w:t>Travel and expense table</w:t>
      </w:r>
    </w:p>
    <w:p>
      <w:r>
        <w:t>Expenses require a receipt and business purpose. Submit claims within 14 calendar days of the trip ending. The listed meal cap includes tax and excludes hotel accommodation. A manager must approve an exception before booking; approvals are recorded with the claim.</w:t>
      </w:r>
    </w:p>
    <w:tbl>
      <w:tblPr>
        <w:tblStyle w:val="TableGrid"/>
        <w:tblW w:type="auto" w:w="0"/>
        <w:tblLook w:firstColumn="1" w:firstRow="1" w:lastColumn="0" w:lastRow="0" w:noHBand="0" w:noVBand="1" w:val="04A0"/>
      </w:tblPr>
      <w:tblGrid>
        <w:gridCol w:w="2880"/>
        <w:gridCol w:w="2880"/>
        <w:gridCol w:w="2880"/>
      </w:tblGrid>
      <w:tr>
        <w:tc>
          <w:tcPr>
            <w:tcW w:type="dxa" w:w="2880"/>
          </w:tcPr>
          <w:p>
            <w:r>
              <w:t>Expense</w:t>
            </w:r>
          </w:p>
        </w:tc>
        <w:tc>
          <w:tcPr>
            <w:tcW w:type="dxa" w:w="2880"/>
          </w:tcPr>
          <w:p>
            <w:r>
              <w:t>Limit</w:t>
            </w:r>
          </w:p>
        </w:tc>
        <w:tc>
          <w:tcPr>
            <w:tcW w:type="dxa" w:w="2880"/>
          </w:tcPr>
          <w:p>
            <w:r>
              <w:t>Context</w:t>
            </w:r>
          </w:p>
        </w:tc>
      </w:tr>
      <w:tr>
        <w:tc>
          <w:tcPr>
            <w:tcW w:type="dxa" w:w="2880"/>
          </w:tcPr>
          <w:p>
            <w:r>
              <w:t>Meals</w:t>
            </w:r>
          </w:p>
        </w:tc>
        <w:tc>
          <w:tcPr>
            <w:tcW w:type="dxa" w:w="2880"/>
          </w:tcPr>
          <w:p>
            <w:r>
              <w:t>EUR 80 per day</w:t>
            </w:r>
          </w:p>
        </w:tc>
        <w:tc>
          <w:tcPr>
            <w:tcW w:type="dxa" w:w="2880"/>
          </w:tcPr>
          <w:p>
            <w:r>
              <w:t>Business travel only</w:t>
            </w:r>
          </w:p>
        </w:tc>
      </w:tr>
      <w:tr>
        <w:tc>
          <w:tcPr>
            <w:tcW w:type="dxa" w:w="2880"/>
          </w:tcPr>
          <w:p>
            <w:r>
              <w:t>Hotel</w:t>
            </w:r>
          </w:p>
        </w:tc>
        <w:tc>
          <w:tcPr>
            <w:tcW w:type="dxa" w:w="2880"/>
          </w:tcPr>
          <w:p>
            <w:r>
              <w:t>EUR 160 per night</w:t>
            </w:r>
          </w:p>
        </w:tc>
        <w:tc>
          <w:tcPr>
            <w:tcW w:type="dxa" w:w="2880"/>
          </w:tcPr>
          <w:p>
            <w:r>
              <w:t>France domestic travel</w:t>
            </w:r>
          </w:p>
        </w:tc>
      </w:tr>
      <w:tr>
        <w:tc>
          <w:tcPr>
            <w:tcW w:type="dxa" w:w="2880"/>
          </w:tcPr>
          <w:p>
            <w:r>
              <w:t>Taxi</w:t>
            </w:r>
          </w:p>
        </w:tc>
        <w:tc>
          <w:tcPr>
            <w:tcW w:type="dxa" w:w="2880"/>
          </w:tcPr>
          <w:p>
            <w:r>
              <w:t>EUR 45 per journey</w:t>
            </w:r>
          </w:p>
        </w:tc>
        <w:tc>
          <w:tcPr>
            <w:tcW w:type="dxa" w:w="2880"/>
          </w:tcPr>
          <w:p>
            <w:r>
              <w:t>Late arrival or accessibility need</w:t>
            </w:r>
          </w:p>
        </w:tc>
      </w:tr>
    </w:tbl>
    <w:p>
      <w:pPr>
        <w:pStyle w:val="Heading1"/>
      </w:pPr>
      <w:r>
        <w:t>Escalation and records</w:t>
      </w:r>
    </w:p>
    <w:p>
      <w:r>
        <w:t>For an employment-policy question, contact People Operations through the people-help channel. Financial reimbursement questions go to finance-help. Security incidents are escalated to the security desk. These destinations serve different purposes; routing a security incident to a leave approval queue will delay response. Policy exceptions are reviewed monthly and expire after their recorded end date. The next handbook review is scheduled for 1 September 2027.</w:t>
      </w:r>
    </w:p>
    <w:p>
      <w:pPr>
        <w:pStyle w:val="Heading2"/>
      </w:pPr>
      <w:r>
        <w:t>Review checklist</w:t>
      </w:r>
    </w:p>
    <w:p>
      <w:pPr>
        <w:pStyle w:val="ListBullet"/>
      </w:pPr>
      <w:r>
        <w:t>Identify the applicable domain before choosing a rule.</w:t>
      </w:r>
    </w:p>
    <w:p>
      <w:pPr>
        <w:pStyle w:val="ListBullet"/>
      </w:pPr>
      <w:r>
        <w:t>Record an exception with its owner and expiry date.</w:t>
      </w:r>
    </w:p>
    <w:p>
      <w:pPr>
        <w:pStyle w:val="ListBullet"/>
      </w:pPr>
      <w:r>
        <w:t>Review the supporting policy before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