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 Works operations runbook — fictional evaluation</w:t>
      </w:r>
    </w:p>
    <w:p>
      <w:pPr>
        <w:pStyle w:val="Heading1"/>
      </w:pPr>
      <w:r>
        <w:t>Scope and service ownership</w:t>
      </w:r>
    </w:p>
    <w:p>
      <w:r>
        <w:t>This original fictional runbook describes the Atlas production service. It applies to operational incidents, backup recovery and planned maintenance. It does not define annual leave or employee password policy. The incident commander owns incident coordination, and the database operator owns restore validation. During an incident, the commander records decisions in the incident timeline.</w:t>
      </w:r>
    </w:p>
    <w:p>
      <w:pPr>
        <w:pStyle w:val="Heading1"/>
      </w:pPr>
      <w:r>
        <w:t>Severity and response</w:t>
      </w:r>
    </w:p>
    <w:p>
      <w:r>
        <w:t>A P1 incident means a complete Atlas production outage or ongoing data loss. A P2 incident means degraded service with a working workaround. Severity is based on customer impact, not the number of alerts received. The acknowledgment target measures the time to confirm ownership, not resolution.</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Acknowledge within</w:t>
            </w:r>
          </w:p>
        </w:tc>
        <w:tc>
          <w:tcPr>
            <w:tcW w:type="dxa" w:w="2880"/>
          </w:tcPr>
          <w:p>
            <w:r>
              <w:t>Update interval</w:t>
            </w:r>
          </w:p>
        </w:tc>
      </w:tr>
      <w:tr>
        <w:tc>
          <w:tcPr>
            <w:tcW w:type="dxa" w:w="2880"/>
          </w:tcPr>
          <w:p>
            <w:r>
              <w:t>P1</w:t>
            </w:r>
          </w:p>
        </w:tc>
        <w:tc>
          <w:tcPr>
            <w:tcW w:type="dxa" w:w="2880"/>
          </w:tcPr>
          <w:p>
            <w:r>
              <w:t>10 minutes</w:t>
            </w:r>
          </w:p>
        </w:tc>
        <w:tc>
          <w:tcPr>
            <w:tcW w:type="dxa" w:w="2880"/>
          </w:tcPr>
          <w:p>
            <w:r>
              <w:t>20 minutes</w:t>
            </w:r>
          </w:p>
        </w:tc>
      </w:tr>
      <w:tr>
        <w:tc>
          <w:tcPr>
            <w:tcW w:type="dxa" w:w="2880"/>
          </w:tcPr>
          <w:p>
            <w:r>
              <w:t>P2</w:t>
            </w:r>
          </w:p>
        </w:tc>
        <w:tc>
          <w:tcPr>
            <w:tcW w:type="dxa" w:w="2880"/>
          </w:tcPr>
          <w:p>
            <w:r>
              <w:t>30 minutes</w:t>
            </w:r>
          </w:p>
        </w:tc>
        <w:tc>
          <w:tcPr>
            <w:tcW w:type="dxa" w:w="2880"/>
          </w:tcPr>
          <w:p>
            <w:r>
              <w:t>60 minutes</w:t>
            </w:r>
          </w:p>
        </w:tc>
      </w:tr>
    </w:tbl>
    <w:p>
      <w:pPr>
        <w:pStyle w:val="Heading1"/>
      </w:pPr>
      <w:r>
        <w:t>Backup and recovery</w:t>
      </w:r>
    </w:p>
    <w:p>
      <w:r>
        <w:t>The Atlas backup recovery point objective (RPO) is 15 minutes. The recovery time objective (RTO) is two hours. RPO measures tolerated data loss in time; RTO measures the target duration to restore service. They are different commitments and must not be merged. Backups are encrypted and the database operator validates a restore in an isolated environment before switching traffic.</w:t>
      </w:r>
    </w:p>
    <w:tbl>
      <w:tblPr>
        <w:tblStyle w:val="TableGrid"/>
        <w:tblW w:type="auto" w:w="0"/>
        <w:tblLook w:firstColumn="1" w:firstRow="1" w:lastColumn="0" w:lastRow="0" w:noHBand="0" w:noVBand="1" w:val="04A0"/>
      </w:tblPr>
      <w:tblGrid>
        <w:gridCol w:w="2880"/>
        <w:gridCol w:w="2880"/>
        <w:gridCol w:w="2880"/>
      </w:tblGrid>
      <w:tr>
        <w:tc>
          <w:tcPr>
            <w:tcW w:type="dxa" w:w="2880"/>
          </w:tcPr>
          <w:p>
            <w:r>
              <w:t>Backup class</w:t>
            </w:r>
          </w:p>
        </w:tc>
        <w:tc>
          <w:tcPr>
            <w:tcW w:type="dxa" w:w="2880"/>
          </w:tcPr>
          <w:p>
            <w:r>
              <w:t>Retention</w:t>
            </w:r>
          </w:p>
        </w:tc>
        <w:tc>
          <w:tcPr>
            <w:tcW w:type="dxa" w:w="2880"/>
          </w:tcPr>
          <w:p>
            <w:r>
              <w:t>Purpose</w:t>
            </w:r>
          </w:p>
        </w:tc>
      </w:tr>
      <w:tr>
        <w:tc>
          <w:tcPr>
            <w:tcW w:type="dxa" w:w="2880"/>
          </w:tcPr>
          <w:p>
            <w:r>
              <w:t>Operational snapshots</w:t>
            </w:r>
          </w:p>
        </w:tc>
        <w:tc>
          <w:tcPr>
            <w:tcW w:type="dxa" w:w="2880"/>
          </w:tcPr>
          <w:p>
            <w:r>
              <w:t>30 days</w:t>
            </w:r>
          </w:p>
        </w:tc>
        <w:tc>
          <w:tcPr>
            <w:tcW w:type="dxa" w:w="2880"/>
          </w:tcPr>
          <w:p>
            <w:r>
              <w:t>Routine restore</w:t>
            </w:r>
          </w:p>
        </w:tc>
      </w:tr>
      <w:tr>
        <w:tc>
          <w:tcPr>
            <w:tcW w:type="dxa" w:w="2880"/>
          </w:tcPr>
          <w:p>
            <w:r>
              <w:t>Audit archives</w:t>
            </w:r>
          </w:p>
        </w:tc>
        <w:tc>
          <w:tcPr>
            <w:tcW w:type="dxa" w:w="2880"/>
          </w:tcPr>
          <w:p>
            <w:r>
              <w:t>90 days</w:t>
            </w:r>
          </w:p>
        </w:tc>
        <w:tc>
          <w:tcPr>
            <w:tcW w:type="dxa" w:w="2880"/>
          </w:tcPr>
          <w:p>
            <w:r>
              <w:t>Investigation history</w:t>
            </w:r>
          </w:p>
        </w:tc>
      </w:tr>
    </w:tbl>
    <w:p>
      <w:pPr>
        <w:pStyle w:val="Heading1"/>
      </w:pPr>
      <w:r>
        <w:t>Restore checklist</w:t>
      </w:r>
    </w:p>
    <w:p>
      <w:r>
        <w:t>First confirm the incident scope and select an intact snapshot. Restore the snapshot into an isolated environment, validate row counts and run the smoke checklist. Only after validation does the commander approve traffic switching. Retain the incident timeline and record the restored snapshot identifier. A failed validation means returning to snapshot selection, not continuing to traffic switching.</w:t>
      </w:r>
    </w:p>
    <w:p>
      <w:pPr>
        <w:pStyle w:val="Heading1"/>
      </w:pPr>
      <w:r>
        <w:t>Maintenance and follow-up</w:t>
      </w:r>
    </w:p>
    <w:p>
      <w:r>
        <w:t>The planned maintenance window is Tuesday 02:00–03:00 UTC. Notify affected teams at least 48 hours beforehand. A P1 incident requires a blameless review within three working days. For live coordination use ops-bridge; for a scheduled maintenance request use change-review. The coordinator records actions, owners and due dates, then checks them at the next operations meeting.</w:t>
      </w:r>
    </w:p>
    <w:p>
      <w:pPr>
        <w:pStyle w:val="Heading2"/>
      </w:pPr>
      <w:r>
        <w:t>Review checklist</w:t>
      </w:r>
    </w:p>
    <w:p>
      <w:pPr>
        <w:pStyle w:val="ListBullet"/>
      </w:pPr>
      <w:r>
        <w:t>Identify the applicable domain before choosing a rule.</w:t>
      </w:r>
    </w:p>
    <w:p>
      <w:pPr>
        <w:pStyle w:val="ListBullet"/>
      </w:pPr>
      <w:r>
        <w:t>Record an exception with its owner and expiry date.</w:t>
      </w:r>
    </w:p>
    <w:p>
      <w:pPr>
        <w:pStyle w:val="ListBullet"/>
      </w:pPr>
      <w:r>
        <w:t>Review the supporting policy before acting.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