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Comprendre le Fonctionnement de la Prime d'Activité chez Sisley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 :</w:t>
      </w:r>
    </w:p>
    <w:p w:rsidR="00000000" w:rsidDel="00000000" w:rsidP="00000000" w:rsidRDefault="00000000" w:rsidRPr="00000000" w14:paraId="00000004">
      <w:pPr>
        <w:rPr/>
      </w:pPr>
      <w:r w:rsidDel="00000000" w:rsidR="00000000" w:rsidRPr="00000000">
        <w:rPr>
          <w:rtl w:val="0"/>
        </w:rPr>
        <w:t xml:space="preserve">Bienvenue sur le portail MySisley ! Afin de vous guider à travers le processus de la Prime d'Activité, cet article fournira des informations détaillées sur son fonctionnement au sein de notre entreprise.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La Prime d'Activité chez Sisley : Comment ça marche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 Éligibilité et Critères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Avant de comprendre le processus, assurez-vous d'être éligible à la Prime d'Activité. Vérifiez les critères tels que le niveau de revenu, la situation familiale, et d'autres facteurs pertinents.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 Demande et Enregistrement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Pour bénéficier de la Prime d'Activité, vous devez soumettre une demande via les canaux appropriés, généralement via le système MySisley. Suivez les étapes fournies pour garantir une demande correcte.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 Calcul du Montant de la Prime :</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Comprenez comment le montant de la Prime d'Activité est calculé en fonction de différents paramètres tels que les revenus, la composition du foyer, et d'autres éléments spécifiques.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4. Versement et Fréquence :</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Découvrez les détails sur la fréquence des versements de la Prime d'Activité. Sisley s'efforce de garantir des versements réguliers pour répondre à vos besoins.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5. Changements de Situation </w:t>
      </w:r>
      <w:r w:rsidDel="00000000" w:rsidR="00000000" w:rsidRPr="00000000">
        <w:rPr>
          <w:rtl w:val="0"/>
        </w:rPr>
        <w:t xml:space="preserve">:</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 En cas de changement dans votre situation personnelle, professionnelle, ou financière, comprenez comment mettre à jour vos informations pour assurer la continuité de la Prime d'Activité.</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6. Contact et Assistance :</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Si vous avez des questions spécifiques ou des préoccupations, n'hésitez pas à contacter le service des Ressources Humaines via le portail MySisley. Notre équipe est là pour vous aider tout au long du processus.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Remarques Importantes :</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Assurez-vous de mettre à jour vos informations régulièrement pour garantir une éligibilité continue à la Prime d'Activité.</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En cas de difficultés ou d'incertitudes, n'hésitez pas à demander de l'aide via les canaux de support disponibles sur MySisley.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Nous espérons que cet article vous offre une compréhension claire de la Prime d'Activité chez Sisley. Pour plus d'informations, consultez la section dédiée sur MySisley ou contactez le service des Ressources Humaines.</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