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Calibri" w:hAnsi="Calibri"/>
          <w:b/>
          <w:i w:val="0"/>
          <w:color w:val="0B2545"/>
          <w:sz w:val="44"/>
        </w:rPr>
        <w:t>Madad MCP Cluster Response to Agentic Platform Required Inputs</w:t>
      </w:r>
    </w:p>
    <w:p>
      <w:pPr>
        <w:spacing w:before="0" w:after="240" w:line="264" w:lineRule="auto"/>
        <w:pBdr>
          <w:bottom w:val="single" w:sz="8" w:space="6" w:color="2E74B5"/>
        </w:pBdr>
      </w:pPr>
      <w:r>
        <w:rPr>
          <w:rFonts w:ascii="Calibri" w:hAnsi="Calibri"/>
          <w:b w:val="0"/>
          <w:i w:val="0"/>
          <w:color w:val="666666"/>
          <w:sz w:val="26"/>
        </w:rPr>
        <w:t>Response from Madad MCP Cluster Team / Ishaan to Agentic AI Team</w:t>
      </w:r>
    </w:p>
    <w:tbl>
      <w:tblPr>
        <w:tblW w:type="dxa" w:w="9360"/>
        <w:jc w:val="center"/>
        <w:tblLayout w:type="fixed"/>
        <w:tblLook w:firstColumn="1" w:firstRow="1" w:lastColumn="0" w:lastRow="0" w:noHBand="0" w:noVBand="1" w:val="04A0"/>
        <w:tblInd w:w="12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680"/>
        <w:gridCol w:w="4680"/>
      </w:tblGrid>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Document version</w:t>
            </w:r>
          </w:p>
        </w:tc>
        <w:tc>
          <w:tcPr>
            <w:tcW w:type="dxa" w:w="6960"/>
            <w:tcMar>
              <w:top w:w="70" w:type="dxa"/>
              <w:start w:w="120" w:type="dxa"/>
              <w:bottom w:w="70" w:type="dxa"/>
              <w:end w:w="120" w:type="dxa"/>
            </w:tcMar>
            <w:vAlign w:val="center"/>
          </w:tcPr>
          <w:p>
            <w:pPr>
              <w:spacing w:after="0"/>
            </w:pPr>
            <w:r>
              <w:rPr>
                <w:rFonts w:ascii="Calibri" w:hAnsi="Calibri"/>
                <w:color w:val="0B2545"/>
                <w:sz w:val="18"/>
              </w:rPr>
              <w:t>1.0</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Date issued</w:t>
            </w:r>
          </w:p>
        </w:tc>
        <w:tc>
          <w:tcPr>
            <w:tcW w:type="dxa" w:w="6960"/>
            <w:tcMar>
              <w:top w:w="70" w:type="dxa"/>
              <w:start w:w="120" w:type="dxa"/>
              <w:bottom w:w="70" w:type="dxa"/>
              <w:end w:w="120" w:type="dxa"/>
            </w:tcMar>
            <w:vAlign w:val="center"/>
          </w:tcPr>
          <w:p>
            <w:pPr>
              <w:spacing w:after="0"/>
            </w:pPr>
            <w:r>
              <w:rPr>
                <w:rFonts w:ascii="Calibri" w:hAnsi="Calibri"/>
                <w:color w:val="0B2545"/>
                <w:sz w:val="18"/>
              </w:rPr>
              <w:t>2026-06-02</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Prepared by</w:t>
            </w:r>
          </w:p>
        </w:tc>
        <w:tc>
          <w:tcPr>
            <w:tcW w:type="dxa" w:w="6960"/>
            <w:tcMar>
              <w:top w:w="70" w:type="dxa"/>
              <w:start w:w="120" w:type="dxa"/>
              <w:bottom w:w="70" w:type="dxa"/>
              <w:end w:w="120" w:type="dxa"/>
            </w:tcMar>
            <w:vAlign w:val="center"/>
          </w:tcPr>
          <w:p>
            <w:pPr>
              <w:spacing w:after="0"/>
            </w:pPr>
            <w:r>
              <w:rPr>
                <w:rFonts w:ascii="Calibri" w:hAnsi="Calibri"/>
                <w:color w:val="0B2545"/>
                <w:sz w:val="18"/>
              </w:rPr>
              <w:t>Madad MCP Cluster Team / Ishaan</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For</w:t>
            </w:r>
          </w:p>
        </w:tc>
        <w:tc>
          <w:tcPr>
            <w:tcW w:type="dxa" w:w="6960"/>
            <w:tcMar>
              <w:top w:w="70" w:type="dxa"/>
              <w:start w:w="120" w:type="dxa"/>
              <w:bottom w:w="70" w:type="dxa"/>
              <w:end w:w="120" w:type="dxa"/>
            </w:tcMar>
            <w:vAlign w:val="center"/>
          </w:tcPr>
          <w:p>
            <w:pPr>
              <w:spacing w:after="0"/>
            </w:pPr>
            <w:r>
              <w:rPr>
                <w:rFonts w:ascii="Calibri" w:hAnsi="Calibri"/>
                <w:color w:val="0B2545"/>
                <w:sz w:val="18"/>
              </w:rPr>
              <w:t>Agentic AI Team</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Purpose</w:t>
            </w:r>
          </w:p>
        </w:tc>
        <w:tc>
          <w:tcPr>
            <w:tcW w:type="dxa" w:w="6960"/>
            <w:tcMar>
              <w:top w:w="70" w:type="dxa"/>
              <w:start w:w="120" w:type="dxa"/>
              <w:bottom w:w="70" w:type="dxa"/>
              <w:end w:w="120" w:type="dxa"/>
            </w:tcMar>
            <w:vAlign w:val="center"/>
          </w:tcPr>
          <w:p>
            <w:pPr>
              <w:spacing w:after="0"/>
            </w:pPr>
            <w:r>
              <w:rPr>
                <w:rFonts w:ascii="Calibri" w:hAnsi="Calibri"/>
                <w:color w:val="0B2545"/>
                <w:sz w:val="18"/>
              </w:rPr>
              <w:t>Confirm what is complete, what is deployed and testable, and what remains for production cutover.</w:t>
            </w:r>
          </w:p>
        </w:tc>
      </w:tr>
    </w:tbl>
    <w:p>
      <w:pPr>
        <w:pStyle w:val="Heading1"/>
      </w:pPr>
      <w:r>
        <w:t>1. Executive Summary</w:t>
      </w:r>
    </w:p>
    <w:p>
      <w:pPr>
        <w:spacing w:before="0" w:after="120" w:line="264" w:lineRule="auto"/>
      </w:pPr>
      <w:r>
        <w:rPr>
          <w:rFonts w:ascii="Calibri" w:hAnsi="Calibri"/>
          <w:b w:val="0"/>
          <w:i w:val="0"/>
        </w:rPr>
        <w:t>The MCP cluster is now maintained in the Madad GitHub organization, implemented as a FastMCP server, and deployed on UAT. The deployed endpoint exposes the current tool catalogue through JSON-RPC over Streamable HTTP. The Postman catalogue and README have been updated to reflect the final UAT integration flow.</w:t>
      </w:r>
    </w:p>
    <w:p>
      <w:pPr>
        <w:spacing w:before="0" w:after="120" w:line="264" w:lineRule="auto"/>
      </w:pPr>
      <w:r>
        <w:rPr>
          <w:rFonts w:ascii="Calibri" w:hAnsi="Calibri"/>
          <w:b w:val="0"/>
          <w:i w:val="0"/>
        </w:rPr>
        <w:t>UAT integration can continue immediately. The remaining production cutover work is concentrated around channel-session verification for real WhatsApp/email traffic, Cloud Run IAM locking, template approval, and production hardening for webhooks and broader idempotency.</w:t>
      </w:r>
    </w:p>
    <w:p>
      <w:pPr>
        <w:pStyle w:val="Heading1"/>
      </w:pPr>
      <w:r>
        <w:t>2. Completed and Testable Work</w:t>
      </w:r>
    </w:p>
    <w:p>
      <w:pPr>
        <w:pStyle w:val="ListBullet"/>
        <w:spacing w:after="80" w:line="264" w:lineRule="auto"/>
      </w:pPr>
      <w:r>
        <w:t>FastMCP-based MCP server deployed on UAT with tool discovery through tools/list.</w:t>
      </w:r>
    </w:p>
    <w:p>
      <w:pPr>
        <w:pStyle w:val="ListBullet"/>
        <w:spacing w:after="80" w:line="264" w:lineRule="auto"/>
      </w:pPr>
      <w:r>
        <w:t>Auth/onboarding wrappers: send OTP, verify OTP, check-contact, me, refresh, logout, onboarding email/phone flows.</w:t>
      </w:r>
    </w:p>
    <w:p>
      <w:pPr>
        <w:pStyle w:val="ListBullet"/>
        <w:spacing w:after="80" w:line="264" w:lineRule="auto"/>
      </w:pPr>
      <w:r>
        <w:t>KYC and document wrappers: CR upload, audited financial report upload, base64 upload for WhatsApp/email attachments, ZIP inspection/upload, and document checklist reads.</w:t>
      </w:r>
    </w:p>
    <w:p>
      <w:pPr>
        <w:pStyle w:val="ListBullet"/>
        <w:spacing w:after="80" w:line="264" w:lineRule="auto"/>
      </w:pPr>
      <w:r>
        <w:t>Eligibility, buyer/paymaster, shareholder, offer-read, WhatsApp/email/SMS communication, and status tools.</w:t>
      </w:r>
    </w:p>
    <w:p>
      <w:pPr>
        <w:pStyle w:val="ListBullet"/>
        <w:spacing w:after="80" w:line="264" w:lineRule="auto"/>
      </w:pPr>
      <w:r>
        <w:t>Invoice workflow tools: extract, submit, extract-and-submit, base64 attachment upload, ZIP upload, and invoice list/status.</w:t>
      </w:r>
    </w:p>
    <w:p>
      <w:pPr>
        <w:pStyle w:val="ListBullet"/>
        <w:spacing w:after="80" w:line="264" w:lineRule="auto"/>
      </w:pPr>
      <w:r>
        <w:t>Monetization payment tools: list products, create recorded payment link, send payment link, get payment, and sync payment status.</w:t>
      </w:r>
    </w:p>
    <w:p>
      <w:pPr>
        <w:pStyle w:val="ListBullet"/>
        <w:spacing w:after="80" w:line="264" w:lineRule="auto"/>
      </w:pPr>
      <w:r>
        <w:t>Idempotency-Key support added and tested for MCP monetization payment create/send actions.</w:t>
      </w:r>
    </w:p>
    <w:p>
      <w:pPr>
        <w:pStyle w:val="ListBullet"/>
        <w:spacing w:after="80" w:line="264" w:lineRule="auto"/>
      </w:pPr>
      <w:r>
        <w:t>Step 11/12 repayment/disbursement notification webhook event surface added for user notification loop closure.</w:t>
      </w:r>
    </w:p>
    <w:p>
      <w:pPr>
        <w:pStyle w:val="ListBullet"/>
        <w:spacing w:after="80" w:line="264" w:lineRule="auto"/>
      </w:pPr>
      <w:r>
        <w:t>Postman catalogue updated with JSON-RPC examples for the deployed /mcp endpoint.</w:t>
      </w:r>
    </w:p>
    <w:p>
      <w:pPr>
        <w:pStyle w:val="Heading1"/>
      </w:pPr>
      <w:r>
        <w:t>3. Response to Required Inputs from MCP Cluster Team</w:t>
      </w:r>
    </w:p>
    <w:tbl>
      <w:tblPr>
        <w:tblW w:type="dxa" w:w="9360"/>
        <w:jc w:val="center"/>
        <w:tblLayout w:type="fixed"/>
        <w:tblLook w:firstColumn="1" w:firstRow="1" w:lastColumn="0" w:lastRow="0" w:noHBand="0" w:noVBand="1" w:val="04A0"/>
        <w:tblInd w:w="12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72"/>
        <w:gridCol w:w="1872"/>
        <w:gridCol w:w="1872"/>
        <w:gridCol w:w="1872"/>
        <w:gridCol w:w="1872"/>
      </w:tblGrid>
      <w:tr>
        <w:trPr>
          <w:tblHeader w:val="true"/>
        </w:trPr>
        <w:tc>
          <w:tcPr>
            <w:tcW w:type="dxa" w:w="900"/>
            <w:tcMar>
              <w:top w:w="80" w:type="dxa"/>
              <w:start w:w="120" w:type="dxa"/>
              <w:bottom w:w="80" w:type="dxa"/>
              <w:end w:w="120" w:type="dxa"/>
            </w:tcMar>
            <w:shd w:fill="E8EEF5"/>
            <w:vAlign w:val="center"/>
          </w:tcPr>
          <w:p>
            <w:pPr>
              <w:jc w:val="center"/>
            </w:pPr>
            <w:r>
              <w:rPr>
                <w:rFonts w:ascii="Calibri" w:hAnsi="Calibri"/>
                <w:b/>
                <w:color w:val="0B2545"/>
                <w:sz w:val="19"/>
              </w:rPr>
              <w:t>Item</w:t>
            </w:r>
          </w:p>
        </w:tc>
        <w:tc>
          <w:tcPr>
            <w:tcW w:type="dxa" w:w="1950"/>
            <w:tcMar>
              <w:top w:w="80" w:type="dxa"/>
              <w:start w:w="120" w:type="dxa"/>
              <w:bottom w:w="80" w:type="dxa"/>
              <w:end w:w="120" w:type="dxa"/>
            </w:tcMar>
            <w:shd w:fill="E8EEF5"/>
            <w:vAlign w:val="center"/>
          </w:tcPr>
          <w:p>
            <w:pPr>
              <w:jc w:val="center"/>
            </w:pPr>
            <w:r>
              <w:rPr>
                <w:rFonts w:ascii="Calibri" w:hAnsi="Calibri"/>
                <w:b/>
                <w:color w:val="0B2545"/>
                <w:sz w:val="19"/>
              </w:rPr>
              <w:t>Status</w:t>
            </w:r>
          </w:p>
        </w:tc>
        <w:tc>
          <w:tcPr>
            <w:tcW w:type="dxa" w:w="1300"/>
            <w:tcMar>
              <w:top w:w="80" w:type="dxa"/>
              <w:start w:w="120" w:type="dxa"/>
              <w:bottom w:w="80" w:type="dxa"/>
              <w:end w:w="120" w:type="dxa"/>
            </w:tcMar>
            <w:shd w:fill="E8EEF5"/>
            <w:vAlign w:val="center"/>
          </w:tcPr>
          <w:p>
            <w:pPr>
              <w:jc w:val="center"/>
            </w:pPr>
            <w:r>
              <w:rPr>
                <w:rFonts w:ascii="Calibri" w:hAnsi="Calibri"/>
                <w:b/>
                <w:color w:val="0B2545"/>
                <w:sz w:val="19"/>
              </w:rPr>
              <w:t>Owner</w:t>
            </w:r>
          </w:p>
        </w:tc>
        <w:tc>
          <w:tcPr>
            <w:tcW w:type="dxa" w:w="3410"/>
            <w:tcMar>
              <w:top w:w="80" w:type="dxa"/>
              <w:start w:w="120" w:type="dxa"/>
              <w:bottom w:w="80" w:type="dxa"/>
              <w:end w:w="120" w:type="dxa"/>
            </w:tcMar>
            <w:shd w:fill="E8EEF5"/>
            <w:vAlign w:val="center"/>
          </w:tcPr>
          <w:p>
            <w:pPr>
              <w:jc w:val="center"/>
            </w:pPr>
            <w:r>
              <w:rPr>
                <w:rFonts w:ascii="Calibri" w:hAnsi="Calibri"/>
                <w:b/>
                <w:color w:val="0B2545"/>
                <w:sz w:val="19"/>
              </w:rPr>
              <w:t>Madad response</w:t>
            </w:r>
          </w:p>
        </w:tc>
        <w:tc>
          <w:tcPr>
            <w:tcW w:type="dxa" w:w="1800"/>
            <w:tcMar>
              <w:top w:w="80" w:type="dxa"/>
              <w:start w:w="120" w:type="dxa"/>
              <w:bottom w:w="80" w:type="dxa"/>
              <w:end w:w="120" w:type="dxa"/>
            </w:tcMar>
            <w:shd w:fill="E8EEF5"/>
            <w:vAlign w:val="center"/>
          </w:tcPr>
          <w:p>
            <w:pPr>
              <w:jc w:val="center"/>
            </w:pPr>
            <w:r>
              <w:rPr>
                <w:rFonts w:ascii="Calibri" w:hAnsi="Calibri"/>
                <w:b/>
                <w:color w:val="0B2545"/>
                <w:sz w:val="19"/>
              </w:rPr>
              <w:t>Agentic team input</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I-1</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In progress</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Production channel-session resolution is the active focus. The implementation will be additive and will not modify existing portal auth. WhatsApp/email channel identity will be verified, mapped to an existing user or provisional lead, and issued a short-lived scoped agent token/session.</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Continue UAT integration against current tools. Production traffic should remain gated until this layer is completed.</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I-2</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Pending</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Agentic AI</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Cloud Run IAM locking will be applied before production cutover so only the agentic platform service account can invoke POST /mcp. Optional signed request headers can be added as defense in depth.</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Provide the production/staging service account identifier and preferred cutover window.</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I-3</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Complete</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For Madad's flow, Steps 11 and 12 are repayment/disbursement notification events, not SME-initiated Tess loan-payment link creation. The webhook event surface is added for transaction.disbursed, repayment.received, repayment.partially_paid, repayment.closed, repayment.due_soon, and repayment.overdue.</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Use the webhook receivers to notify SMEs when these events are received. If a separate Tess loan-payment link workflow is later required, it should be treated as a new scope.</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I-4</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Partially complete</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Idempotency-Key is implemented and tested for MCP monetization payment create/send actions. Retrying the same payment create request with the same key returns the same payment instead of creating a duplicate. Broader write-endpoint idempotency remains a production hardening item.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Use Idempotency-Key on payment write actions now. Avoid blind retries on other write tools until broader backend idempotency is completed.</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I-5</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Ready</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Backend webhook events and emission criteria are integrated for the current agentic events. The agentic platform should consume the signed webhooks, with madad_auth_me polling retained only as a fallback/status-read mechanism.</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Use the webhook receivers already implemented on the agentic side. Confirm final webhook URL and signing secret handling for production.</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I-6</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Planned</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Agentic AI</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Stable event_id and HMAC signing secret are aligned with the intended design. Event IDs should remain stable per emission, not per delivery attempt. Secrets should be stored in Secret Manager and rotated through a planned process.</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Confirm expected header names and rotation procedure during the production transport/auth meeting.</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I-7</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Available</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Madad will review the status-to-step decision table. Backend source of truth is user.journeyStatus; complete_stage should not drive the agent journey.</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Share the final 16-status mapping table for review.</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I-8</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Available</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 Ishaan</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Portal access cookies are 15 minutes and refresh cookies are 7 days. JWT TTLs are environment-driven through JWT_ACCESS_EXPIRES_IN and JWT_REFRESH_EXPIRES_IN. Refresh validates the stored hashed refresh token, issues a new access token and refresh token, and updates the stored hash. If refresh fails, backend clears auth cookies and returns 401. MCP agent scoped access tokens default to 15 minutes via MCP_AGENT_ACCESS_EXPIRES_IN; onboarding tokens default to 30 minutes or JWT_ONBOARDING_EXPIRES_IN.</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On 401, retry refresh once. If refresh/session renewal fails, ask for step-up verification or platform login rather than continuing silently.</w:t>
            </w:r>
          </w:p>
        </w:tc>
      </w:tr>
    </w:tbl>
    <w:p>
      <w:pPr>
        <w:pStyle w:val="Heading1"/>
      </w:pPr>
      <w:r>
        <w:t>4. Response to Madad Operations Inputs</w:t>
      </w:r>
    </w:p>
    <w:tbl>
      <w:tblPr>
        <w:tblW w:type="dxa" w:w="9360"/>
        <w:jc w:val="center"/>
        <w:tblLayout w:type="fixed"/>
        <w:tblLook w:firstColumn="1" w:firstRow="1" w:lastColumn="0" w:lastRow="0" w:noHBand="0" w:noVBand="1" w:val="04A0"/>
        <w:tblInd w:w="12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872"/>
        <w:gridCol w:w="1872"/>
        <w:gridCol w:w="1872"/>
        <w:gridCol w:w="1872"/>
        <w:gridCol w:w="1872"/>
      </w:tblGrid>
      <w:tr>
        <w:trPr>
          <w:tblHeader w:val="true"/>
        </w:trPr>
        <w:tc>
          <w:tcPr>
            <w:tcW w:type="dxa" w:w="900"/>
            <w:tcMar>
              <w:top w:w="80" w:type="dxa"/>
              <w:start w:w="120" w:type="dxa"/>
              <w:bottom w:w="80" w:type="dxa"/>
              <w:end w:w="120" w:type="dxa"/>
            </w:tcMar>
            <w:shd w:fill="E8EEF5"/>
            <w:vAlign w:val="center"/>
          </w:tcPr>
          <w:p>
            <w:pPr>
              <w:jc w:val="center"/>
            </w:pPr>
            <w:r>
              <w:rPr>
                <w:rFonts w:ascii="Calibri" w:hAnsi="Calibri"/>
                <w:b/>
                <w:color w:val="0B2545"/>
                <w:sz w:val="19"/>
              </w:rPr>
              <w:t>Item</w:t>
            </w:r>
          </w:p>
        </w:tc>
        <w:tc>
          <w:tcPr>
            <w:tcW w:type="dxa" w:w="1950"/>
            <w:tcMar>
              <w:top w:w="80" w:type="dxa"/>
              <w:start w:w="120" w:type="dxa"/>
              <w:bottom w:w="80" w:type="dxa"/>
              <w:end w:w="120" w:type="dxa"/>
            </w:tcMar>
            <w:shd w:fill="E8EEF5"/>
            <w:vAlign w:val="center"/>
          </w:tcPr>
          <w:p>
            <w:pPr>
              <w:jc w:val="center"/>
            </w:pPr>
            <w:r>
              <w:rPr>
                <w:rFonts w:ascii="Calibri" w:hAnsi="Calibri"/>
                <w:b/>
                <w:color w:val="0B2545"/>
                <w:sz w:val="19"/>
              </w:rPr>
              <w:t>Status</w:t>
            </w:r>
          </w:p>
        </w:tc>
        <w:tc>
          <w:tcPr>
            <w:tcW w:type="dxa" w:w="1300"/>
            <w:tcMar>
              <w:top w:w="80" w:type="dxa"/>
              <w:start w:w="120" w:type="dxa"/>
              <w:bottom w:w="80" w:type="dxa"/>
              <w:end w:w="120" w:type="dxa"/>
            </w:tcMar>
            <w:shd w:fill="E8EEF5"/>
            <w:vAlign w:val="center"/>
          </w:tcPr>
          <w:p>
            <w:pPr>
              <w:jc w:val="center"/>
            </w:pPr>
            <w:r>
              <w:rPr>
                <w:rFonts w:ascii="Calibri" w:hAnsi="Calibri"/>
                <w:b/>
                <w:color w:val="0B2545"/>
                <w:sz w:val="19"/>
              </w:rPr>
              <w:t>Owner</w:t>
            </w:r>
          </w:p>
        </w:tc>
        <w:tc>
          <w:tcPr>
            <w:tcW w:type="dxa" w:w="3410"/>
            <w:tcMar>
              <w:top w:w="80" w:type="dxa"/>
              <w:start w:w="120" w:type="dxa"/>
              <w:bottom w:w="80" w:type="dxa"/>
              <w:end w:w="120" w:type="dxa"/>
            </w:tcMar>
            <w:shd w:fill="E8EEF5"/>
            <w:vAlign w:val="center"/>
          </w:tcPr>
          <w:p>
            <w:pPr>
              <w:jc w:val="center"/>
            </w:pPr>
            <w:r>
              <w:rPr>
                <w:rFonts w:ascii="Calibri" w:hAnsi="Calibri"/>
                <w:b/>
                <w:color w:val="0B2545"/>
                <w:sz w:val="19"/>
              </w:rPr>
              <w:t>Madad response</w:t>
            </w:r>
          </w:p>
        </w:tc>
        <w:tc>
          <w:tcPr>
            <w:tcW w:type="dxa" w:w="1800"/>
            <w:tcMar>
              <w:top w:w="80" w:type="dxa"/>
              <w:start w:w="120" w:type="dxa"/>
              <w:bottom w:w="80" w:type="dxa"/>
              <w:end w:w="120" w:type="dxa"/>
            </w:tcMar>
            <w:shd w:fill="E8EEF5"/>
            <w:vAlign w:val="center"/>
          </w:tcPr>
          <w:p>
            <w:pPr>
              <w:jc w:val="center"/>
            </w:pPr>
            <w:r>
              <w:rPr>
                <w:rFonts w:ascii="Calibri" w:hAnsi="Calibri"/>
                <w:b/>
                <w:color w:val="0B2545"/>
                <w:sz w:val="19"/>
              </w:rPr>
              <w:t>Agentic team input</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M-1</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In progress</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Madad is working on GCP IAM access and will grant roles/run.invoker to the agentic platform service account as soon as the account identifier is provided and the cutover plan is confirmed.</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Provide the staging and production service account identifiers.</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M-2</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Ready</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Agentic AI + Madad Ops</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Madad operations is ready to submit WhatsApp Business templates through the Meta portal as soon as the agentic team provides the final template names, body copy, variables, buttons, and language codes.</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Provide final template drafts and component contracts for submission.</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M-3</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Pending</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Agentic AI + Madad Ops</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Arabic translations can be added when bilingual launch is confirmed. Madad can review brand/product correctness, but the template draft structure should come from the agentic team first.</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Provide English final copy and indicate whether Arabic is required at launch.</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M-4</w:t>
            </w:r>
          </w:p>
        </w:tc>
        <w:tc>
          <w:tcPr>
            <w:tcW w:type="dxa" w:w="1950"/>
            <w:tcMar>
              <w:top w:w="80" w:type="dxa"/>
              <w:start w:w="120" w:type="dxa"/>
              <w:bottom w:w="80" w:type="dxa"/>
              <w:end w:w="120" w:type="dxa"/>
            </w:tcMar>
            <w:vAlign w:val="center"/>
            <w:shd w:fill="EAF4EA"/>
          </w:tcPr>
          <w:p>
            <w:pPr>
              <w:spacing w:after="0" w:line="252" w:lineRule="auto"/>
              <w:jc w:val="center"/>
            </w:pPr>
            <w:r>
              <w:rPr>
                <w:rFonts w:ascii="Calibri" w:hAnsi="Calibri"/>
                <w:b/>
                <w:color w:val="333333"/>
                <w:sz w:val="17"/>
              </w:rPr>
              <w:t>Ready</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 Ops</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Madad is ready to review SME-facing copy when the agentic team sends the draft content for campaign, payment, document reminder, status, offer, and credit-line messages.</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Send copy drafts for approval.</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b/>
                <w:color w:val="0B2545"/>
                <w:sz w:val="17"/>
              </w:rPr>
              <w:t>M-5</w:t>
            </w:r>
          </w:p>
        </w:tc>
        <w:tc>
          <w:tcPr>
            <w:tcW w:type="dxa" w:w="1950"/>
            <w:tcMar>
              <w:top w:w="80" w:type="dxa"/>
              <w:start w:w="120" w:type="dxa"/>
              <w:bottom w:w="80" w:type="dxa"/>
              <w:end w:w="120" w:type="dxa"/>
            </w:tcMar>
            <w:vAlign w:val="center"/>
            <w:shd w:fill="FFF4D6"/>
          </w:tcPr>
          <w:p>
            <w:pPr>
              <w:spacing w:after="0" w:line="252" w:lineRule="auto"/>
              <w:jc w:val="center"/>
            </w:pPr>
            <w:r>
              <w:rPr>
                <w:rFonts w:ascii="Calibri" w:hAnsi="Calibri"/>
                <w:b/>
                <w:color w:val="333333"/>
                <w:sz w:val="17"/>
              </w:rPr>
              <w:t>In progress</w:t>
            </w:r>
          </w:p>
        </w:tc>
        <w:tc>
          <w:tcPr>
            <w:tcW w:type="dxa" w:w="1300"/>
            <w:tcMar>
              <w:top w:w="80" w:type="dxa"/>
              <w:start w:w="120" w:type="dxa"/>
              <w:bottom w:w="80" w:type="dxa"/>
              <w:end w:w="120" w:type="dxa"/>
            </w:tcMar>
            <w:vAlign w:val="center"/>
          </w:tcPr>
          <w:p>
            <w:pPr>
              <w:spacing w:after="0" w:line="252" w:lineRule="auto"/>
              <w:jc w:val="center"/>
            </w:pPr>
            <w:r>
              <w:rPr>
                <w:rFonts w:ascii="Calibri" w:hAnsi="Calibri"/>
                <w:b w:val="0"/>
                <w:color w:val="0B2545"/>
                <w:sz w:val="17"/>
              </w:rPr>
              <w:t>Madad</w:t>
            </w:r>
          </w:p>
        </w:tc>
        <w:tc>
          <w:tcPr>
            <w:tcW w:type="dxa" w:w="3410"/>
            <w:tcMar>
              <w:top w:w="80" w:type="dxa"/>
              <w:start w:w="120" w:type="dxa"/>
              <w:bottom w:w="80" w:type="dxa"/>
              <w:end w:w="120" w:type="dxa"/>
            </w:tcMar>
            <w:vAlign w:val="center"/>
          </w:tcPr>
          <w:p>
            <w:pPr>
              <w:spacing w:after="0" w:line="252" w:lineRule="auto"/>
            </w:pPr>
            <w:r>
              <w:rPr>
                <w:rFonts w:ascii="Calibri" w:hAnsi="Calibri"/>
                <w:b w:val="0"/>
                <w:color w:val="0B2545"/>
                <w:sz w:val="17"/>
              </w:rPr>
              <w:t>Madad will review and finalize the monetization fee amount and communicate the final value. Current working assumption remains QAR 6,000 for onboarding/assessment unless changed by business decision.</w:t>
            </w:r>
          </w:p>
        </w:tc>
        <w:tc>
          <w:tcPr>
            <w:tcW w:type="dxa" w:w="1800"/>
            <w:tcMar>
              <w:top w:w="80" w:type="dxa"/>
              <w:start w:w="120" w:type="dxa"/>
              <w:bottom w:w="80" w:type="dxa"/>
              <w:end w:w="120" w:type="dxa"/>
            </w:tcMar>
            <w:vAlign w:val="center"/>
          </w:tcPr>
          <w:p>
            <w:pPr>
              <w:spacing w:after="0" w:line="252" w:lineRule="auto"/>
            </w:pPr>
            <w:r>
              <w:rPr>
                <w:rFonts w:ascii="Calibri" w:hAnsi="Calibri"/>
                <w:b w:val="0"/>
                <w:color w:val="0B2545"/>
                <w:sz w:val="17"/>
              </w:rPr>
              <w:t>No agentic-side blocker for UAT. Use product/amount returned by MCP payment tools where possible.</w:t>
            </w:r>
          </w:p>
        </w:tc>
      </w:tr>
    </w:tbl>
    <w:p>
      <w:pPr>
        <w:pStyle w:val="Heading1"/>
      </w:pPr>
      <w:r>
        <w:t>5. UAT Test Surface Available Now</w:t>
      </w:r>
    </w:p>
    <w:p>
      <w:pPr>
        <w:spacing w:before="0" w:after="120" w:line="264" w:lineRule="auto"/>
      </w:pPr>
      <w:r>
        <w:rPr>
          <w:rFonts w:ascii="Calibri" w:hAnsi="Calibri"/>
          <w:b w:val="0"/>
          <w:i w:val="0"/>
        </w:rPr>
        <w:t>The following can be tested now from the updated Postman catalogue against the deployed MCP endpoint:</w:t>
      </w:r>
    </w:p>
    <w:p>
      <w:pPr>
        <w:pStyle w:val="ListBullet"/>
        <w:spacing w:after="80" w:line="264" w:lineRule="auto"/>
      </w:pPr>
      <w:r>
        <w:t>tools/list against the deployed /mcp endpoint.</w:t>
      </w:r>
    </w:p>
    <w:p>
      <w:pPr>
        <w:pStyle w:val="ListBullet"/>
        <w:spacing w:after="80" w:line="264" w:lineRule="auto"/>
      </w:pPr>
      <w:r>
        <w:t>madad_auth_check_contact, madad_auth_me, and related auth/onboarding tools.</w:t>
      </w:r>
    </w:p>
    <w:p>
      <w:pPr>
        <w:pStyle w:val="ListBullet"/>
        <w:spacing w:after="80" w:line="264" w:lineRule="auto"/>
      </w:pPr>
      <w:r>
        <w:t>madad_kyc_upload_document_base64 for WhatsApp/email CR and financial-document attachments.</w:t>
      </w:r>
    </w:p>
    <w:p>
      <w:pPr>
        <w:pStyle w:val="ListBullet"/>
        <w:spacing w:after="80" w:line="264" w:lineRule="auto"/>
      </w:pPr>
      <w:r>
        <w:t>Document checklist read tools for business, financial, and admin-requested documents.</w:t>
      </w:r>
    </w:p>
    <w:p>
      <w:pPr>
        <w:pStyle w:val="ListBullet"/>
        <w:spacing w:after="80" w:line="264" w:lineRule="auto"/>
      </w:pPr>
      <w:r>
        <w:t>Buyer/paymaster and shareholder tool flows.</w:t>
      </w:r>
    </w:p>
    <w:p>
      <w:pPr>
        <w:pStyle w:val="ListBullet"/>
        <w:spacing w:after="80" w:line="264" w:lineRule="auto"/>
      </w:pPr>
      <w:r>
        <w:t>madad_invoices_extract_and_submit_invoice_base64 for WhatsApp/email invoice attachments.</w:t>
      </w:r>
    </w:p>
    <w:p>
      <w:pPr>
        <w:pStyle w:val="ListBullet"/>
        <w:spacing w:after="80" w:line="264" w:lineRule="auto"/>
      </w:pPr>
      <w:r>
        <w:t>madad_invoices_upload_zip for bulk invoice ZIP handling.</w:t>
      </w:r>
    </w:p>
    <w:p>
      <w:pPr>
        <w:pStyle w:val="ListBullet"/>
        <w:spacing w:after="80" w:line="264" w:lineRule="auto"/>
      </w:pPr>
      <w:r>
        <w:t>madad_payments_create_monetization_payment and madad_payments_send_monetization_payment_link with Idempotency-Key.</w:t>
      </w:r>
    </w:p>
    <w:p>
      <w:pPr>
        <w:pStyle w:val="ListBullet"/>
        <w:spacing w:after="80" w:line="264" w:lineRule="auto"/>
      </w:pPr>
      <w:r>
        <w:t>Offer read tools: madad_offers_get_my_offers and madad_offers_get_offer.</w:t>
      </w:r>
    </w:p>
    <w:p>
      <w:pPr>
        <w:pStyle w:val="ListBullet"/>
        <w:spacing w:after="80" w:line="264" w:lineRule="auto"/>
      </w:pPr>
      <w:r>
        <w:t>Webhook event surface via madad_mcp_get_webhook_events and smoke/testing through madad_mcp_emit_webhook.</w:t>
      </w:r>
    </w:p>
    <w:p>
      <w:pPr>
        <w:pStyle w:val="Heading1"/>
      </w:pPr>
      <w:r>
        <w:t>6. Remaining Production Cutover Items</w:t>
      </w:r>
    </w:p>
    <w:p>
      <w:pPr>
        <w:pStyle w:val="ListNumber"/>
        <w:spacing w:after="80" w:line="264" w:lineRule="auto"/>
      </w:pPr>
      <w:r>
        <w:t>Complete I-1 channel-session verification for real WhatsApp/email traffic.</w:t>
      </w:r>
    </w:p>
    <w:p>
      <w:pPr>
        <w:pStyle w:val="ListNumber"/>
        <w:spacing w:after="80" w:line="264" w:lineRule="auto"/>
      </w:pPr>
      <w:r>
        <w:t>Lock production /mcp behind Cloud Run IAM and optionally add signed request headers.</w:t>
      </w:r>
    </w:p>
    <w:p>
      <w:pPr>
        <w:pStyle w:val="ListNumber"/>
        <w:spacing w:after="80" w:line="264" w:lineRule="auto"/>
      </w:pPr>
      <w:r>
        <w:t>Finalize WhatsApp templates, submit through Meta, and circulate approved template_name/language_code values.</w:t>
      </w:r>
    </w:p>
    <w:p>
      <w:pPr>
        <w:pStyle w:val="ListNumber"/>
        <w:spacing w:after="80" w:line="264" w:lineRule="auto"/>
      </w:pPr>
      <w:r>
        <w:t>Finalize broader idempotency coverage for high-risk write endpoints beyond MCP monetization payments.</w:t>
      </w:r>
    </w:p>
    <w:p>
      <w:pPr>
        <w:pStyle w:val="ListNumber"/>
        <w:spacing w:after="80" w:line="264" w:lineRule="auto"/>
      </w:pPr>
      <w:r>
        <w:t>Finalize production webhook signing, stable event_id behavior, retry/outbox/dead-letter policy, and operational alerts.</w:t>
      </w:r>
    </w:p>
    <w:p>
      <w:pPr>
        <w:pStyle w:val="ListNumber"/>
        <w:spacing w:after="80" w:line="264" w:lineRule="auto"/>
      </w:pPr>
      <w:r>
        <w:t>Review status-to-step mapping and confirm fee amount before production launch.</w:t>
      </w:r>
    </w:p>
    <w:p>
      <w:pPr>
        <w:pStyle w:val="Heading1"/>
      </w:pPr>
      <w:r>
        <w:t>7. Ownership and Next Actions</w:t>
      </w:r>
    </w:p>
    <w:tbl>
      <w:tblPr>
        <w:tblW w:type="dxa" w:w="9360"/>
        <w:jc w:val="center"/>
        <w:tblLayout w:type="fixed"/>
        <w:tblLook w:firstColumn="1" w:firstRow="1" w:lastColumn="0" w:lastRow="0" w:noHBand="0" w:noVBand="1" w:val="04A0"/>
        <w:tblInd w:w="120"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680"/>
        <w:gridCol w:w="4680"/>
      </w:tblGrid>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Madad / Ishaan</w:t>
            </w:r>
          </w:p>
        </w:tc>
        <w:tc>
          <w:tcPr>
            <w:tcW w:type="dxa" w:w="6960"/>
            <w:tcMar>
              <w:top w:w="70" w:type="dxa"/>
              <w:start w:w="120" w:type="dxa"/>
              <w:bottom w:w="70" w:type="dxa"/>
              <w:end w:w="120" w:type="dxa"/>
            </w:tcMar>
            <w:vAlign w:val="center"/>
          </w:tcPr>
          <w:p>
            <w:pPr>
              <w:spacing w:after="0"/>
            </w:pPr>
            <w:r>
              <w:rPr>
                <w:rFonts w:ascii="Calibri" w:hAnsi="Calibri"/>
                <w:color w:val="0B2545"/>
                <w:sz w:val="18"/>
              </w:rPr>
              <w:t>Finish channel-session verification, coordinate IAM lock, review status mapping, finalize fee amount, and support webhook/template productionization.</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Madad Operations</w:t>
            </w:r>
          </w:p>
        </w:tc>
        <w:tc>
          <w:tcPr>
            <w:tcW w:type="dxa" w:w="6960"/>
            <w:tcMar>
              <w:top w:w="70" w:type="dxa"/>
              <w:start w:w="120" w:type="dxa"/>
              <w:bottom w:w="70" w:type="dxa"/>
              <w:end w:w="120" w:type="dxa"/>
            </w:tcMar>
            <w:vAlign w:val="center"/>
          </w:tcPr>
          <w:p>
            <w:pPr>
              <w:spacing w:after="0"/>
            </w:pPr>
            <w:r>
              <w:rPr>
                <w:rFonts w:ascii="Calibri" w:hAnsi="Calibri"/>
                <w:color w:val="0B2545"/>
                <w:sz w:val="18"/>
              </w:rPr>
              <w:t>Submit approved WhatsApp templates in Meta portal, review SME-facing copy, and support Arabic localization if required.</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Agentic AI Team</w:t>
            </w:r>
          </w:p>
        </w:tc>
        <w:tc>
          <w:tcPr>
            <w:tcW w:type="dxa" w:w="6960"/>
            <w:tcMar>
              <w:top w:w="70" w:type="dxa"/>
              <w:start w:w="120" w:type="dxa"/>
              <w:bottom w:w="70" w:type="dxa"/>
              <w:end w:w="120" w:type="dxa"/>
            </w:tcMar>
            <w:vAlign w:val="center"/>
          </w:tcPr>
          <w:p>
            <w:pPr>
              <w:spacing w:after="0"/>
            </w:pPr>
            <w:r>
              <w:rPr>
                <w:rFonts w:ascii="Calibri" w:hAnsi="Calibri"/>
                <w:color w:val="0B2545"/>
                <w:sz w:val="18"/>
              </w:rPr>
              <w:t>Continue UAT integration using the current MCP catalogue, provide service account details, provide WhatsApp template drafts, consume webhooks, and use idempotency keys for payment writes.</w:t>
            </w:r>
          </w:p>
        </w:tc>
      </w:tr>
      <w:tr>
        <w:tc>
          <w:tcPr>
            <w:tcW w:type="dxa" w:w="2400"/>
            <w:tcMar>
              <w:top w:w="70" w:type="dxa"/>
              <w:start w:w="120" w:type="dxa"/>
              <w:bottom w:w="70" w:type="dxa"/>
              <w:end w:w="120" w:type="dxa"/>
            </w:tcMar>
            <w:vAlign w:val="center"/>
            <w:shd w:fill="F2F4F7"/>
          </w:tcPr>
          <w:p>
            <w:pPr>
              <w:spacing w:after="0"/>
            </w:pPr>
            <w:r>
              <w:rPr>
                <w:rFonts w:ascii="Calibri" w:hAnsi="Calibri"/>
                <w:b/>
                <w:color w:val="0B2545"/>
                <w:sz w:val="18"/>
              </w:rPr>
              <w:t>Production gate</w:t>
            </w:r>
          </w:p>
        </w:tc>
        <w:tc>
          <w:tcPr>
            <w:tcW w:type="dxa" w:w="6960"/>
            <w:tcMar>
              <w:top w:w="70" w:type="dxa"/>
              <w:start w:w="120" w:type="dxa"/>
              <w:bottom w:w="70" w:type="dxa"/>
              <w:end w:w="120" w:type="dxa"/>
            </w:tcMar>
            <w:vAlign w:val="center"/>
          </w:tcPr>
          <w:p>
            <w:pPr>
              <w:spacing w:after="0"/>
            </w:pPr>
            <w:r>
              <w:rPr>
                <w:rFonts w:ascii="Calibri" w:hAnsi="Calibri"/>
                <w:color w:val="0B2545"/>
                <w:sz w:val="18"/>
              </w:rPr>
              <w:t>Real SME traffic should wait for channel-session verification and Cloud Run IAM lock. UAT integration can continue now.</w:t>
            </w:r>
          </w:p>
        </w:tc>
      </w:tr>
    </w:tbl>
    <w:p>
      <w:pPr>
        <w:pStyle w:val="Heading1"/>
      </w:pPr>
      <w:r>
        <w:t>8. Closing Position</w:t>
      </w:r>
    </w:p>
    <w:p>
      <w:pPr>
        <w:spacing w:before="0" w:after="120" w:line="264" w:lineRule="auto"/>
      </w:pPr>
      <w:r>
        <w:rPr>
          <w:rFonts w:ascii="Calibri" w:hAnsi="Calibri"/>
          <w:b w:val="0"/>
          <w:i w:val="0"/>
        </w:rPr>
        <w:t>Madad considers the current MCP catalogue ready for UAT integration. The invoice workflow, monetization payment tools, payment idempotency, repayment/disbursement webhook event surface, and Postman catalogue are available now. Production cutover depends primarily on channel-session identity verification, transport locking, and final WhatsApp/template operations.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8"/>
      </w:rPr>
      <w:t>Madad MCP Cluster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