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BE0F" w14:textId="5CBAA741" w:rsidR="00CB1A4D" w:rsidRPr="007E4176" w:rsidRDefault="00CB1A4D" w:rsidP="007E4176">
      <w:pPr>
        <w:spacing w:before="0" w:after="360"/>
        <w:ind w:left="-284"/>
        <w:jc w:val="center"/>
        <w:rPr>
          <w:rFonts w:cstheme="majorHAnsi"/>
          <w:b/>
          <w:bCs/>
          <w:sz w:val="24"/>
        </w:rPr>
      </w:pPr>
      <w:r w:rsidRPr="007E4176">
        <w:rPr>
          <w:rFonts w:cstheme="majorHAnsi"/>
          <w:b/>
          <w:bCs/>
          <w:sz w:val="24"/>
        </w:rPr>
        <w:t>CONDITIONS GÉNÉRALES DE VENTE (CGV)</w:t>
      </w:r>
    </w:p>
    <w:p w14:paraId="0A91233A" w14:textId="358ABA76" w:rsidR="00CB1A4D" w:rsidRPr="002B6A6E" w:rsidRDefault="00CB1A4D" w:rsidP="008576DF">
      <w:pPr>
        <w:pStyle w:val="Titre1"/>
      </w:pPr>
      <w:r w:rsidRPr="002B6A6E">
        <w:t>ARTICLE 1 – CHAMP D’APPLICATION </w:t>
      </w:r>
    </w:p>
    <w:p w14:paraId="30F056FC" w14:textId="77777777" w:rsidR="000E6556" w:rsidRPr="0091001D" w:rsidRDefault="00CB1A4D" w:rsidP="00585837">
      <w:pPr>
        <w:jc w:val="both"/>
      </w:pPr>
      <w:r w:rsidRPr="0091001D">
        <w:t xml:space="preserve">Les présentes Conditions Générales de Vente régissent les relations contractuelles entre </w:t>
      </w:r>
      <w:r w:rsidRPr="008576DF">
        <w:t>l’EURL STB énergie</w:t>
      </w:r>
      <w:r w:rsidRPr="0091001D">
        <w:rPr>
          <w:b/>
          <w:bCs/>
        </w:rPr>
        <w:t xml:space="preserve"> </w:t>
      </w:r>
      <w:r w:rsidRPr="0091001D">
        <w:t>(ci-après « l’Entreprise ») et ses clients. </w:t>
      </w:r>
    </w:p>
    <w:p w14:paraId="2C8252F1" w14:textId="46F41023" w:rsidR="00CB1A4D" w:rsidRPr="0091001D" w:rsidRDefault="00CB1A4D" w:rsidP="00585837">
      <w:pPr>
        <w:jc w:val="both"/>
      </w:pPr>
      <w:r w:rsidRPr="0091001D">
        <w:t xml:space="preserve">Elles s’appliquent aux prestations réalisées soit dans le cadre de marchés directs auprès de clients particuliers ou d’entreprises du secteur public ou privé, soit dans le cadre d’une sous-traitance pour le compte d’une société (ci-après </w:t>
      </w:r>
      <w:r w:rsidR="00C614A8" w:rsidRPr="0091001D">
        <w:t>« E</w:t>
      </w:r>
      <w:r w:rsidRPr="0091001D">
        <w:t xml:space="preserve">ntrepreneur </w:t>
      </w:r>
      <w:r w:rsidR="008576DF">
        <w:t>P</w:t>
      </w:r>
      <w:r w:rsidRPr="0091001D">
        <w:t>rincipal</w:t>
      </w:r>
      <w:r w:rsidR="00C614A8" w:rsidRPr="0091001D">
        <w:t> »</w:t>
      </w:r>
      <w:r w:rsidRPr="0091001D">
        <w:t>)</w:t>
      </w:r>
    </w:p>
    <w:p w14:paraId="1EB4ABAA" w14:textId="3651BE96" w:rsidR="00CB1A4D" w:rsidRPr="0091001D" w:rsidRDefault="00CB1A4D" w:rsidP="00585837">
      <w:pPr>
        <w:pStyle w:val="Titre1"/>
        <w:jc w:val="both"/>
      </w:pPr>
      <w:r w:rsidRPr="0091001D">
        <w:t>ARTICLE 2 – ASSURANCES ET GARANTIES </w:t>
      </w:r>
    </w:p>
    <w:p w14:paraId="142A5082" w14:textId="62E3968F" w:rsidR="00CB1A4D" w:rsidRPr="0091001D" w:rsidRDefault="00CB1A4D" w:rsidP="00585837">
      <w:pPr>
        <w:jc w:val="both"/>
        <w:rPr>
          <w:rFonts w:cstheme="majorHAnsi"/>
          <w:szCs w:val="20"/>
        </w:rPr>
      </w:pPr>
      <w:r w:rsidRPr="0091001D">
        <w:rPr>
          <w:rFonts w:cstheme="majorHAnsi"/>
          <w:szCs w:val="20"/>
        </w:rPr>
        <w:t>L’Entreprise est titulaire d’une assurance responsabilité civile professionnelle couvrant les dommages liés à son activité d’électricité et de pose d’équipements techniques, ainsi que d’une garantie décennale</w:t>
      </w:r>
      <w:r w:rsidR="00585837">
        <w:rPr>
          <w:rFonts w:cstheme="majorHAnsi"/>
          <w:szCs w:val="20"/>
        </w:rPr>
        <w:t>,</w:t>
      </w:r>
      <w:r w:rsidRPr="0091001D">
        <w:rPr>
          <w:rFonts w:cstheme="majorHAnsi"/>
          <w:szCs w:val="20"/>
        </w:rPr>
        <w:t xml:space="preserve"> lorsque celle-ci est applicable.</w:t>
      </w:r>
    </w:p>
    <w:p w14:paraId="365F4419" w14:textId="7EFAA3A4" w:rsidR="00CB1A4D" w:rsidRDefault="00CB1A4D" w:rsidP="00585837">
      <w:pPr>
        <w:spacing w:before="0" w:after="0"/>
        <w:jc w:val="both"/>
        <w:rPr>
          <w:rFonts w:cstheme="majorHAnsi"/>
          <w:szCs w:val="20"/>
        </w:rPr>
      </w:pPr>
      <w:r w:rsidRPr="0091001D">
        <w:rPr>
          <w:rFonts w:cstheme="majorHAnsi"/>
          <w:szCs w:val="20"/>
        </w:rPr>
        <w:t xml:space="preserve">Assureur : </w:t>
      </w:r>
      <w:r w:rsidR="00585837">
        <w:rPr>
          <w:rFonts w:cstheme="majorHAnsi"/>
          <w:szCs w:val="20"/>
        </w:rPr>
        <w:t>SMA BTP</w:t>
      </w:r>
    </w:p>
    <w:p w14:paraId="65D28BAE" w14:textId="2276D688" w:rsidR="00585837" w:rsidRPr="0091001D" w:rsidRDefault="00585837" w:rsidP="00585837">
      <w:pPr>
        <w:spacing w:before="0" w:after="0"/>
        <w:jc w:val="both"/>
        <w:rPr>
          <w:rFonts w:cstheme="majorHAnsi"/>
          <w:szCs w:val="20"/>
        </w:rPr>
      </w:pPr>
      <w:r>
        <w:rPr>
          <w:rFonts w:cstheme="majorHAnsi"/>
          <w:szCs w:val="20"/>
        </w:rPr>
        <w:t>Contrat n°8632000 / 003 209773/0</w:t>
      </w:r>
    </w:p>
    <w:p w14:paraId="7FC447BF" w14:textId="77777777" w:rsidR="00CB1A4D" w:rsidRPr="0091001D" w:rsidRDefault="00CB1A4D" w:rsidP="00585837">
      <w:pPr>
        <w:pStyle w:val="Titre1"/>
        <w:jc w:val="both"/>
      </w:pPr>
      <w:r w:rsidRPr="0091001D">
        <w:t>ARTICLE 3 – FORMATION DU CONTRAT ET RÉVISION </w:t>
      </w:r>
    </w:p>
    <w:p w14:paraId="28017455" w14:textId="4EADE494" w:rsidR="00CB1A4D" w:rsidRPr="0091001D" w:rsidRDefault="00CB1A4D" w:rsidP="00585837">
      <w:pPr>
        <w:jc w:val="both"/>
        <w:rPr>
          <w:rFonts w:cstheme="majorHAnsi"/>
          <w:szCs w:val="20"/>
        </w:rPr>
      </w:pPr>
      <w:r w:rsidRPr="0091001D">
        <w:rPr>
          <w:rFonts w:cstheme="majorHAnsi"/>
          <w:szCs w:val="20"/>
        </w:rPr>
        <w:t>Le contrat est formé par l’acceptation du devis</w:t>
      </w:r>
      <w:r w:rsidR="00C614A8" w:rsidRPr="0091001D">
        <w:rPr>
          <w:rFonts w:cstheme="majorHAnsi"/>
          <w:szCs w:val="20"/>
        </w:rPr>
        <w:t>,</w:t>
      </w:r>
      <w:r w:rsidRPr="0091001D">
        <w:rPr>
          <w:rFonts w:cstheme="majorHAnsi"/>
          <w:szCs w:val="20"/>
        </w:rPr>
        <w:t xml:space="preserve"> matérialisée par sa signature précédée de la mention « Bon pour accord ».</w:t>
      </w:r>
    </w:p>
    <w:p w14:paraId="5AD8A3CA" w14:textId="77777777" w:rsidR="00CB1A4D" w:rsidRPr="0091001D" w:rsidRDefault="00CB1A4D" w:rsidP="00585837">
      <w:pPr>
        <w:jc w:val="both"/>
        <w:rPr>
          <w:rFonts w:cstheme="majorHAnsi"/>
          <w:szCs w:val="20"/>
        </w:rPr>
      </w:pPr>
      <w:r w:rsidRPr="0091001D">
        <w:rPr>
          <w:rFonts w:cstheme="majorHAnsi"/>
          <w:szCs w:val="20"/>
        </w:rPr>
        <w:t xml:space="preserve">Le devis est </w:t>
      </w:r>
      <w:r w:rsidRPr="00585837">
        <w:rPr>
          <w:rFonts w:cstheme="majorHAnsi"/>
          <w:szCs w:val="20"/>
        </w:rPr>
        <w:t>valable 2 mois à sa</w:t>
      </w:r>
      <w:r w:rsidRPr="0091001D">
        <w:rPr>
          <w:rFonts w:cstheme="majorHAnsi"/>
          <w:szCs w:val="20"/>
        </w:rPr>
        <w:t xml:space="preserve"> date d’émission. </w:t>
      </w:r>
    </w:p>
    <w:p w14:paraId="44105E17" w14:textId="77777777" w:rsidR="00CB1A4D" w:rsidRPr="0091001D" w:rsidRDefault="00CB1A4D" w:rsidP="00585837">
      <w:pPr>
        <w:jc w:val="both"/>
        <w:rPr>
          <w:rFonts w:cstheme="majorHAnsi"/>
          <w:szCs w:val="20"/>
        </w:rPr>
      </w:pPr>
      <w:r w:rsidRPr="0091001D">
        <w:rPr>
          <w:rFonts w:cstheme="majorHAnsi"/>
          <w:szCs w:val="20"/>
        </w:rPr>
        <w:t>Conformément à l’article 1195 du Code civil, en cas de changement de circonstances imprévisibles lors de la conclusion du contrat, notamment en cas de guerre, catastrophe naturelle, pandémie ou hausse significative du coût des matières premières, l’Entreprise se réserve le droit de renégocier les conditions tarifaires ou de suspendre l’exécution du contrat sans pénalité. </w:t>
      </w:r>
    </w:p>
    <w:p w14:paraId="42F66CCD" w14:textId="77777777" w:rsidR="00CB1A4D" w:rsidRPr="0091001D" w:rsidRDefault="00CB1A4D" w:rsidP="00585837">
      <w:pPr>
        <w:pStyle w:val="Titre1"/>
        <w:jc w:val="both"/>
      </w:pPr>
      <w:r w:rsidRPr="0091001D">
        <w:t>ARTICLE 4 – EXÉCUTION DES TRAVAUX </w:t>
      </w:r>
    </w:p>
    <w:p w14:paraId="02B8C327" w14:textId="77777777" w:rsidR="00CB1A4D" w:rsidRPr="00585837" w:rsidRDefault="00CB1A4D" w:rsidP="00585837">
      <w:pPr>
        <w:jc w:val="both"/>
        <w:rPr>
          <w:rFonts w:cstheme="majorHAnsi"/>
          <w:szCs w:val="20"/>
        </w:rPr>
      </w:pPr>
      <w:r w:rsidRPr="00585837">
        <w:rPr>
          <w:rFonts w:cstheme="majorHAnsi"/>
          <w:szCs w:val="20"/>
        </w:rPr>
        <w:t>Les travaux sont exécutés conformément au planning directeur du chantier. L’Entreprise ne peut être tenue responsable des retards imputables aux autres corps d’état, aux modifications du planning par le client ou le donneur d’ordre, ou à tout événement extérieur indépendant de sa volonté.</w:t>
      </w:r>
    </w:p>
    <w:p w14:paraId="05235802" w14:textId="77777777" w:rsidR="00CB1A4D" w:rsidRPr="0091001D" w:rsidRDefault="00CB1A4D" w:rsidP="00585837">
      <w:pPr>
        <w:jc w:val="both"/>
        <w:rPr>
          <w:rFonts w:cstheme="majorHAnsi"/>
          <w:szCs w:val="20"/>
        </w:rPr>
      </w:pPr>
      <w:r w:rsidRPr="0091001D">
        <w:rPr>
          <w:rFonts w:cstheme="majorHAnsi"/>
          <w:szCs w:val="20"/>
        </w:rPr>
        <w:t>Le client s’engage à garantir l’accès au chantier et la conformité des supports, notamment des murs, dalles et plafonds. </w:t>
      </w:r>
    </w:p>
    <w:p w14:paraId="37F3F7FB" w14:textId="77777777" w:rsidR="00CB1A4D" w:rsidRPr="0091001D" w:rsidRDefault="00CB1A4D" w:rsidP="00585837">
      <w:pPr>
        <w:jc w:val="both"/>
        <w:rPr>
          <w:rFonts w:cstheme="majorHAnsi"/>
          <w:szCs w:val="20"/>
        </w:rPr>
      </w:pPr>
      <w:r w:rsidRPr="0091001D">
        <w:rPr>
          <w:rFonts w:cstheme="majorHAnsi"/>
          <w:szCs w:val="20"/>
        </w:rPr>
        <w:t xml:space="preserve">Pour la pose d’équipements spécifiques tels que les rails de transfert, les supports doivent être conformes aux normes en vigueur, notamment la norme </w:t>
      </w:r>
      <w:r w:rsidRPr="00585837">
        <w:rPr>
          <w:rFonts w:cstheme="majorHAnsi"/>
          <w:szCs w:val="20"/>
        </w:rPr>
        <w:t>ISO 10535</w:t>
      </w:r>
      <w:r w:rsidRPr="0091001D">
        <w:rPr>
          <w:rFonts w:cstheme="majorHAnsi"/>
          <w:szCs w:val="20"/>
        </w:rPr>
        <w:t>. L’Entreprise décline toute responsabilité en cas de défaillance structurelle non imputable à son intervention. </w:t>
      </w:r>
    </w:p>
    <w:p w14:paraId="4E0BB051" w14:textId="1CC73DDF" w:rsidR="00CB1A4D" w:rsidRPr="0091001D" w:rsidRDefault="00CB1A4D" w:rsidP="00585837">
      <w:pPr>
        <w:pStyle w:val="Titre1"/>
        <w:jc w:val="both"/>
      </w:pPr>
      <w:r w:rsidRPr="0091001D">
        <w:t>ARTICLE 5 - r</w:t>
      </w:r>
      <w:r w:rsidR="00732881" w:rsidRPr="0091001D">
        <w:t>É</w:t>
      </w:r>
      <w:r w:rsidRPr="0091001D">
        <w:t>ception des travaux</w:t>
      </w:r>
    </w:p>
    <w:p w14:paraId="3177DF41" w14:textId="77777777" w:rsidR="00CB1A4D" w:rsidRPr="0091001D" w:rsidRDefault="00CB1A4D" w:rsidP="00585837">
      <w:pPr>
        <w:jc w:val="both"/>
        <w:rPr>
          <w:rFonts w:cstheme="majorHAnsi"/>
          <w:szCs w:val="20"/>
        </w:rPr>
      </w:pPr>
      <w:r w:rsidRPr="0091001D">
        <w:rPr>
          <w:rFonts w:cstheme="majorHAnsi"/>
          <w:szCs w:val="20"/>
        </w:rPr>
        <w:t xml:space="preserve">La réception intervient à l’achèvement des travaux et donne lieu à la signature d’un </w:t>
      </w:r>
      <w:r w:rsidRPr="00585837">
        <w:rPr>
          <w:rFonts w:cstheme="majorHAnsi"/>
          <w:szCs w:val="20"/>
        </w:rPr>
        <w:t>quitus</w:t>
      </w:r>
      <w:r w:rsidRPr="0091001D">
        <w:rPr>
          <w:rFonts w:cstheme="majorHAnsi"/>
          <w:szCs w:val="20"/>
        </w:rPr>
        <w:t xml:space="preserve"> ou d’un </w:t>
      </w:r>
      <w:r w:rsidRPr="00585837">
        <w:rPr>
          <w:rFonts w:cstheme="majorHAnsi"/>
          <w:szCs w:val="20"/>
        </w:rPr>
        <w:t>procès-verbal de réception</w:t>
      </w:r>
      <w:r w:rsidRPr="0091001D">
        <w:rPr>
          <w:rFonts w:cstheme="majorHAnsi"/>
          <w:szCs w:val="20"/>
        </w:rPr>
        <w:t>.</w:t>
      </w:r>
    </w:p>
    <w:p w14:paraId="5EBC938F" w14:textId="77777777" w:rsidR="00CB1A4D" w:rsidRPr="0091001D" w:rsidRDefault="00CB1A4D" w:rsidP="00585837">
      <w:pPr>
        <w:jc w:val="both"/>
        <w:rPr>
          <w:rFonts w:cstheme="majorHAnsi"/>
          <w:szCs w:val="20"/>
        </w:rPr>
      </w:pPr>
      <w:r w:rsidRPr="0091001D">
        <w:rPr>
          <w:rFonts w:cstheme="majorHAnsi"/>
          <w:szCs w:val="20"/>
        </w:rPr>
        <w:t>La prise de possession des lieux vaut réception sans réserve, sauf mention contraire. </w:t>
      </w:r>
    </w:p>
    <w:p w14:paraId="0375B1B7" w14:textId="77777777" w:rsidR="00CB1A4D" w:rsidRPr="0091001D" w:rsidRDefault="00CB1A4D" w:rsidP="00585837">
      <w:pPr>
        <w:jc w:val="both"/>
        <w:rPr>
          <w:rFonts w:cstheme="majorHAnsi"/>
          <w:szCs w:val="20"/>
        </w:rPr>
      </w:pPr>
      <w:r w:rsidRPr="0091001D">
        <w:rPr>
          <w:rFonts w:cstheme="majorHAnsi"/>
          <w:szCs w:val="20"/>
        </w:rPr>
        <w:t>Dans le cadre de travaux complexes, l’Entreprise participe aux opérations préalables à la réception (OPR). La levée des réserves marque la fin de l’intervention.</w:t>
      </w:r>
    </w:p>
    <w:p w14:paraId="552F6803" w14:textId="77777777" w:rsidR="00CB1A4D" w:rsidRPr="0091001D" w:rsidRDefault="00CB1A4D" w:rsidP="00585837">
      <w:pPr>
        <w:pStyle w:val="Titre1"/>
        <w:jc w:val="both"/>
      </w:pPr>
      <w:r w:rsidRPr="0091001D">
        <w:t>ARTICLE 6 – RÉSERVE DE PROPRIÉTÉ </w:t>
      </w:r>
    </w:p>
    <w:p w14:paraId="16B60D37" w14:textId="77777777" w:rsidR="00CB1A4D" w:rsidRPr="0091001D" w:rsidRDefault="00CB1A4D" w:rsidP="00585837">
      <w:pPr>
        <w:jc w:val="both"/>
        <w:rPr>
          <w:rFonts w:cstheme="majorHAnsi"/>
          <w:szCs w:val="20"/>
        </w:rPr>
      </w:pPr>
      <w:r w:rsidRPr="0091001D">
        <w:rPr>
          <w:rFonts w:cstheme="majorHAnsi"/>
          <w:szCs w:val="20"/>
        </w:rPr>
        <w:t>L’Entreprise conserve la propriété des matériels et équipements jusqu’au paiement intégral du prix. </w:t>
      </w:r>
    </w:p>
    <w:p w14:paraId="6125AD74" w14:textId="77777777" w:rsidR="00CB1A4D" w:rsidRPr="0091001D" w:rsidRDefault="00CB1A4D" w:rsidP="00585837">
      <w:pPr>
        <w:jc w:val="both"/>
        <w:rPr>
          <w:rFonts w:cstheme="majorHAnsi"/>
          <w:szCs w:val="20"/>
        </w:rPr>
      </w:pPr>
      <w:r w:rsidRPr="0091001D">
        <w:rPr>
          <w:rFonts w:cstheme="majorHAnsi"/>
          <w:szCs w:val="20"/>
        </w:rPr>
        <w:t>Le transfert des risques intervient dès la livraison des travaux.</w:t>
      </w:r>
    </w:p>
    <w:p w14:paraId="7D7C1700" w14:textId="77777777" w:rsidR="00CB1A4D" w:rsidRPr="0091001D" w:rsidRDefault="00CB1A4D" w:rsidP="00585837">
      <w:pPr>
        <w:pStyle w:val="Titre1"/>
        <w:jc w:val="both"/>
      </w:pPr>
      <w:r w:rsidRPr="0091001D">
        <w:t>ARTICLE 7 – CONDITIONS DE PAIEMENT </w:t>
      </w:r>
    </w:p>
    <w:p w14:paraId="1C8B4F5E" w14:textId="74405E8D" w:rsidR="00CB1A4D" w:rsidRPr="0091001D" w:rsidRDefault="00CB1A4D" w:rsidP="00585837">
      <w:pPr>
        <w:jc w:val="both"/>
        <w:rPr>
          <w:rFonts w:cstheme="majorHAnsi"/>
          <w:szCs w:val="20"/>
        </w:rPr>
      </w:pPr>
      <w:r w:rsidRPr="0091001D">
        <w:rPr>
          <w:rFonts w:cstheme="majorHAnsi"/>
          <w:szCs w:val="20"/>
        </w:rPr>
        <w:t>Sauf conditions particulières prévues au devis, un acompte de 40% est exigible à la signature du devis, 30% au démarrage des travaux et le solde de 30% à la réception des travaux.</w:t>
      </w:r>
    </w:p>
    <w:p w14:paraId="27708013" w14:textId="57AC898F" w:rsidR="00CB1A4D" w:rsidRPr="0091001D" w:rsidRDefault="00CB1A4D" w:rsidP="00585837">
      <w:pPr>
        <w:jc w:val="both"/>
        <w:rPr>
          <w:rFonts w:cstheme="majorHAnsi"/>
          <w:szCs w:val="20"/>
        </w:rPr>
      </w:pPr>
      <w:r w:rsidRPr="0091001D">
        <w:rPr>
          <w:rFonts w:cstheme="majorHAnsi"/>
          <w:szCs w:val="20"/>
        </w:rPr>
        <w:t xml:space="preserve">Le </w:t>
      </w:r>
      <w:r w:rsidRPr="00585837">
        <w:rPr>
          <w:rFonts w:cstheme="majorHAnsi"/>
          <w:szCs w:val="20"/>
        </w:rPr>
        <w:t>règlement</w:t>
      </w:r>
      <w:r w:rsidRPr="0091001D">
        <w:rPr>
          <w:rFonts w:cstheme="majorHAnsi"/>
          <w:b/>
          <w:bCs/>
          <w:szCs w:val="20"/>
        </w:rPr>
        <w:t xml:space="preserve"> </w:t>
      </w:r>
      <w:r w:rsidRPr="0091001D">
        <w:rPr>
          <w:rFonts w:cstheme="majorHAnsi"/>
          <w:szCs w:val="20"/>
        </w:rPr>
        <w:t xml:space="preserve">est à effectuer </w:t>
      </w:r>
      <w:r w:rsidRPr="00585837">
        <w:rPr>
          <w:rFonts w:cstheme="majorHAnsi"/>
          <w:szCs w:val="20"/>
        </w:rPr>
        <w:t xml:space="preserve">à </w:t>
      </w:r>
      <w:r w:rsidR="00585837">
        <w:rPr>
          <w:rFonts w:cstheme="majorHAnsi"/>
          <w:szCs w:val="20"/>
        </w:rPr>
        <w:t xml:space="preserve">la </w:t>
      </w:r>
      <w:r w:rsidRPr="00585837">
        <w:rPr>
          <w:rFonts w:cstheme="majorHAnsi"/>
          <w:szCs w:val="20"/>
        </w:rPr>
        <w:t>réception de la facture</w:t>
      </w:r>
      <w:r w:rsidRPr="0091001D">
        <w:rPr>
          <w:rFonts w:cstheme="majorHAnsi"/>
          <w:szCs w:val="20"/>
        </w:rPr>
        <w:t>, par virement bancaire ou par chèque.</w:t>
      </w:r>
    </w:p>
    <w:p w14:paraId="7C3BC722" w14:textId="77777777" w:rsidR="006C7B69" w:rsidRPr="0091001D" w:rsidRDefault="00CB1A4D" w:rsidP="00585837">
      <w:pPr>
        <w:jc w:val="both"/>
        <w:rPr>
          <w:rFonts w:cstheme="majorHAnsi"/>
          <w:szCs w:val="20"/>
        </w:rPr>
      </w:pPr>
      <w:r w:rsidRPr="0091001D">
        <w:rPr>
          <w:rFonts w:cstheme="majorHAnsi"/>
          <w:szCs w:val="20"/>
        </w:rPr>
        <w:t xml:space="preserve">En cas de </w:t>
      </w:r>
      <w:r w:rsidRPr="008576DF">
        <w:rPr>
          <w:rFonts w:cstheme="majorHAnsi"/>
          <w:szCs w:val="20"/>
        </w:rPr>
        <w:t>retard de paiement</w:t>
      </w:r>
      <w:r w:rsidRPr="0091001D">
        <w:rPr>
          <w:rFonts w:cstheme="majorHAnsi"/>
          <w:szCs w:val="20"/>
        </w:rPr>
        <w:t>, des pénalités sont appliquées de plein droit. Son taux d’intérêt sera calculé au prorata du taux d’intérêt annuel de la Banque Centrale Européenne majoré de 10 points plus une indemnité forfaitaire de 40 € pour frais de recouvrement.</w:t>
      </w:r>
    </w:p>
    <w:p w14:paraId="21EE11DA" w14:textId="65584705" w:rsidR="00CB1A4D" w:rsidRPr="0091001D" w:rsidRDefault="00CB1A4D" w:rsidP="00585837">
      <w:pPr>
        <w:jc w:val="both"/>
        <w:rPr>
          <w:rFonts w:cstheme="majorHAnsi"/>
          <w:i/>
          <w:iCs/>
          <w:szCs w:val="20"/>
        </w:rPr>
      </w:pPr>
      <w:r w:rsidRPr="0091001D">
        <w:rPr>
          <w:rFonts w:cstheme="majorHAnsi"/>
          <w:i/>
          <w:iCs/>
          <w:szCs w:val="20"/>
        </w:rPr>
        <w:t>(</w:t>
      </w:r>
      <w:hyperlink r:id="rId5" w:history="1">
        <w:r w:rsidRPr="0091001D">
          <w:rPr>
            <w:rStyle w:val="Lienhypertexte"/>
            <w:rFonts w:cstheme="majorHAnsi"/>
            <w:i/>
            <w:iCs/>
            <w:color w:val="auto"/>
            <w:szCs w:val="20"/>
          </w:rPr>
          <w:t>https://www.ecb.europa.eu/stats/policy_and_exchange_rates/key_ecb_interest_rates/html/index.fr.html</w:t>
        </w:r>
      </w:hyperlink>
      <w:r w:rsidRPr="0091001D">
        <w:rPr>
          <w:rFonts w:cstheme="majorHAnsi"/>
          <w:i/>
          <w:iCs/>
          <w:szCs w:val="20"/>
        </w:rPr>
        <w:t>)</w:t>
      </w:r>
    </w:p>
    <w:p w14:paraId="452F8D78" w14:textId="3F43BB16" w:rsidR="00CB1A4D" w:rsidRPr="0091001D" w:rsidRDefault="00CB1A4D" w:rsidP="00585837">
      <w:pPr>
        <w:jc w:val="both"/>
        <w:rPr>
          <w:rFonts w:cstheme="majorHAnsi"/>
          <w:szCs w:val="20"/>
        </w:rPr>
      </w:pPr>
      <w:r w:rsidRPr="0091001D">
        <w:rPr>
          <w:rFonts w:cstheme="majorHAnsi"/>
          <w:i/>
          <w:iCs/>
          <w:szCs w:val="20"/>
        </w:rPr>
        <w:t xml:space="preserve">Ex : </w:t>
      </w:r>
      <w:r w:rsidR="008576DF">
        <w:rPr>
          <w:rFonts w:cstheme="majorHAnsi"/>
          <w:i/>
          <w:iCs/>
          <w:szCs w:val="20"/>
        </w:rPr>
        <w:t>S</w:t>
      </w:r>
      <w:r w:rsidRPr="0091001D">
        <w:rPr>
          <w:rFonts w:cstheme="majorHAnsi"/>
          <w:i/>
          <w:iCs/>
          <w:szCs w:val="20"/>
        </w:rPr>
        <w:t>i le taux BCE est de 2,15 %, le taux appliqué sera de 12,15 %.</w:t>
      </w:r>
    </w:p>
    <w:p w14:paraId="2A35204C" w14:textId="77777777" w:rsidR="00CB1A4D" w:rsidRPr="0091001D" w:rsidRDefault="00CB1A4D" w:rsidP="00585837">
      <w:pPr>
        <w:pStyle w:val="Titre1"/>
        <w:jc w:val="both"/>
      </w:pPr>
      <w:r w:rsidRPr="0091001D">
        <w:t>ARTICLE 8 – SOUS-TRAITANCE</w:t>
      </w:r>
    </w:p>
    <w:p w14:paraId="5324DAD3" w14:textId="77777777" w:rsidR="00CB1A4D" w:rsidRPr="0091001D" w:rsidRDefault="00CB1A4D" w:rsidP="00585837">
      <w:pPr>
        <w:pStyle w:val="Titre2"/>
        <w:jc w:val="both"/>
      </w:pPr>
      <w:r w:rsidRPr="0091001D">
        <w:t>8.1. Cadre de la Mission</w:t>
      </w:r>
    </w:p>
    <w:p w14:paraId="7E55E8AD" w14:textId="77777777" w:rsidR="006C7B69" w:rsidRPr="0091001D" w:rsidRDefault="00CB1A4D" w:rsidP="00585837">
      <w:pPr>
        <w:jc w:val="both"/>
        <w:rPr>
          <w:rFonts w:cstheme="majorHAnsi"/>
          <w:szCs w:val="20"/>
        </w:rPr>
      </w:pPr>
      <w:r w:rsidRPr="0091001D">
        <w:rPr>
          <w:rFonts w:cstheme="majorHAnsi"/>
          <w:szCs w:val="20"/>
        </w:rPr>
        <w:t>Conformément à la loi n°75-1334 du 31 décembre 1975, toute intervention de l’Entreprise en qualité de sous-traitant doit être définie par un accord préalable.</w:t>
      </w:r>
    </w:p>
    <w:p w14:paraId="47EBBAFA" w14:textId="7689151E" w:rsidR="00CB1A4D" w:rsidRPr="0091001D" w:rsidRDefault="00CB1A4D" w:rsidP="00585837">
      <w:pPr>
        <w:spacing w:after="0"/>
        <w:jc w:val="both"/>
        <w:rPr>
          <w:rFonts w:cstheme="majorHAnsi"/>
          <w:szCs w:val="20"/>
        </w:rPr>
      </w:pPr>
      <w:r w:rsidRPr="0091001D">
        <w:rPr>
          <w:rFonts w:cstheme="majorHAnsi"/>
          <w:szCs w:val="20"/>
        </w:rPr>
        <w:t>Cet accord précise</w:t>
      </w:r>
      <w:r w:rsidR="006C7B69" w:rsidRPr="0091001D">
        <w:rPr>
          <w:rFonts w:cstheme="majorHAnsi"/>
          <w:szCs w:val="20"/>
        </w:rPr>
        <w:t xml:space="preserve"> </w:t>
      </w:r>
      <w:r w:rsidRPr="0091001D">
        <w:rPr>
          <w:rFonts w:cstheme="majorHAnsi"/>
          <w:szCs w:val="20"/>
        </w:rPr>
        <w:t>:</w:t>
      </w:r>
    </w:p>
    <w:p w14:paraId="3970D8FF" w14:textId="192269AD" w:rsidR="00CB1A4D" w:rsidRPr="0091001D" w:rsidRDefault="00CB1A4D" w:rsidP="00585837">
      <w:pPr>
        <w:pStyle w:val="Paragraphedeliste"/>
        <w:numPr>
          <w:ilvl w:val="0"/>
          <w:numId w:val="1"/>
        </w:numPr>
        <w:ind w:left="142" w:hanging="142"/>
        <w:jc w:val="both"/>
        <w:rPr>
          <w:rFonts w:cstheme="majorHAnsi"/>
          <w:szCs w:val="20"/>
        </w:rPr>
      </w:pPr>
      <w:r w:rsidRPr="0091001D">
        <w:rPr>
          <w:rFonts w:cstheme="majorHAnsi"/>
          <w:szCs w:val="20"/>
        </w:rPr>
        <w:t>Le</w:t>
      </w:r>
      <w:r w:rsidR="00732881">
        <w:rPr>
          <w:rFonts w:cstheme="majorHAnsi"/>
          <w:szCs w:val="20"/>
        </w:rPr>
        <w:t>s</w:t>
      </w:r>
      <w:r w:rsidRPr="0091001D">
        <w:rPr>
          <w:rFonts w:cstheme="majorHAnsi"/>
          <w:szCs w:val="20"/>
        </w:rPr>
        <w:t xml:space="preserve"> détail</w:t>
      </w:r>
      <w:r w:rsidR="00732881">
        <w:rPr>
          <w:rFonts w:cstheme="majorHAnsi"/>
          <w:szCs w:val="20"/>
        </w:rPr>
        <w:t>s</w:t>
      </w:r>
      <w:r w:rsidRPr="0091001D">
        <w:rPr>
          <w:rFonts w:cstheme="majorHAnsi"/>
          <w:szCs w:val="20"/>
        </w:rPr>
        <w:t xml:space="preserve"> des prestations ;</w:t>
      </w:r>
    </w:p>
    <w:p w14:paraId="39416FC0" w14:textId="57DF3D5A" w:rsidR="00CB1A4D" w:rsidRPr="0091001D" w:rsidRDefault="00CB1A4D" w:rsidP="00585837">
      <w:pPr>
        <w:pStyle w:val="Paragraphedeliste"/>
        <w:numPr>
          <w:ilvl w:val="0"/>
          <w:numId w:val="1"/>
        </w:numPr>
        <w:ind w:left="142" w:hanging="142"/>
        <w:jc w:val="both"/>
        <w:rPr>
          <w:rFonts w:cstheme="majorHAnsi"/>
          <w:szCs w:val="20"/>
        </w:rPr>
      </w:pPr>
      <w:r w:rsidRPr="0091001D">
        <w:rPr>
          <w:rFonts w:cstheme="majorHAnsi"/>
          <w:szCs w:val="20"/>
        </w:rPr>
        <w:t>Le délai d'exécution ou le calendrier de la mission ;</w:t>
      </w:r>
    </w:p>
    <w:p w14:paraId="1E68ECAC" w14:textId="0381758F" w:rsidR="00CB1A4D" w:rsidRPr="0091001D" w:rsidRDefault="00CB1A4D" w:rsidP="00585837">
      <w:pPr>
        <w:pStyle w:val="Paragraphedeliste"/>
        <w:numPr>
          <w:ilvl w:val="0"/>
          <w:numId w:val="1"/>
        </w:numPr>
        <w:ind w:left="142" w:hanging="142"/>
        <w:jc w:val="both"/>
        <w:rPr>
          <w:rFonts w:cstheme="majorHAnsi"/>
          <w:szCs w:val="20"/>
        </w:rPr>
      </w:pPr>
      <w:r w:rsidRPr="0091001D">
        <w:rPr>
          <w:rFonts w:cstheme="majorHAnsi"/>
          <w:szCs w:val="20"/>
        </w:rPr>
        <w:t>Le prix.</w:t>
      </w:r>
    </w:p>
    <w:p w14:paraId="3A4C46BF" w14:textId="301EACAE" w:rsidR="00CB1A4D" w:rsidRPr="0091001D" w:rsidRDefault="00CB1A4D" w:rsidP="00585837">
      <w:pPr>
        <w:jc w:val="both"/>
        <w:rPr>
          <w:rFonts w:cstheme="majorHAnsi"/>
          <w:szCs w:val="20"/>
        </w:rPr>
      </w:pPr>
      <w:r w:rsidRPr="0091001D">
        <w:rPr>
          <w:rFonts w:cstheme="majorHAnsi"/>
          <w:szCs w:val="20"/>
        </w:rPr>
        <w:t>À défaut d'écrit, l'Entreprise se réserve le droit de différer son intervention.</w:t>
      </w:r>
    </w:p>
    <w:p w14:paraId="1B42D313" w14:textId="3230B988" w:rsidR="00CB1A4D" w:rsidRPr="0091001D" w:rsidRDefault="00CB1A4D" w:rsidP="00585837">
      <w:pPr>
        <w:pStyle w:val="Titre2"/>
        <w:jc w:val="both"/>
      </w:pPr>
      <w:r w:rsidRPr="0091001D">
        <w:t xml:space="preserve">8.2. Organisation et Agrément </w:t>
      </w:r>
    </w:p>
    <w:p w14:paraId="623C3A22" w14:textId="6CF9737B" w:rsidR="00E81BC2" w:rsidRPr="0091001D" w:rsidRDefault="00C37B59" w:rsidP="00585837">
      <w:pPr>
        <w:jc w:val="both"/>
        <w:rPr>
          <w:rFonts w:cstheme="majorHAnsi"/>
          <w:szCs w:val="20"/>
        </w:rPr>
      </w:pPr>
      <w:r>
        <w:rPr>
          <w:rFonts w:cstheme="majorHAnsi"/>
          <w:szCs w:val="20"/>
        </w:rPr>
        <w:t>Conformément à l’article 3 de la loi suscitée, l</w:t>
      </w:r>
      <w:r w:rsidR="006C7B69" w:rsidRPr="0091001D">
        <w:rPr>
          <w:rFonts w:cstheme="majorHAnsi"/>
          <w:szCs w:val="20"/>
        </w:rPr>
        <w:t>’</w:t>
      </w:r>
      <w:r w:rsidR="00CB1A4D" w:rsidRPr="0091001D">
        <w:rPr>
          <w:rFonts w:cstheme="majorHAnsi"/>
          <w:szCs w:val="20"/>
        </w:rPr>
        <w:t>Entrepreneur Principal s’engage à faire accepter l’Entreprise et à faire agréer ses conditions de paiement auprès du Maître d’ouvrage.</w:t>
      </w:r>
    </w:p>
    <w:p w14:paraId="6DA83087" w14:textId="1AEF8863" w:rsidR="00CB1A4D" w:rsidRPr="0091001D" w:rsidRDefault="00E81BC2" w:rsidP="00585837">
      <w:pPr>
        <w:jc w:val="both"/>
        <w:rPr>
          <w:rFonts w:cstheme="majorHAnsi"/>
          <w:szCs w:val="20"/>
        </w:rPr>
      </w:pPr>
      <w:r w:rsidRPr="0091001D">
        <w:rPr>
          <w:rFonts w:cstheme="majorHAnsi"/>
          <w:szCs w:val="20"/>
        </w:rPr>
        <w:t>Pour la gestion des chantiers au quotidien, t</w:t>
      </w:r>
      <w:r w:rsidR="00CB1A4D" w:rsidRPr="0091001D">
        <w:rPr>
          <w:rFonts w:cstheme="majorHAnsi"/>
          <w:szCs w:val="20"/>
        </w:rPr>
        <w:t xml:space="preserve">oute instruction technique passe exclusivement par </w:t>
      </w:r>
      <w:r w:rsidR="006C7B69" w:rsidRPr="0091001D">
        <w:rPr>
          <w:rFonts w:cstheme="majorHAnsi"/>
          <w:szCs w:val="20"/>
        </w:rPr>
        <w:t xml:space="preserve">l’Entrepreneur </w:t>
      </w:r>
      <w:r w:rsidR="008576DF">
        <w:rPr>
          <w:rFonts w:cstheme="majorHAnsi"/>
          <w:szCs w:val="20"/>
        </w:rPr>
        <w:t>P</w:t>
      </w:r>
      <w:r w:rsidR="006C7B69" w:rsidRPr="0091001D">
        <w:rPr>
          <w:rFonts w:cstheme="majorHAnsi"/>
          <w:szCs w:val="20"/>
        </w:rPr>
        <w:t>rincipal</w:t>
      </w:r>
      <w:r w:rsidR="00CB1A4D" w:rsidRPr="0091001D">
        <w:rPr>
          <w:rFonts w:cstheme="majorHAnsi"/>
          <w:szCs w:val="20"/>
        </w:rPr>
        <w:t>, l’Entreprise n’ayant pas de lien contractuel direct avec le Maître d’ouvrage.</w:t>
      </w:r>
    </w:p>
    <w:p w14:paraId="685AA6D3" w14:textId="657F380D" w:rsidR="00CB1A4D" w:rsidRPr="0091001D" w:rsidRDefault="00CB1A4D" w:rsidP="00585837">
      <w:pPr>
        <w:pStyle w:val="Titre2"/>
        <w:jc w:val="both"/>
      </w:pPr>
      <w:r w:rsidRPr="0091001D">
        <w:t>8.3. Paiement et Garanties</w:t>
      </w:r>
    </w:p>
    <w:p w14:paraId="204EAA2B" w14:textId="77777777" w:rsidR="00C37B59" w:rsidRDefault="00CB1A4D" w:rsidP="00585837">
      <w:pPr>
        <w:jc w:val="both"/>
        <w:rPr>
          <w:rFonts w:cstheme="majorHAnsi"/>
          <w:szCs w:val="20"/>
        </w:rPr>
      </w:pPr>
      <w:r w:rsidRPr="0091001D">
        <w:rPr>
          <w:rFonts w:cstheme="majorHAnsi"/>
          <w:szCs w:val="20"/>
        </w:rPr>
        <w:t>L</w:t>
      </w:r>
      <w:r w:rsidR="00E81BC2" w:rsidRPr="0091001D">
        <w:rPr>
          <w:rFonts w:cstheme="majorHAnsi"/>
          <w:szCs w:val="20"/>
        </w:rPr>
        <w:t xml:space="preserve">’Entrepreneur </w:t>
      </w:r>
      <w:r w:rsidR="008576DF">
        <w:rPr>
          <w:rFonts w:cstheme="majorHAnsi"/>
          <w:szCs w:val="20"/>
        </w:rPr>
        <w:t>P</w:t>
      </w:r>
      <w:r w:rsidR="00E81BC2" w:rsidRPr="0091001D">
        <w:rPr>
          <w:rFonts w:cstheme="majorHAnsi"/>
          <w:szCs w:val="20"/>
        </w:rPr>
        <w:t xml:space="preserve">rincipal </w:t>
      </w:r>
      <w:r w:rsidRPr="0091001D">
        <w:rPr>
          <w:rFonts w:cstheme="majorHAnsi"/>
          <w:szCs w:val="20"/>
        </w:rPr>
        <w:t>reste personnellement et intégralement tenu du paiement des factures dues à l’Entreprise.</w:t>
      </w:r>
    </w:p>
    <w:p w14:paraId="78BEC930" w14:textId="35B5F397" w:rsidR="00CB1A4D" w:rsidRPr="0091001D" w:rsidRDefault="00CB1A4D" w:rsidP="00585837">
      <w:pPr>
        <w:jc w:val="both"/>
        <w:rPr>
          <w:rFonts w:cstheme="majorHAnsi"/>
          <w:szCs w:val="20"/>
        </w:rPr>
      </w:pPr>
      <w:r w:rsidRPr="0091001D">
        <w:rPr>
          <w:rFonts w:cstheme="majorHAnsi"/>
          <w:szCs w:val="20"/>
        </w:rPr>
        <w:t xml:space="preserve">Conformément à l’article 14 de la loi de 1975, ce paiement doit être garanti par une caution bancaire ou une délégation de paiement. </w:t>
      </w:r>
      <w:r w:rsidR="00C37B59">
        <w:rPr>
          <w:rFonts w:cstheme="majorHAnsi"/>
          <w:szCs w:val="20"/>
        </w:rPr>
        <w:t>A défaut de ces garanties obligatoires, l</w:t>
      </w:r>
      <w:r w:rsidRPr="0091001D">
        <w:rPr>
          <w:rFonts w:cstheme="majorHAnsi"/>
          <w:szCs w:val="20"/>
        </w:rPr>
        <w:t>’Entreprise peut suspendre ses travaux.</w:t>
      </w:r>
    </w:p>
    <w:p w14:paraId="4A391CCA" w14:textId="2AF602D2" w:rsidR="00CB1A4D" w:rsidRPr="0091001D" w:rsidRDefault="00CB1A4D" w:rsidP="00585837">
      <w:pPr>
        <w:pStyle w:val="Titre2"/>
        <w:jc w:val="both"/>
      </w:pPr>
      <w:r w:rsidRPr="0091001D">
        <w:t xml:space="preserve">8.4. Recours en cas d’impayé </w:t>
      </w:r>
    </w:p>
    <w:p w14:paraId="4A9CBC15" w14:textId="6C3D5847" w:rsidR="00E81BC2" w:rsidRPr="0091001D" w:rsidRDefault="00CB1A4D" w:rsidP="00585837">
      <w:pPr>
        <w:jc w:val="both"/>
        <w:rPr>
          <w:rFonts w:cstheme="majorHAnsi"/>
          <w:szCs w:val="20"/>
        </w:rPr>
      </w:pPr>
      <w:r w:rsidRPr="0091001D">
        <w:rPr>
          <w:rFonts w:cstheme="majorHAnsi"/>
          <w:szCs w:val="20"/>
        </w:rPr>
        <w:t xml:space="preserve">En cas de défaut de paiement par le </w:t>
      </w:r>
      <w:r w:rsidR="00E81BC2" w:rsidRPr="0091001D">
        <w:rPr>
          <w:rFonts w:cstheme="majorHAnsi"/>
          <w:szCs w:val="20"/>
        </w:rPr>
        <w:t xml:space="preserve">l’Entrepreneur </w:t>
      </w:r>
      <w:r w:rsidR="008576DF">
        <w:rPr>
          <w:rFonts w:cstheme="majorHAnsi"/>
          <w:szCs w:val="20"/>
        </w:rPr>
        <w:t>P</w:t>
      </w:r>
      <w:r w:rsidR="00E81BC2" w:rsidRPr="0091001D">
        <w:rPr>
          <w:rFonts w:cstheme="majorHAnsi"/>
          <w:szCs w:val="20"/>
        </w:rPr>
        <w:t xml:space="preserve">rincipal, </w:t>
      </w:r>
      <w:r w:rsidRPr="0091001D">
        <w:rPr>
          <w:rFonts w:cstheme="majorHAnsi"/>
          <w:szCs w:val="20"/>
        </w:rPr>
        <w:t xml:space="preserve">l’Entreprise </w:t>
      </w:r>
      <w:r w:rsidR="00E81BC2" w:rsidRPr="0091001D">
        <w:rPr>
          <w:rFonts w:cstheme="majorHAnsi"/>
          <w:szCs w:val="20"/>
        </w:rPr>
        <w:t>se réserve le droit d’</w:t>
      </w:r>
      <w:r w:rsidRPr="0091001D">
        <w:rPr>
          <w:rFonts w:cstheme="majorHAnsi"/>
          <w:szCs w:val="20"/>
        </w:rPr>
        <w:t xml:space="preserve">exercer </w:t>
      </w:r>
      <w:r w:rsidR="003576A3">
        <w:rPr>
          <w:rFonts w:cstheme="majorHAnsi"/>
          <w:szCs w:val="20"/>
        </w:rPr>
        <w:t xml:space="preserve">une </w:t>
      </w:r>
      <w:r w:rsidRPr="0091001D">
        <w:rPr>
          <w:rFonts w:cstheme="majorHAnsi"/>
          <w:szCs w:val="20"/>
        </w:rPr>
        <w:t>action directe</w:t>
      </w:r>
      <w:r w:rsidR="00C37B59">
        <w:rPr>
          <w:rFonts w:cstheme="majorHAnsi"/>
          <w:szCs w:val="20"/>
        </w:rPr>
        <w:t>,</w:t>
      </w:r>
      <w:r w:rsidR="00E81BC2" w:rsidRPr="0091001D">
        <w:rPr>
          <w:rFonts w:cstheme="majorHAnsi"/>
          <w:szCs w:val="20"/>
        </w:rPr>
        <w:t xml:space="preserve"> conformément à l’article 12 et 14-1 de la loi n°75-1334 du 31 décembre 1975.</w:t>
      </w:r>
    </w:p>
    <w:p w14:paraId="5B5D7ED9" w14:textId="36007531" w:rsidR="00CB1A4D" w:rsidRPr="0091001D" w:rsidRDefault="00CB1A4D" w:rsidP="00585837">
      <w:pPr>
        <w:pStyle w:val="Titre1"/>
        <w:jc w:val="both"/>
      </w:pPr>
      <w:r w:rsidRPr="0091001D">
        <w:t>ARTICLE 9 – LITIGES ET COMPÉTENCE TERRITORIALE </w:t>
      </w:r>
    </w:p>
    <w:p w14:paraId="2CD82ECA" w14:textId="77777777" w:rsidR="00CB1A4D" w:rsidRPr="0091001D" w:rsidRDefault="00CB1A4D" w:rsidP="00585837">
      <w:pPr>
        <w:jc w:val="both"/>
        <w:rPr>
          <w:rFonts w:cstheme="majorHAnsi"/>
          <w:szCs w:val="20"/>
        </w:rPr>
      </w:pPr>
      <w:r w:rsidRPr="0091001D">
        <w:rPr>
          <w:rFonts w:cstheme="majorHAnsi"/>
          <w:szCs w:val="20"/>
        </w:rPr>
        <w:t>Les présentes CGV sont régies par le droit français. </w:t>
      </w:r>
    </w:p>
    <w:p w14:paraId="7C87BAB2" w14:textId="127A59FB" w:rsidR="00CB1A4D" w:rsidRPr="0091001D" w:rsidRDefault="00CB1A4D" w:rsidP="00585837">
      <w:pPr>
        <w:jc w:val="both"/>
        <w:rPr>
          <w:rFonts w:cstheme="majorHAnsi"/>
          <w:szCs w:val="20"/>
        </w:rPr>
      </w:pPr>
      <w:r w:rsidRPr="0091001D">
        <w:rPr>
          <w:rFonts w:cstheme="majorHAnsi"/>
          <w:szCs w:val="20"/>
        </w:rPr>
        <w:t xml:space="preserve">En cas de contestation, les parties s’engagent </w:t>
      </w:r>
      <w:r w:rsidR="00875FCE" w:rsidRPr="0091001D">
        <w:rPr>
          <w:rFonts w:cstheme="majorHAnsi"/>
          <w:szCs w:val="20"/>
        </w:rPr>
        <w:t xml:space="preserve">en premier lieu </w:t>
      </w:r>
      <w:r w:rsidRPr="0091001D">
        <w:rPr>
          <w:rFonts w:cstheme="majorHAnsi"/>
          <w:szCs w:val="20"/>
        </w:rPr>
        <w:t>à rechercher une solution amiable.</w:t>
      </w:r>
    </w:p>
    <w:p w14:paraId="7E122B28" w14:textId="4B465418" w:rsidR="00CB1A4D" w:rsidRPr="008576DF" w:rsidRDefault="00CB1A4D" w:rsidP="00585837">
      <w:pPr>
        <w:jc w:val="both"/>
        <w:rPr>
          <w:rFonts w:cstheme="majorHAnsi"/>
          <w:szCs w:val="20"/>
        </w:rPr>
      </w:pPr>
      <w:r w:rsidRPr="0091001D">
        <w:rPr>
          <w:rFonts w:cstheme="majorHAnsi"/>
          <w:szCs w:val="20"/>
        </w:rPr>
        <w:t xml:space="preserve">À défaut d’accord, </w:t>
      </w:r>
      <w:r w:rsidRPr="00216C75">
        <w:rPr>
          <w:rFonts w:cstheme="majorHAnsi"/>
          <w:szCs w:val="20"/>
        </w:rPr>
        <w:t>tout litige</w:t>
      </w:r>
      <w:r w:rsidRPr="0091001D">
        <w:rPr>
          <w:rFonts w:cstheme="majorHAnsi"/>
          <w:b/>
          <w:bCs/>
          <w:szCs w:val="20"/>
        </w:rPr>
        <w:t xml:space="preserve"> </w:t>
      </w:r>
      <w:r w:rsidR="00216C75" w:rsidRPr="0091001D">
        <w:rPr>
          <w:rFonts w:cstheme="majorHAnsi"/>
          <w:szCs w:val="20"/>
        </w:rPr>
        <w:t>relatif à la validité, l’interprétation, l’exécution ou la cessation des présentes</w:t>
      </w:r>
      <w:r w:rsidR="00216C75" w:rsidRPr="0091001D">
        <w:rPr>
          <w:rFonts w:cstheme="majorHAnsi"/>
          <w:b/>
          <w:bCs/>
          <w:szCs w:val="20"/>
        </w:rPr>
        <w:t xml:space="preserve"> </w:t>
      </w:r>
      <w:r w:rsidRPr="008576DF">
        <w:rPr>
          <w:rFonts w:cstheme="majorHAnsi"/>
          <w:szCs w:val="20"/>
        </w:rPr>
        <w:t xml:space="preserve">entre professionnels, sera de la compétence du Tribunal de </w:t>
      </w:r>
      <w:r w:rsidR="008576DF">
        <w:rPr>
          <w:rFonts w:cstheme="majorHAnsi"/>
          <w:szCs w:val="20"/>
        </w:rPr>
        <w:t>C</w:t>
      </w:r>
      <w:r w:rsidRPr="008576DF">
        <w:rPr>
          <w:rFonts w:cstheme="majorHAnsi"/>
          <w:szCs w:val="20"/>
        </w:rPr>
        <w:t>ommerce d’Aix-en-Provence, y compris en cas de référé, pluralité de défendeurs ou appel en garantie. </w:t>
      </w:r>
    </w:p>
    <w:p w14:paraId="0219FCE8" w14:textId="1A0E9E56" w:rsidR="00CB1A4D" w:rsidRPr="008576DF" w:rsidRDefault="00CB1A4D" w:rsidP="00585837">
      <w:pPr>
        <w:jc w:val="both"/>
        <w:rPr>
          <w:rFonts w:cstheme="majorHAnsi"/>
          <w:szCs w:val="20"/>
        </w:rPr>
      </w:pPr>
      <w:r w:rsidRPr="008576DF">
        <w:rPr>
          <w:rFonts w:cstheme="majorHAnsi"/>
          <w:szCs w:val="20"/>
        </w:rPr>
        <w:t>Pour les clients non-professionnels, les règles légales de compétence territoriale s’appliquent.</w:t>
      </w:r>
    </w:p>
    <w:sectPr w:rsidR="00CB1A4D" w:rsidRPr="008576DF" w:rsidSect="0091001D">
      <w:pgSz w:w="11906" w:h="16838"/>
      <w:pgMar w:top="567" w:right="566" w:bottom="709" w:left="567" w:header="708" w:footer="708"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C0920"/>
    <w:multiLevelType w:val="hybridMultilevel"/>
    <w:tmpl w:val="90DE2A3A"/>
    <w:lvl w:ilvl="0" w:tplc="1B5871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D03BD3"/>
    <w:multiLevelType w:val="hybridMultilevel"/>
    <w:tmpl w:val="78D020F6"/>
    <w:lvl w:ilvl="0" w:tplc="CAA80634">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45266455">
    <w:abstractNumId w:val="0"/>
  </w:num>
  <w:num w:numId="2" w16cid:durableId="1812089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4D"/>
    <w:rsid w:val="000E6556"/>
    <w:rsid w:val="00207CB8"/>
    <w:rsid w:val="00216C75"/>
    <w:rsid w:val="002B6A6E"/>
    <w:rsid w:val="00320405"/>
    <w:rsid w:val="003576A3"/>
    <w:rsid w:val="00585837"/>
    <w:rsid w:val="006C7B69"/>
    <w:rsid w:val="00732881"/>
    <w:rsid w:val="00793A1B"/>
    <w:rsid w:val="007E4176"/>
    <w:rsid w:val="008576DF"/>
    <w:rsid w:val="00875FCE"/>
    <w:rsid w:val="00902F5D"/>
    <w:rsid w:val="009061CC"/>
    <w:rsid w:val="0091001D"/>
    <w:rsid w:val="009A14EF"/>
    <w:rsid w:val="009C6061"/>
    <w:rsid w:val="00A80830"/>
    <w:rsid w:val="00A9747E"/>
    <w:rsid w:val="00C37B59"/>
    <w:rsid w:val="00C614A8"/>
    <w:rsid w:val="00CB1A4D"/>
    <w:rsid w:val="00E81BC2"/>
    <w:rsid w:val="00E86258"/>
    <w:rsid w:val="00FB72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B5B84"/>
  <w15:chartTrackingRefBased/>
  <w15:docId w15:val="{07D842F7-FDBD-4A61-B5F9-AD7AAD2A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1D"/>
    <w:pPr>
      <w:spacing w:before="120" w:after="120" w:line="240" w:lineRule="auto"/>
    </w:pPr>
    <w:rPr>
      <w:rFonts w:ascii="Arial Narrow" w:hAnsi="Arial Narrow"/>
      <w:sz w:val="20"/>
    </w:rPr>
  </w:style>
  <w:style w:type="paragraph" w:styleId="Titre1">
    <w:name w:val="heading 1"/>
    <w:basedOn w:val="Normal"/>
    <w:next w:val="Normal"/>
    <w:link w:val="Titre1Car"/>
    <w:uiPriority w:val="9"/>
    <w:qFormat/>
    <w:rsid w:val="002B6A6E"/>
    <w:pPr>
      <w:keepNext/>
      <w:keepLines/>
      <w:spacing w:before="240" w:after="180"/>
      <w:outlineLvl w:val="0"/>
    </w:pPr>
    <w:rPr>
      <w:rFonts w:eastAsiaTheme="majorEastAsia" w:cstheme="majorBidi"/>
      <w:b/>
      <w:caps/>
      <w:color w:val="2F5496" w:themeColor="accent1" w:themeShade="BF"/>
      <w:szCs w:val="40"/>
    </w:rPr>
  </w:style>
  <w:style w:type="paragraph" w:styleId="Titre2">
    <w:name w:val="heading 2"/>
    <w:basedOn w:val="Normal"/>
    <w:next w:val="Normal"/>
    <w:link w:val="Titre2Car"/>
    <w:uiPriority w:val="9"/>
    <w:unhideWhenUsed/>
    <w:qFormat/>
    <w:rsid w:val="0091001D"/>
    <w:pPr>
      <w:keepNext/>
      <w:keepLines/>
      <w:outlineLvl w:val="1"/>
    </w:pPr>
    <w:rPr>
      <w:rFonts w:eastAsiaTheme="majorEastAsia" w:cstheme="majorBidi"/>
      <w:szCs w:val="32"/>
      <w:u w:val="single"/>
    </w:rPr>
  </w:style>
  <w:style w:type="paragraph" w:styleId="Titre3">
    <w:name w:val="heading 3"/>
    <w:basedOn w:val="Normal"/>
    <w:next w:val="Normal"/>
    <w:link w:val="Titre3Car"/>
    <w:uiPriority w:val="9"/>
    <w:semiHidden/>
    <w:unhideWhenUsed/>
    <w:qFormat/>
    <w:rsid w:val="00CB1A4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B1A4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B1A4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B1A4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1A4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1A4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1A4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6A6E"/>
    <w:rPr>
      <w:rFonts w:ascii="Arial Narrow" w:eastAsiaTheme="majorEastAsia" w:hAnsi="Arial Narrow" w:cstheme="majorBidi"/>
      <w:b/>
      <w:caps/>
      <w:color w:val="2F5496" w:themeColor="accent1" w:themeShade="BF"/>
      <w:sz w:val="20"/>
      <w:szCs w:val="40"/>
    </w:rPr>
  </w:style>
  <w:style w:type="character" w:customStyle="1" w:styleId="Titre2Car">
    <w:name w:val="Titre 2 Car"/>
    <w:basedOn w:val="Policepardfaut"/>
    <w:link w:val="Titre2"/>
    <w:uiPriority w:val="9"/>
    <w:rsid w:val="0091001D"/>
    <w:rPr>
      <w:rFonts w:ascii="Arial Narrow" w:eastAsiaTheme="majorEastAsia" w:hAnsi="Arial Narrow" w:cstheme="majorBidi"/>
      <w:sz w:val="20"/>
      <w:szCs w:val="32"/>
      <w:u w:val="single"/>
    </w:rPr>
  </w:style>
  <w:style w:type="character" w:customStyle="1" w:styleId="Titre3Car">
    <w:name w:val="Titre 3 Car"/>
    <w:basedOn w:val="Policepardfaut"/>
    <w:link w:val="Titre3"/>
    <w:uiPriority w:val="9"/>
    <w:semiHidden/>
    <w:rsid w:val="00CB1A4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B1A4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B1A4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B1A4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1A4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1A4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1A4D"/>
    <w:rPr>
      <w:rFonts w:eastAsiaTheme="majorEastAsia" w:cstheme="majorBidi"/>
      <w:color w:val="272727" w:themeColor="text1" w:themeTint="D8"/>
    </w:rPr>
  </w:style>
  <w:style w:type="paragraph" w:styleId="Titre">
    <w:name w:val="Title"/>
    <w:basedOn w:val="Normal"/>
    <w:next w:val="Normal"/>
    <w:link w:val="TitreCar"/>
    <w:uiPriority w:val="10"/>
    <w:qFormat/>
    <w:rsid w:val="00CB1A4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1A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1A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1A4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1A4D"/>
    <w:pPr>
      <w:spacing w:before="160"/>
      <w:jc w:val="center"/>
    </w:pPr>
    <w:rPr>
      <w:i/>
      <w:iCs/>
      <w:color w:val="404040" w:themeColor="text1" w:themeTint="BF"/>
    </w:rPr>
  </w:style>
  <w:style w:type="character" w:customStyle="1" w:styleId="CitationCar">
    <w:name w:val="Citation Car"/>
    <w:basedOn w:val="Policepardfaut"/>
    <w:link w:val="Citation"/>
    <w:uiPriority w:val="29"/>
    <w:rsid w:val="00CB1A4D"/>
    <w:rPr>
      <w:i/>
      <w:iCs/>
      <w:color w:val="404040" w:themeColor="text1" w:themeTint="BF"/>
    </w:rPr>
  </w:style>
  <w:style w:type="paragraph" w:styleId="Paragraphedeliste">
    <w:name w:val="List Paragraph"/>
    <w:basedOn w:val="Normal"/>
    <w:uiPriority w:val="34"/>
    <w:qFormat/>
    <w:rsid w:val="00CB1A4D"/>
    <w:pPr>
      <w:ind w:left="720"/>
      <w:contextualSpacing/>
    </w:pPr>
  </w:style>
  <w:style w:type="character" w:styleId="Accentuationintense">
    <w:name w:val="Intense Emphasis"/>
    <w:basedOn w:val="Policepardfaut"/>
    <w:uiPriority w:val="21"/>
    <w:qFormat/>
    <w:rsid w:val="00CB1A4D"/>
    <w:rPr>
      <w:i/>
      <w:iCs/>
      <w:color w:val="2F5496" w:themeColor="accent1" w:themeShade="BF"/>
    </w:rPr>
  </w:style>
  <w:style w:type="paragraph" w:styleId="Citationintense">
    <w:name w:val="Intense Quote"/>
    <w:basedOn w:val="Normal"/>
    <w:next w:val="Normal"/>
    <w:link w:val="CitationintenseCar"/>
    <w:uiPriority w:val="30"/>
    <w:qFormat/>
    <w:rsid w:val="00CB1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B1A4D"/>
    <w:rPr>
      <w:i/>
      <w:iCs/>
      <w:color w:val="2F5496" w:themeColor="accent1" w:themeShade="BF"/>
    </w:rPr>
  </w:style>
  <w:style w:type="character" w:styleId="Rfrenceintense">
    <w:name w:val="Intense Reference"/>
    <w:basedOn w:val="Policepardfaut"/>
    <w:uiPriority w:val="32"/>
    <w:qFormat/>
    <w:rsid w:val="00CB1A4D"/>
    <w:rPr>
      <w:b/>
      <w:bCs/>
      <w:smallCaps/>
      <w:color w:val="2F5496" w:themeColor="accent1" w:themeShade="BF"/>
      <w:spacing w:val="5"/>
    </w:rPr>
  </w:style>
  <w:style w:type="character" w:styleId="Lienhypertexte">
    <w:name w:val="Hyperlink"/>
    <w:basedOn w:val="Policepardfaut"/>
    <w:uiPriority w:val="99"/>
    <w:unhideWhenUsed/>
    <w:rsid w:val="00CB1A4D"/>
    <w:rPr>
      <w:color w:val="0563C1" w:themeColor="hyperlink"/>
      <w:u w:val="single"/>
    </w:rPr>
  </w:style>
  <w:style w:type="character" w:styleId="Mentionnonrsolue">
    <w:name w:val="Unresolved Mention"/>
    <w:basedOn w:val="Policepardfaut"/>
    <w:uiPriority w:val="99"/>
    <w:semiHidden/>
    <w:unhideWhenUsed/>
    <w:rsid w:val="00CB1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cb.europa.eu/stats/policy_and_exchange_rates/key_ecb_interest_rates/html/index.fr.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860</Words>
  <Characters>4731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hasiniainarakotoson@outlook.fr</dc:creator>
  <cp:keywords/>
  <dc:description/>
  <cp:lastModifiedBy>STEPHANE BERAY</cp:lastModifiedBy>
  <cp:revision>6</cp:revision>
  <dcterms:created xsi:type="dcterms:W3CDTF">2026-05-30T12:26:00Z</dcterms:created>
  <dcterms:modified xsi:type="dcterms:W3CDTF">2026-05-30T12:59:00Z</dcterms:modified>
</cp:coreProperties>
</file>