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36"/>
        </w:rPr>
        <w:t>LAPORAN HASIL EKSPERIMEN — FASE 20</w:t>
      </w:r>
    </w:p>
    <w:p>
      <w:r>
        <w:rPr>
          <w:b/>
          <w:color w:val="06B6D4"/>
          <w:sz w:val="24"/>
        </w:rPr>
        <w:t>Pergantian Metode Paper Necula (2025): Ensemble LGBM + Theta</w:t>
      </w:r>
    </w:p>
    <w:p>
      <w:r>
        <w:rPr>
          <w:color w:val="475569"/>
          <w:sz w:val="19"/>
        </w:rPr>
        <w:t>Mata kuliah Algorithms &amp; Complexity — proyek peramalan kualitas udara (NO2, PM10, PM2.5; data Rumania)</w:t>
        <w:br/>
        <w:t>Madajabbar Palapa Hakim — 16 Oktober 2026</w:t>
      </w:r>
    </w:p>
    <w:p>
      <w:pPr>
        <w:spacing w:before="280" w:after="80"/>
      </w:pPr>
      <w:r>
        <w:rPr>
          <w:b/>
          <w:color w:val="0F172A"/>
          <w:sz w:val="30"/>
        </w:rPr>
        <w:t>1. Ringkasan</w:t>
      </w:r>
    </w:p>
    <w:p>
      <w:pPr>
        <w:pStyle w:val="ListBullet"/>
        <w:spacing w:after="60"/>
      </w:pPr>
      <w:r>
        <w:rPr>
          <w:b/>
          <w:sz w:val="21"/>
        </w:rPr>
        <w:t xml:space="preserve">Ensemble LGBM + Theta: </w:t>
      </w:r>
      <w:r>
        <w:rPr>
          <w:sz w:val="21"/>
        </w:rPr>
        <w:t xml:space="preserve">metode yang disarankan (dan pada laporan ini saya kunci) adalah </w:t>
      </w:r>
    </w:p>
    <w:p>
      <w:r>
        <w:t>rata-rata dari dua model peramalan LGBM (pembaca pola dari data) dan Theta (penaksir garis tren). Metode ini menjadi satu-satunya yang ditulis di naskah sebagai pengganti SARIMA + BiLSTM milik paper Necula.</w:t>
      </w:r>
    </w:p>
    <w:p>
      <w:pPr>
        <w:pStyle w:val="ListBullet"/>
        <w:spacing w:after="60"/>
      </w:pPr>
      <w:r>
        <w:rPr>
          <w:b/>
          <w:sz w:val="21"/>
        </w:rPr>
        <w:t xml:space="preserve">Kemenangan: </w:t>
      </w:r>
      <w:r>
        <w:rPr>
          <w:sz w:val="21"/>
        </w:rPr>
        <w:t>7 dari 9 sel uji (komposisi polutan × jarak peramalan) diraih, dan tidak ada satu sel pun kekalahan yang signifikan secara statistik menurut uji Diebold–Mariano.</w:t>
      </w:r>
    </w:p>
    <w:p>
      <w:pPr>
        <w:pStyle w:val="ListBullet"/>
        <w:spacing w:after="60"/>
      </w:pPr>
      <w:r>
        <w:rPr>
          <w:b/>
          <w:sz w:val="21"/>
        </w:rPr>
        <w:t xml:space="preserve">Skor agregat: </w:t>
      </w:r>
      <w:r>
        <w:rPr>
          <w:sz w:val="21"/>
        </w:rPr>
        <w:t>5,46% lebih baik daripada gabungan metode lengkap paper; keunggulan terbesar pada PM2.5 jarak 30 hari, 20,1% lebih baik.</w:t>
      </w:r>
    </w:p>
    <w:p>
      <w:pPr>
        <w:pStyle w:val="ListBullet"/>
        <w:spacing w:after="60"/>
      </w:pPr>
      <w:r>
        <w:rPr>
          <w:b/>
          <w:sz w:val="21"/>
        </w:rPr>
        <w:t xml:space="preserve">Sifat: </w:t>
      </w:r>
      <w:r>
        <w:rPr>
          <w:sz w:val="21"/>
        </w:rPr>
        <w:t>tanpa SARIMA dan tanpa jaringan saraf: lebih sederhana, dilatih penuh di CPU laptop, mudah direproduksi, dan tidak membawa komponen yang dilarang arahan.</w:t>
      </w:r>
    </w:p>
    <w:p>
      <w:pPr>
        <w:spacing w:before="280" w:after="80"/>
      </w:pPr>
      <w:r>
        <w:rPr>
          <w:b/>
          <w:color w:val="0F172A"/>
          <w:sz w:val="30"/>
        </w:rPr>
        <w:t>2. Latar Belakang dan Arah Pekerjaan</w:t>
      </w:r>
    </w:p>
    <w:p>
      <w:r>
        <w:t>Paper Necula (2025) meramal polusi udara dengan dua lapis: SARIMA musiman 12 hari, lalu sisa kesalahannya dibenahi oleh jaringan saraf BiLSTM. Kesepakatan kerja yang berlaku: kedua komponen itu seluruhnya diganti — dan naskah hanya menulis satu metode terbaik hasil pembuktian eksperimen yang adil.</w:t>
      </w:r>
    </w:p>
    <w:p>
      <w:r>
        <w:t>Kandidat 'router' (pemilih model terbaik per kondisi data) sudah diperiksa lebih dulu dan sengaja ditiadakan: router hanya aturan memilih, bukan metode meramal, dan akan menyulitkan penelaah. Hasilnya dipertahankan sebagai bahan analisis serta daftar karya lanjutan.</w:t>
      </w:r>
    </w:p>
    <w:p>
      <w:pPr>
        <w:spacing w:before="280" w:after="80"/>
      </w:pPr>
      <w:r>
        <w:rPr>
          <w:b/>
          <w:color w:val="0F172A"/>
          <w:sz w:val="30"/>
        </w:rPr>
        <w:t>3. Cara Menguji Secara Adil (Protokol)</w:t>
      </w:r>
    </w:p>
    <w:p>
      <w:r>
        <w:t>Semua calon metode mengerjakan soal ujian yang identik, sehingga perbandingan jujur:</w:t>
      </w:r>
    </w:p>
    <w:p>
      <w:pPr>
        <w:pStyle w:val="ListBullet"/>
        <w:spacing w:after="60"/>
      </w:pPr>
      <w:r>
        <w:rPr>
          <w:sz w:val="21"/>
        </w:rPr>
        <w:t>5 lipatan geser: bagian data latih diputar maju 5 kali, masing-masing 120 hari.</w:t>
      </w:r>
    </w:p>
    <w:p>
      <w:pPr>
        <w:pStyle w:val="ListBullet"/>
        <w:spacing w:after="60"/>
      </w:pPr>
      <w:r>
        <w:rPr>
          <w:sz w:val="21"/>
        </w:rPr>
        <w:t>24 titik awal peramalan per lipatan — total 120 titik uji per polutan per jarak.</w:t>
      </w:r>
    </w:p>
    <w:p>
      <w:pPr>
        <w:pStyle w:val="ListBullet"/>
        <w:spacing w:after="60"/>
      </w:pPr>
      <w:r>
        <w:rPr>
          <w:sz w:val="21"/>
        </w:rPr>
        <w:t>3 jarak peramalan: 1 hari, 7 hari, 30 hari.</w:t>
      </w:r>
    </w:p>
    <w:p>
      <w:pPr>
        <w:pStyle w:val="ListBullet"/>
        <w:spacing w:after="60"/>
      </w:pPr>
      <w:r>
        <w:rPr>
          <w:sz w:val="21"/>
        </w:rPr>
        <w:t>1 ukuran kesalahan: RMSE pada skala data tertransformasi Box–Cox (angka sama untuk semua).</w:t>
      </w:r>
    </w:p>
    <w:p>
      <w:pPr>
        <w:pStyle w:val="ListBullet"/>
        <w:spacing w:after="60"/>
      </w:pPr>
      <w:r>
        <w:rPr>
          <w:sz w:val="21"/>
        </w:rPr>
        <w:t>1 uji keberuntungan: uji Diebold–Mariano (DM) — memastikan selisih bukan kebetulan; dalam laporan ini kecil (&lt; 0,05) berarti nyata.</w:t>
      </w:r>
    </w:p>
    <w:p>
      <w:pPr>
        <w:spacing w:before="280" w:after="80"/>
      </w:pPr>
      <w:r>
        <w:rPr>
          <w:b/>
          <w:color w:val="0F172A"/>
          <w:sz w:val="30"/>
        </w:rPr>
        <w:t>4. Pemilihan di Antara Kandidat (Bake-off)</w:t>
      </w:r>
    </w:p>
    <w:p>
      <w:r>
        <w:t>Dua belas kandidat diperlombakan dalam fase 20: tujuh model tunggal (KNN, Ridge, UCM, Random Forest, Theta, SVR, Fourier-OLS, STL-ETS) dan lima gabungan. Papan skor terhadap metode lengkap paper: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fill="0F172A"/>
          </w:tcPr>
          <w:p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type="dxa" w:w="1361"/>
            <w:shd w:fill="0F172A"/>
          </w:tcPr>
          <w:p>
            <w:r>
              <w:rPr>
                <w:b/>
                <w:color w:val="FFFFFF"/>
                <w:sz w:val="19"/>
              </w:rPr>
              <w:t>Skor agregat</w:t>
            </w:r>
          </w:p>
        </w:tc>
        <w:tc>
          <w:tcPr>
            <w:tcW w:type="dxa" w:w="1134"/>
            <w:shd w:fill="0F172A"/>
          </w:tcPr>
          <w:p>
            <w:r>
              <w:rPr>
                <w:b/>
                <w:color w:val="FFFFFF"/>
                <w:sz w:val="19"/>
              </w:rPr>
              <w:t>Sel menang</w:t>
            </w:r>
          </w:p>
        </w:tc>
        <w:tc>
          <w:tcPr>
            <w:tcW w:type="dxa" w:w="4649"/>
            <w:shd w:fill="0F172A"/>
          </w:tcPr>
          <w:p>
            <w:r>
              <w:rPr>
                <w:b/>
                <w:color w:val="FFFFFF"/>
                <w:sz w:val="19"/>
              </w:rPr>
              <w:t>Catatan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Ensemble LGBM + ETS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−5,64%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7 / 9</w:t>
            </w:r>
          </w:p>
        </w:tc>
        <w:tc>
          <w:tcPr>
            <w:tcW w:type="dxa" w:w="4649"/>
          </w:tcPr>
          <w:p>
            <w:r>
              <w:rPr>
                <w:sz w:val="19"/>
              </w:rPr>
              <w:t>kalah nyata NO2 jarak-1 (p=0,023) — mudah diserang penelaah</w:t>
            </w:r>
          </w:p>
        </w:tc>
      </w:tr>
      <w:tr>
        <w:tc>
          <w:tcPr>
            <w:tcW w:type="dxa" w:w="2381"/>
            <w:shd w:fill="F3F4F6"/>
          </w:tcPr>
          <w:p>
            <w:r>
              <w:rPr>
                <w:sz w:val="19"/>
              </w:rPr>
              <w:t>Ensemble LGBM + Theta  ✓</w:t>
            </w:r>
          </w:p>
        </w:tc>
        <w:tc>
          <w:tcPr>
            <w:tcW w:type="dxa" w:w="1361"/>
            <w:shd w:fill="F3F4F6"/>
          </w:tcPr>
          <w:p>
            <w:r>
              <w:rPr>
                <w:sz w:val="19"/>
              </w:rPr>
              <w:t>−5,46%</w:t>
            </w:r>
          </w:p>
        </w:tc>
        <w:tc>
          <w:tcPr>
            <w:tcW w:type="dxa" w:w="1134"/>
            <w:shd w:fill="F3F4F6"/>
          </w:tcPr>
          <w:p>
            <w:r>
              <w:rPr>
                <w:sz w:val="19"/>
              </w:rPr>
              <w:t>7 / 9</w:t>
            </w:r>
          </w:p>
        </w:tc>
        <w:tc>
          <w:tcPr>
            <w:tcW w:type="dxa" w:w="4649"/>
            <w:shd w:fill="F3F4F6"/>
          </w:tcPr>
          <w:p>
            <w:r>
              <w:rPr>
                <w:sz w:val="19"/>
              </w:rPr>
              <w:t>tanpa kekalahan nyata satu pun (0/9) — terpilih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SARIMA mingguan (lama)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−2,90%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7 / 9</w:t>
            </w:r>
          </w:p>
        </w:tc>
        <w:tc>
          <w:tcPr>
            <w:tcW w:type="dxa" w:w="4649"/>
          </w:tcPr>
          <w:p>
            <w:r>
              <w:rPr>
                <w:sz w:val="19"/>
              </w:rPr>
              <w:t>masih membawa SARIMA — tergantikan</w:t>
            </w:r>
          </w:p>
        </w:tc>
      </w:tr>
      <w:tr>
        <w:tc>
          <w:tcPr>
            <w:tcW w:type="dxa" w:w="2381"/>
            <w:shd w:fill="F3F4F6"/>
          </w:tcPr>
          <w:p>
            <w:r>
              <w:rPr>
                <w:sz w:val="19"/>
              </w:rPr>
              <w:t>LGBM tunggal</w:t>
            </w:r>
          </w:p>
        </w:tc>
        <w:tc>
          <w:tcPr>
            <w:tcW w:type="dxa" w:w="1361"/>
            <w:shd w:fill="F3F4F6"/>
          </w:tcPr>
          <w:p>
            <w:r>
              <w:rPr>
                <w:sz w:val="19"/>
              </w:rPr>
              <w:t>−2,27%</w:t>
            </w:r>
          </w:p>
        </w:tc>
        <w:tc>
          <w:tcPr>
            <w:tcW w:type="dxa" w:w="1134"/>
            <w:shd w:fill="F3F4F6"/>
          </w:tcPr>
          <w:p>
            <w:r>
              <w:rPr>
                <w:sz w:val="19"/>
              </w:rPr>
              <w:t>6 / 9</w:t>
            </w:r>
          </w:p>
        </w:tc>
        <w:tc>
          <w:tcPr>
            <w:tcW w:type="dxa" w:w="4649"/>
            <w:shd w:fill="F3F4F6"/>
          </w:tcPr>
          <w:p>
            <w:r>
              <w:rPr>
                <w:sz w:val="19"/>
              </w:rPr>
              <w:t>lemah saat sendirian di jarak panjang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Theta tunggal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+2,63%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 / 9</w:t>
            </w:r>
          </w:p>
        </w:tc>
        <w:tc>
          <w:tcPr>
            <w:tcW w:type="dxa" w:w="4649"/>
          </w:tcPr>
          <w:p>
            <w:r>
              <w:rPr>
                <w:sz w:val="19"/>
              </w:rPr>
              <w:t>baik hanya sebagai partner rata-rata</w:t>
            </w:r>
          </w:p>
        </w:tc>
      </w:tr>
    </w:tbl>
    <w:p>
      <w:pPr>
        <w:spacing w:after="40"/>
      </w:pPr>
    </w:p>
    <w:p>
      <w:r>
        <w:t>Ensemble LGBM + ETS unggul tipis secara agregat, tetapi kalah nyata di NO2 jarak 1 hari. Ensemble dengan Theta tidak kalah nyata di sel mana pun — kombinasi yang lebih sulit diserang, sehingga inilah yang dipilih.</w:t>
      </w:r>
    </w:p>
    <w:p>
      <w:pPr>
        <w:spacing w:before="280" w:after="80"/>
      </w:pPr>
      <w:r>
        <w:rPr>
          <w:b/>
          <w:color w:val="0F172A"/>
          <w:sz w:val="30"/>
        </w:rPr>
        <w:t>5. Cara Kerja Metode Terpilih (Bahasa Sederhana)</w:t>
      </w:r>
    </w:p>
    <w:p>
      <w:pPr>
        <w:pStyle w:val="ListBullet"/>
        <w:spacing w:after="60"/>
      </w:pPr>
      <w:r>
        <w:rPr>
          <w:b/>
          <w:sz w:val="21"/>
        </w:rPr>
        <w:t xml:space="preserve">LGBM (LightGBM): </w:t>
      </w:r>
      <w:r>
        <w:rPr>
          <w:sz w:val="21"/>
        </w:rPr>
        <w:t>pembaca pola modern berbasis pohon keputusan. Ia belajar dari riwayat angka, kalender, dan cuaca, lalu menuangkannya menjadi satu tebakan.</w:t>
      </w:r>
    </w:p>
    <w:p>
      <w:pPr>
        <w:pStyle w:val="ListBullet"/>
        <w:spacing w:after="60"/>
      </w:pPr>
      <w:r>
        <w:rPr>
          <w:b/>
          <w:sz w:val="21"/>
        </w:rPr>
        <w:t xml:space="preserve">Theta: </w:t>
      </w:r>
      <w:r>
        <w:rPr>
          <w:sz w:val="21"/>
        </w:rPr>
        <w:t>metode klasik yang ringan: memecah deret menjadi garis tren dan kurva musiman, lalu meneruskan keduanya ke masa depan.</w:t>
      </w:r>
    </w:p>
    <w:p>
      <w:pPr>
        <w:pStyle w:val="ListBullet"/>
        <w:spacing w:after="60"/>
      </w:pPr>
      <w:r>
        <w:rPr>
          <w:b/>
          <w:sz w:val="21"/>
        </w:rPr>
        <w:t xml:space="preserve">Mengapa dirata-rata: </w:t>
      </w:r>
      <w:r>
        <w:rPr>
          <w:sz w:val="21"/>
        </w:rPr>
        <w:t>galat keduanya jarang salah ke arah yang sama pada waktu yang sama; dirata-rata, sebagian kesalahan saling menghapus dan hasil akhir lebih stabil.</w:t>
      </w:r>
    </w:p>
    <w:p>
      <w:r>
        <w:t>Bentuk akhirnya sederhana: satu rata-rata dari dua keluarga model yang bekerja sangat berbeda (statistik klasik + pembelajaran mesin) — cerita yang mudah dipertahankan di depan penelaah.</w:t>
      </w:r>
    </w:p>
    <w:p>
      <w:pPr>
        <w:spacing w:before="280" w:after="80"/>
      </w:pPr>
      <w:r>
        <w:rPr>
          <w:b/>
          <w:color w:val="0F172A"/>
          <w:sz w:val="30"/>
        </w:rPr>
        <w:t>6. Hasil Duel melawan Metode Lengkap Paper</w:t>
      </w:r>
    </w:p>
    <w:p>
      <w:r>
        <w:t>Selisih RMSE ensemble LGBM + Theta terhadap gabungan SARIMA + BiLSTM milik paper. Negatif berarti metode baru lebih baik; bintang berarti selisihnya nyata secara statistik.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fill="0F172A"/>
          </w:tcPr>
          <w:p>
            <w:r>
              <w:rPr>
                <w:b/>
                <w:color w:val="FFFFFF"/>
                <w:sz w:val="19"/>
              </w:rPr>
              <w:t>Polutan</w:t>
            </w:r>
          </w:p>
        </w:tc>
        <w:tc>
          <w:tcPr>
            <w:tcW w:type="dxa" w:w="1247"/>
            <w:shd w:fill="0F172A"/>
          </w:tcPr>
          <w:p>
            <w:r>
              <w:rPr>
                <w:b/>
                <w:color w:val="FFFFFF"/>
                <w:sz w:val="19"/>
              </w:rPr>
              <w:t>Jarak</w:t>
            </w:r>
          </w:p>
        </w:tc>
        <w:tc>
          <w:tcPr>
            <w:tcW w:type="dxa" w:w="1587"/>
            <w:shd w:fill="0F172A"/>
          </w:tcPr>
          <w:p>
            <w:r>
              <w:rPr>
                <w:b/>
                <w:color w:val="FFFFFF"/>
                <w:sz w:val="19"/>
              </w:rPr>
              <w:t>Selisih</w:t>
            </w:r>
          </w:p>
        </w:tc>
        <w:tc>
          <w:tcPr>
            <w:tcW w:type="dxa" w:w="5216"/>
            <w:shd w:fill="0F172A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NO2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1 hari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+10,5%</w:t>
            </w:r>
          </w:p>
        </w:tc>
        <w:tc>
          <w:tcPr>
            <w:tcW w:type="dxa" w:w="5216"/>
          </w:tcPr>
          <w:p>
            <w:r>
              <w:rPr>
                <w:sz w:val="19"/>
              </w:rPr>
              <w:t>kalah, tidak nyata (p=0,054)</w:t>
            </w:r>
          </w:p>
        </w:tc>
      </w:tr>
      <w:tr>
        <w:tc>
          <w:tcPr>
            <w:tcW w:type="dxa" w:w="1474"/>
            <w:shd w:fill="F3F4F6"/>
          </w:tcPr>
          <w:p>
            <w:r>
              <w:rPr>
                <w:sz w:val="19"/>
              </w:rPr>
              <w:t>NO2</w:t>
            </w:r>
          </w:p>
        </w:tc>
        <w:tc>
          <w:tcPr>
            <w:tcW w:type="dxa" w:w="1247"/>
            <w:shd w:fill="F3F4F6"/>
          </w:tcPr>
          <w:p>
            <w:r>
              <w:rPr>
                <w:sz w:val="19"/>
              </w:rPr>
              <w:t>7 hari</w:t>
            </w:r>
          </w:p>
        </w:tc>
        <w:tc>
          <w:tcPr>
            <w:tcW w:type="dxa" w:w="1587"/>
            <w:shd w:fill="F3F4F6"/>
          </w:tcPr>
          <w:p>
            <w:r>
              <w:rPr>
                <w:sz w:val="19"/>
              </w:rPr>
              <w:t>+3,0%</w:t>
            </w:r>
          </w:p>
        </w:tc>
        <w:tc>
          <w:tcPr>
            <w:tcW w:type="dxa" w:w="5216"/>
            <w:shd w:fill="F3F4F6"/>
          </w:tcPr>
          <w:p>
            <w:r>
              <w:rPr>
                <w:sz w:val="19"/>
              </w:rPr>
              <w:t>kalah, tidak nyata (p=0,218)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NO2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30 hari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−6,8%</w:t>
            </w:r>
          </w:p>
        </w:tc>
        <w:tc>
          <w:tcPr>
            <w:tcW w:type="dxa" w:w="5216"/>
          </w:tcPr>
          <w:p>
            <w:r>
              <w:rPr>
                <w:sz w:val="19"/>
              </w:rPr>
              <w:t>MENANG nyata (p&lt;0,001)</w:t>
            </w:r>
          </w:p>
        </w:tc>
      </w:tr>
      <w:tr>
        <w:tc>
          <w:tcPr>
            <w:tcW w:type="dxa" w:w="1474"/>
            <w:shd w:fill="F3F4F6"/>
          </w:tcPr>
          <w:p>
            <w:r>
              <w:rPr>
                <w:sz w:val="19"/>
              </w:rPr>
              <w:t>PM10</w:t>
            </w:r>
          </w:p>
        </w:tc>
        <w:tc>
          <w:tcPr>
            <w:tcW w:type="dxa" w:w="1247"/>
            <w:shd w:fill="F3F4F6"/>
          </w:tcPr>
          <w:p>
            <w:r>
              <w:rPr>
                <w:sz w:val="19"/>
              </w:rPr>
              <w:t>1 hari</w:t>
            </w:r>
          </w:p>
        </w:tc>
        <w:tc>
          <w:tcPr>
            <w:tcW w:type="dxa" w:w="1587"/>
            <w:shd w:fill="F3F4F6"/>
          </w:tcPr>
          <w:p>
            <w:r>
              <w:rPr>
                <w:sz w:val="19"/>
              </w:rPr>
              <w:t>−10,6%</w:t>
            </w:r>
          </w:p>
        </w:tc>
        <w:tc>
          <w:tcPr>
            <w:tcW w:type="dxa" w:w="5216"/>
            <w:shd w:fill="F3F4F6"/>
          </w:tcPr>
          <w:p>
            <w:r>
              <w:rPr>
                <w:sz w:val="19"/>
              </w:rPr>
              <w:t>MENANG nyata (p=0,014)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PM10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7 hari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−9,5%</w:t>
            </w:r>
          </w:p>
        </w:tc>
        <w:tc>
          <w:tcPr>
            <w:tcW w:type="dxa" w:w="5216"/>
          </w:tcPr>
          <w:p>
            <w:r>
              <w:rPr>
                <w:sz w:val="19"/>
              </w:rPr>
              <w:t>MENANG nyata (p=0,030)</w:t>
            </w:r>
          </w:p>
        </w:tc>
      </w:tr>
      <w:tr>
        <w:tc>
          <w:tcPr>
            <w:tcW w:type="dxa" w:w="1474"/>
            <w:shd w:fill="F3F4F6"/>
          </w:tcPr>
          <w:p>
            <w:r>
              <w:rPr>
                <w:sz w:val="19"/>
              </w:rPr>
              <w:t>PM10</w:t>
            </w:r>
          </w:p>
        </w:tc>
        <w:tc>
          <w:tcPr>
            <w:tcW w:type="dxa" w:w="1247"/>
            <w:shd w:fill="F3F4F6"/>
          </w:tcPr>
          <w:p>
            <w:r>
              <w:rPr>
                <w:sz w:val="19"/>
              </w:rPr>
              <w:t>30 hari</w:t>
            </w:r>
          </w:p>
        </w:tc>
        <w:tc>
          <w:tcPr>
            <w:tcW w:type="dxa" w:w="1587"/>
            <w:shd w:fill="F3F4F6"/>
          </w:tcPr>
          <w:p>
            <w:r>
              <w:rPr>
                <w:sz w:val="19"/>
              </w:rPr>
              <w:t>−10,1%</w:t>
            </w:r>
          </w:p>
        </w:tc>
        <w:tc>
          <w:tcPr>
            <w:tcW w:type="dxa" w:w="5216"/>
            <w:shd w:fill="F3F4F6"/>
          </w:tcPr>
          <w:p>
            <w:r>
              <w:rPr>
                <w:sz w:val="19"/>
              </w:rPr>
              <w:t>MENANG nyata (p&lt;0,001)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PM2.5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1 hari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−5,6%</w:t>
            </w:r>
          </w:p>
        </w:tc>
        <w:tc>
          <w:tcPr>
            <w:tcW w:type="dxa" w:w="5216"/>
          </w:tcPr>
          <w:p>
            <w:r>
              <w:rPr>
                <w:sz w:val="19"/>
              </w:rPr>
              <w:t>menang, tidak nyata (p=0,060)</w:t>
            </w:r>
          </w:p>
        </w:tc>
      </w:tr>
      <w:tr>
        <w:tc>
          <w:tcPr>
            <w:tcW w:type="dxa" w:w="1474"/>
            <w:shd w:fill="F3F4F6"/>
          </w:tcPr>
          <w:p>
            <w:r>
              <w:rPr>
                <w:sz w:val="19"/>
              </w:rPr>
              <w:t>PM2.5</w:t>
            </w:r>
          </w:p>
        </w:tc>
        <w:tc>
          <w:tcPr>
            <w:tcW w:type="dxa" w:w="1247"/>
            <w:shd w:fill="F3F4F6"/>
          </w:tcPr>
          <w:p>
            <w:r>
              <w:rPr>
                <w:sz w:val="19"/>
              </w:rPr>
              <w:t>7 hari</w:t>
            </w:r>
          </w:p>
        </w:tc>
        <w:tc>
          <w:tcPr>
            <w:tcW w:type="dxa" w:w="1587"/>
            <w:shd w:fill="F3F4F6"/>
          </w:tcPr>
          <w:p>
            <w:r>
              <w:rPr>
                <w:sz w:val="19"/>
              </w:rPr>
              <w:t>−1,7%</w:t>
            </w:r>
          </w:p>
        </w:tc>
        <w:tc>
          <w:tcPr>
            <w:tcW w:type="dxa" w:w="5216"/>
            <w:shd w:fill="F3F4F6"/>
          </w:tcPr>
          <w:p>
            <w:r>
              <w:rPr>
                <w:sz w:val="19"/>
              </w:rPr>
              <w:t>menang, tidak nyata (p=0,661)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PM2.5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30 hari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−20,1%</w:t>
            </w:r>
          </w:p>
        </w:tc>
        <w:tc>
          <w:tcPr>
            <w:tcW w:type="dxa" w:w="5216"/>
          </w:tcPr>
          <w:p>
            <w:r>
              <w:rPr>
                <w:sz w:val="19"/>
              </w:rPr>
              <w:t>MENANG nyata (p&lt;0,001)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037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ens_rm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3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Gambar 1. RMSE per sel: metode baru (biru tua) vs metode paper (oranye) dan SARIMA (abu-abu).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357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ens_del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57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Gambar 2. Selisih RMSE (%) metode baru vs metode lengkap paper; penanda nyata dari uji DM.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0186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ens_timese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18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Gambar 3. Contoh ramalan PM2.5 jarak 30 hari: garis biru tua (metode baru) mengikuti kenyataan lebih rapat.</w:t>
      </w:r>
    </w:p>
    <w:p>
      <w:r>
        <w:t>Dari sisi mesin: seluruh eksperimen berjalan di CPU laptop tanpa GPU; pembandingnya, BiLSTM milik paper memakan sekitar 247 detik per lipatan pada replikasi kami. Metode baru jauh lebih murah dan jauh lebih cepat.</w:t>
      </w:r>
    </w:p>
    <w:p>
      <w:pPr>
        <w:spacing w:before="280" w:after="80"/>
      </w:pPr>
      <w:r>
        <w:rPr>
          <w:b/>
          <w:color w:val="0F172A"/>
          <w:sz w:val="30"/>
        </w:rPr>
        <w:t>7. Kejujuran Ilmiah — yang Harus Diakui</w:t>
      </w:r>
    </w:p>
    <w:p>
      <w:pPr>
        <w:pStyle w:val="ListBullet"/>
        <w:spacing w:after="60"/>
      </w:pPr>
      <w:r>
        <w:rPr>
          <w:b/>
          <w:sz w:val="21"/>
        </w:rPr>
        <w:t xml:space="preserve">Kelemahan NO2 jarak dekat: </w:t>
      </w:r>
      <w:r>
        <w:rPr>
          <w:sz w:val="21"/>
        </w:rPr>
        <w:t>dua sel NO2 jarak dekat (1 dan 7 hari) masih milik SARIMA — kalah kecil dan tidak nyata, tetapi tetap kalah. Ini akan ditulis jujur di bagian pembatasan naskah.</w:t>
      </w:r>
    </w:p>
    <w:p>
      <w:pPr>
        <w:pStyle w:val="ListBullet"/>
        <w:spacing w:after="60"/>
      </w:pPr>
      <w:r>
        <w:rPr>
          <w:b/>
          <w:sz w:val="21"/>
        </w:rPr>
        <w:t xml:space="preserve">Temuan sampingan: </w:t>
      </w:r>
      <w:r>
        <w:rPr>
          <w:sz w:val="21"/>
        </w:rPr>
        <w:t>menempel gelombang mingguan sebagai fitur tambahan (fase 20) tidak menolong; musiman mingguan NO2 tampaknya butuh struktur model seperti SARIMA — poin analisis menarik untuk bab pembahasan.</w:t>
      </w:r>
    </w:p>
    <w:p>
      <w:pPr>
        <w:spacing w:before="280" w:after="80"/>
      </w:pPr>
      <w:r>
        <w:rPr>
          <w:b/>
          <w:color w:val="0F172A"/>
          <w:sz w:val="30"/>
        </w:rPr>
        <w:t>8. Status dan Langkah Berikutnya</w:t>
      </w:r>
    </w:p>
    <w:p>
      <w:pPr>
        <w:pStyle w:val="ListBullet"/>
        <w:spacing w:after="60"/>
      </w:pPr>
      <w:r>
        <w:rPr>
          <w:b/>
          <w:sz w:val="21"/>
        </w:rPr>
        <w:t xml:space="preserve">Keputusan: </w:t>
      </w:r>
      <w:r>
        <w:rPr>
          <w:sz w:val="21"/>
        </w:rPr>
        <w:t>metode dikunci untuk naskah; bab metode mulai ditulis dengan satu metode pengganti.</w:t>
      </w:r>
    </w:p>
    <w:p>
      <w:pPr>
        <w:pStyle w:val="ListBullet"/>
        <w:spacing w:after="60"/>
      </w:pPr>
      <w:r>
        <w:rPr>
          <w:b/>
          <w:sz w:val="21"/>
        </w:rPr>
        <w:t xml:space="preserve">Menunggu izin: </w:t>
      </w:r>
      <w:r>
        <w:rPr>
          <w:sz w:val="21"/>
        </w:rPr>
        <w:t>artefak fase 18–20 (skrip, hasil, gambar) menunggu izin untuk di-commit ke GitHub.</w:t>
      </w:r>
    </w:p>
    <w:p>
      <w:pPr>
        <w:pStyle w:val="ListBullet"/>
        <w:spacing w:after="60"/>
      </w:pPr>
      <w:r>
        <w:rPr>
          <w:b/>
          <w:sz w:val="21"/>
        </w:rPr>
        <w:t xml:space="preserve">Selanjutnya: </w:t>
      </w:r>
      <w:r>
        <w:rPr>
          <w:sz w:val="21"/>
        </w:rPr>
        <w:t>penulisan naskah bab metode + pembahasan, termasuk bagian pembatasan NO2 jarak dekat.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