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A Lightweight LightGBM–Theta Ensemble for Daily Urban Air Pollution Forecasting: Benchmarking Simple Learners against a Deep Hybrid Baseline on Five Years of Data</w:t>
      </w:r>
    </w:p>
    <w:p>
      <w:pPr>
        <w:pStyle w:val="MDPI13authornames"/>
      </w:pPr>
      <w:r>
        <w:rPr>
          <w:b w:val="0"/>
        </w:rPr>
        <w:t xml:space="preserve">Madajabbar Palapa Hakim </w:t>
      </w:r>
      <w:r>
        <w:rPr>
          <w:b w:val="0"/>
        </w:rPr>
        <w:t>1</w:t>
      </w:r>
    </w:p>
    <w:p>
      <w:pPr>
        <w:pStyle w:val="MDPI16affiliation"/>
      </w:pPr>
      <w:r>
        <w:rPr>
          <w:b w:val="0"/>
        </w:rPr>
        <w:t>1</w:t>
        <w:tab/>
        <w:t>Master of Informatics Engineering, Universitas Nusa Mandiri; 14260009@nusamandiri.ac.id</w:t>
      </w:r>
    </w:p>
    <w:p>
      <w:pPr>
        <w:pStyle w:val="MDPI16affiliation"/>
      </w:pPr>
      <w:r>
        <w:t>*</w:t>
        <w:tab/>
        <w:t>Correspondence: 14260009@nusamandiri.ac.id</w:t>
      </w:r>
    </w:p>
    <w:p>
      <w:pPr>
        <w:pStyle w:val="MDPI17abstract"/>
      </w:pPr>
      <w:r>
        <w:t>Deep hybrid pipelines that chain a seasonal statistical model with recurrent networks are a popular template for daily air pollution forecasting, but their accuracy advantage is rarely tested against strong simple learners under identical conditions. This paper proposes a lightweight alternative: an equal-weight ensemble of a gradient-boosted tree model (LightGBM) fed with lag, rolling-window, and calendar features, and the classical Theta method applied to first differences with an additive weekly decomposition. The framework is univariate, CPU-native, and retrainable in seconds. We evaluate it on five years (2019-2023) of daily PM10, PM2.5, and NO2 observations alongside twenty-one baselines - statistical models, shallow learners, boosting variants, and a rebuilt state-of-the-art deep hybrid (seasonal ARIMA + bidirectional LSTM + Fourier + attention) - under one frozen protocol: five shifting 720-day windows, 24 origins each, and 1-, 7-, and 30-day horizons with no exogenous variables. The ensemble lowers RMSE against the deep hybrid baseline in 7 of 9 pollutant-horizon cells (aggregate 5.5%, no statistically significant loss by the Diebold-Mariano test), improves MAPE on the highest-decile pollution episodes, matches its residual diagnostics, and reduces end-to-end compute by orders of magnitude. Weekly seasonality is shown to require explicit structural treatment rather than calendar features. The results position tree-ensembles-plus-classical-frames as the sensible default for municipal-scale daily forecasting systems.</w:t>
      </w:r>
    </w:p>
    <w:p>
      <w:pPr>
        <w:pStyle w:val="MDPI18keywords"/>
      </w:pPr>
      <w:r>
        <w:t>air pollution; forecasting; LightGBM; theta method; ensemble learning; SARIMA; BiLSTM; Diebold-Mariano</w:t>
      </w:r>
    </w:p>
    <w:p>
      <w:pPr>
        <w:pStyle w:val="MDPI21heading1"/>
      </w:pPr>
      <w:r>
        <w:t>1. Introduction</w:t>
      </w:r>
    </w:p>
    <w:p>
      <w:pPr>
        <w:pStyle w:val="MDPI31text"/>
      </w:pPr>
      <w:r>
        <w:t>Cities depend on daily forecasts of particulate and gaseous pollutants to trigger health advisories, modulate traffic, and document compliance. The underlying series are hostile to casual modelling: an annual meteorological cycle, a weekly rhythm imposed by human activity, long-tailed episode spikes, and regime breaks all coexist in a few thousand daily observations [1,2]. The dominant response in the literature has been hybridisation: let a classical seasonal model absorb the calendar structure, then let a learning machine polish the remainder. That template ranges from ARIMA-neural-network stacks [3,4] to deep recurrent designs [5,6] and attention-augmented pipelines [7].</w:t>
      </w:r>
    </w:p>
    <w:p>
      <w:pPr>
        <w:pStyle w:val="MDPI31text"/>
      </w:pPr>
      <w:r>
        <w:t>The deep end of this spectrum has grown expensive. A recent, fully documented representative couples seasonal ARIMA with a 544,513-parameter bidirectional LSTM, Fourier terms, and an attention mechanism [7]; its recurrent stage alone needs GPU-class hardware and a hyperparameter campaign. Yet the published evidence for such architectures rarely compares them - under identical data locks, forecast origins, and significance tests - against the strongest members of the simple-learner family, namely gradient-boosted trees with engineered features [8-10] and robust classical frames such as the Theta method [11]. This gap matters operationally: a city network cannot operate what it cannot afford to train.</w:t>
      </w:r>
    </w:p>
    <w:p>
      <w:pPr>
        <w:pStyle w:val="MDPI31text"/>
      </w:pPr>
      <w:r>
        <w:t>This paper addresses that gap with a deliberately simple proposal and an adversarial benchmark. Contributions are fourfold:</w:t>
      </w:r>
    </w:p>
    <w:p>
      <w:pPr>
        <w:pStyle w:val="MDPI37itemize"/>
        <w:spacing w:after="100"/>
      </w:pPr>
      <w:r>
        <w:t>C1. A univariate, CPU-native forecasting framework - an equal-weight ensemble of a direct LightGBM model on lag/calendar features and a weekly-seasonal Theta extrapolator - specified completely enough to be re-implemented in an afternoon.</w:t>
      </w:r>
    </w:p>
    <w:p>
      <w:pPr>
        <w:pStyle w:val="MDPI37itemize"/>
        <w:spacing w:after="100"/>
      </w:pPr>
      <w:r>
        <w:t>C2. A frozen evaluation regime applied identically to twenty-three candidates: five shifting 720-day windows, 24 origins per window, 1/7/30-day horizons, a common Box-Cox scoring scale, and per-cell Diebold-Mariano tests [12]. Among the baselines is a faithful rebuild of the recent deep hybrid [7], so the proposal is judged against the published state of the art, not a straw man.</w:t>
      </w:r>
    </w:p>
    <w:p>
      <w:pPr>
        <w:pStyle w:val="MDPI37itemize"/>
        <w:spacing w:after="100"/>
      </w:pPr>
      <w:r>
        <w:t>C3. Empirical evidence that the framework wins the majority of pollutant-horizon cells against that deep baseline, never loses one significantly, improves extreme-episode handling, and cuts training cost by orders of magnitude.</w:t>
      </w:r>
    </w:p>
    <w:p>
      <w:pPr>
        <w:pStyle w:val="MDPI37itemize"/>
        <w:spacing w:after="100"/>
      </w:pPr>
      <w:r>
        <w:t>C4. Mechanistic findings: weekly seasonality must live in model structure - a calendar-feature encoding inside a general learner provably underperforms an explicit seasonal mechanism on gaseous pollutants.</w:t>
      </w:r>
    </w:p>
    <w:p>
      <w:pPr>
        <w:spacing w:before="0" w:after="0" w:lineRule="exact" w:line="100"/>
      </w:pPr>
    </w:p>
    <w:p>
      <w:pPr>
        <w:pStyle w:val="MDPI21heading1"/>
      </w:pPr>
      <w:r>
        <w:t>2. Literature Review</w:t>
      </w:r>
    </w:p>
    <w:p>
      <w:pPr>
        <w:pStyle w:val="MDPI31text"/>
      </w:pPr>
      <w:r>
        <w:t>Statistical-machine-learning hybrids for air pollution matured over two decades. Early systems paired ARIMA order selection with feed-forward networks to absorb residual nonlinearity [3] and consistently beat either component alone [4]. A long review tradition catalogues successors - regression trees, support vector machines, k-nearest neighbours, and above all neural networks - stacked onto statistical cores [1,13]. Deep architectures later displaced the shallow ones: LSTM blocks capture multi-day dependencies [5]; bidirectional variants read a window from both ends [6,14]; attention heads and transformers re-weight informative time steps [7,15]. The most recent species chains all of these: a seasonal ARIMA stage, a BiLSTM residual stage, Fourier seasonal terms, and cross-attention [7].</w:t>
      </w:r>
    </w:p>
    <w:p>
      <w:pPr>
        <w:pStyle w:val="MDPI31text"/>
      </w:pPr>
      <w:r>
        <w:t>A second line of work keeps the machinery deliberately simple. Gradient-boosted decision trees on lag, window, and calendar features are persistent contest favourites on daily tabular series [8,16], combine well when their members err differently [17,18], and train on commodity hardware. The Theta method [11] - a short/long-term decomposition around a linear trend - ranks among the strongest classical baselines in large forecasting competitions when its seasonal handling is done explicitly [9,16]. Both families are attractive precisely because their failure modes are visible and their cost negligible.</w:t>
      </w:r>
    </w:p>
    <w:p>
      <w:pPr>
        <w:pStyle w:val="MDPI31text"/>
      </w:pPr>
      <w:r>
        <w:t>What the deep-hybrid literature seldom provides is the controlled race: candidate replacements swapped under one frozen protocol, with significance tests per pollutant-horizon cell, in the style of competition-grade forecast evaluation [19]. Published deep hybrids usually report gains over their own baselines but do not expose every layer to removal; published comparisons of pollution models, in turn, rarely include a rebuilt state-of-the-art deep pipeline. This paper supplies both elements and uses them to evaluate the proposed ensemble of Section 3.3.</w:t>
      </w:r>
    </w:p>
    <w:p>
      <w:pPr>
        <w:pStyle w:val="MDPI21heading1"/>
      </w:pPr>
      <w:r>
        <w:t>3. Materials and Methods</w:t>
      </w:r>
    </w:p>
    <w:p>
      <w:pPr>
        <w:pStyle w:val="MDPI22heading2"/>
      </w:pPr>
      <w:r>
        <w:t>3.1. Dataset</w:t>
      </w:r>
    </w:p>
    <w:p>
      <w:pPr>
        <w:pStyle w:val="MDPI31text"/>
      </w:pPr>
      <w:r>
        <w:t>We use the five-year daily series distributed with [7]: mean concentrations (µg/m³) of PM10, PM2.5, and NO2 from Romania's national air quality monitoring network, 1 January 2019 - 31 December 2023 (1826 days per pollutant, no missing days - imputation is unnecessary). Table 1 lists mean concentrations; Table 2 the descriptive statistics. All experiments are strictly univariate - no meteorological or other exogenous input is allowed for any candidate, inherited from the design of [7], which also removes leakage hazard between arms.</w:t>
      </w:r>
    </w:p>
    <w:p>
      <w:pPr>
        <w:pStyle w:val="MDPI41tablecaption"/>
        <w:keepNext/>
        <w:spacing w:before="240" w:after="120"/>
      </w:pPr>
      <w:r>
        <w:t>Table 1. Mean concentrations over the studied period (µg/m³).</w:t>
      </w:r>
    </w:p>
    <w:tbl>
      <w:tblPr>
        <w:tblStyle w:val="MDPItable"/>
        <w:tblW w:w="10466" w:type="dxa"/>
        <w:jc w:val="left"/>
        <w:tblInd w:w="0" w:type="dxa"/>
        <w:tblW w:type="auto" w:w="0"/>
        <w:tblLayout w:type="fixed"/>
        <w:tblLook w:firstColumn="1" w:firstRow="1" w:lastColumn="0" w:lastRow="0" w:noHBand="0" w:noVBand="1" w:val="04A0"/>
        <w:tblBorders>
          <w:top w:val="single" w:sz="4" w:color="9AA5B1"/>
          <w:bottom w:val="single" w:sz="4" w:color="9AA5B1"/>
          <w:insideH w:val="single" w:sz="4" w:color="9AA5B1"/>
          <w:insideV w:val="none"/>
          <w:left w:val="none"/>
          <w:right w:val="none"/>
        </w:tblBorders>
      </w:tblPr>
      <w:tblGrid>
        <w:gridCol w:w="3489"/>
        <w:gridCol w:w="3489"/>
        <w:gridCol w:w="3489"/>
      </w:tblGrid>
      <w:tr>
        <w:tc>
          <w:tcPr>
            <w:tcW w:type="dxa" w:w="3805"/>
            <w:shd w:fill="EDF2F7"/>
          </w:tcPr>
          <w:p>
            <w:pPr>
              <w:spacing w:before="20" w:after="20"/>
            </w:pPr>
            <w:r>
              <w:rPr>
                <w:b/>
                <w:sz w:val="18"/>
              </w:rPr>
              <w:t>Pollutant</w:t>
            </w:r>
          </w:p>
        </w:tc>
        <w:tc>
          <w:tcPr>
            <w:tcW w:type="dxa" w:w="3805"/>
            <w:shd w:fill="EDF2F7"/>
          </w:tcPr>
          <w:p>
            <w:pPr>
              <w:spacing w:before="20" w:after="20"/>
            </w:pPr>
            <w:r>
              <w:rPr>
                <w:b/>
                <w:sz w:val="18"/>
              </w:rPr>
              <w:t>Mean (µg/m³)</w:t>
            </w:r>
          </w:p>
        </w:tc>
        <w:tc>
          <w:tcPr>
            <w:tcW w:type="dxa" w:w="2854"/>
            <w:shd w:fill="EDF2F7"/>
          </w:tcPr>
          <w:p>
            <w:pPr>
              <w:spacing w:before="20" w:after="20"/>
            </w:pPr>
            <w:r>
              <w:rPr>
                <w:b/>
                <w:sz w:val="18"/>
              </w:rPr>
              <w:t>Days (n)</w:t>
            </w:r>
          </w:p>
        </w:tc>
      </w:tr>
      <w:tr>
        <w:tc>
          <w:tcPr>
            <w:tcW w:type="dxa" w:w="3805"/>
          </w:tcPr>
          <w:p>
            <w:pPr>
              <w:spacing w:before="20" w:after="20"/>
            </w:pPr>
            <w:r>
              <w:rPr>
                <w:sz w:val="18"/>
              </w:rPr>
              <w:t>PM10</w:t>
            </w:r>
          </w:p>
        </w:tc>
        <w:tc>
          <w:tcPr>
            <w:tcW w:type="dxa" w:w="3805"/>
          </w:tcPr>
          <w:p>
            <w:pPr>
              <w:spacing w:before="20" w:after="20"/>
            </w:pPr>
            <w:r>
              <w:rPr>
                <w:sz w:val="18"/>
              </w:rPr>
              <w:t>25.15</w:t>
            </w:r>
          </w:p>
        </w:tc>
        <w:tc>
          <w:tcPr>
            <w:tcW w:type="dxa" w:w="2854"/>
          </w:tcPr>
          <w:p>
            <w:pPr>
              <w:spacing w:before="20" w:after="20"/>
            </w:pPr>
            <w:r>
              <w:rPr>
                <w:sz w:val="18"/>
              </w:rPr>
              <w:t>1826</w:t>
            </w:r>
          </w:p>
        </w:tc>
      </w:tr>
      <w:tr>
        <w:tc>
          <w:tcPr>
            <w:tcW w:type="dxa" w:w="3805"/>
          </w:tcPr>
          <w:p>
            <w:pPr>
              <w:spacing w:before="20" w:after="20"/>
            </w:pPr>
            <w:r>
              <w:rPr>
                <w:sz w:val="18"/>
              </w:rPr>
              <w:t>PM25</w:t>
            </w:r>
          </w:p>
        </w:tc>
        <w:tc>
          <w:tcPr>
            <w:tcW w:type="dxa" w:w="3805"/>
          </w:tcPr>
          <w:p>
            <w:pPr>
              <w:spacing w:before="20" w:after="20"/>
            </w:pPr>
            <w:r>
              <w:rPr>
                <w:sz w:val="18"/>
              </w:rPr>
              <w:t>16.87</w:t>
            </w:r>
          </w:p>
        </w:tc>
        <w:tc>
          <w:tcPr>
            <w:tcW w:type="dxa" w:w="2854"/>
          </w:tcPr>
          <w:p>
            <w:pPr>
              <w:spacing w:before="20" w:after="20"/>
            </w:pPr>
            <w:r>
              <w:rPr>
                <w:sz w:val="18"/>
              </w:rPr>
              <w:t>1826</w:t>
            </w:r>
          </w:p>
        </w:tc>
      </w:tr>
      <w:tr>
        <w:tc>
          <w:tcPr>
            <w:tcW w:type="dxa" w:w="3805"/>
          </w:tcPr>
          <w:p>
            <w:pPr>
              <w:spacing w:before="20" w:after="20"/>
            </w:pPr>
            <w:r>
              <w:rPr>
                <w:sz w:val="18"/>
              </w:rPr>
              <w:t>NO2</w:t>
            </w:r>
          </w:p>
        </w:tc>
        <w:tc>
          <w:tcPr>
            <w:tcW w:type="dxa" w:w="3805"/>
          </w:tcPr>
          <w:p>
            <w:pPr>
              <w:spacing w:before="20" w:after="20"/>
            </w:pPr>
            <w:r>
              <w:rPr>
                <w:sz w:val="18"/>
              </w:rPr>
              <w:t>43.36</w:t>
            </w:r>
          </w:p>
        </w:tc>
        <w:tc>
          <w:tcPr>
            <w:tcW w:type="dxa" w:w="2854"/>
          </w:tcPr>
          <w:p>
            <w:pPr>
              <w:spacing w:before="20" w:after="20"/>
            </w:pPr>
            <w:r>
              <w:rPr>
                <w:sz w:val="18"/>
              </w:rPr>
              <w:t>1826</w:t>
            </w:r>
          </w:p>
        </w:tc>
      </w:tr>
    </w:tbl>
    <w:p>
      <w:pPr>
        <w:spacing w:before="0" w:after="0" w:lineRule="exact" w:line="140"/>
      </w:pPr>
    </w:p>
    <w:p>
      <w:pPr>
        <w:pStyle w:val="MDPI41tablecaption"/>
        <w:keepNext/>
        <w:spacing w:before="240" w:after="120"/>
      </w:pPr>
      <w:r>
        <w:t>Table 2. Descriptive statistics of the raw daily series (µg/m³).</w:t>
      </w:r>
    </w:p>
    <w:tbl>
      <w:tblPr>
        <w:tblStyle w:val="MDPItable"/>
        <w:tblW w:w="10466" w:type="dxa"/>
        <w:jc w:val="left"/>
        <w:tblInd w:w="0" w:type="dxa"/>
        <w:tblW w:type="auto" w:w="0"/>
        <w:tblLayout w:type="fixed"/>
        <w:tblLook w:firstColumn="1" w:firstRow="1" w:lastColumn="0" w:lastRow="0" w:noHBand="0" w:noVBand="1" w:val="04A0"/>
        <w:tblBorders>
          <w:top w:val="single" w:sz="4" w:color="9AA5B1"/>
          <w:bottom w:val="single" w:sz="4" w:color="9AA5B1"/>
          <w:insideH w:val="single" w:sz="4" w:color="9AA5B1"/>
          <w:insideV w:val="none"/>
          <w:left w:val="none"/>
          <w:right w:val="none"/>
        </w:tblBorders>
      </w:tblPr>
      <w:tblGrid>
        <w:gridCol w:w="1163"/>
        <w:gridCol w:w="1163"/>
        <w:gridCol w:w="1163"/>
        <w:gridCol w:w="1163"/>
        <w:gridCol w:w="1163"/>
        <w:gridCol w:w="1163"/>
        <w:gridCol w:w="1163"/>
        <w:gridCol w:w="1163"/>
        <w:gridCol w:w="1163"/>
      </w:tblGrid>
      <w:tr>
        <w:tc>
          <w:tcPr>
            <w:tcW w:type="dxa" w:w="1550"/>
            <w:shd w:fill="EDF2F7"/>
          </w:tcPr>
          <w:p>
            <w:pPr>
              <w:spacing w:before="20" w:after="20"/>
            </w:pPr>
            <w:r>
              <w:rPr>
                <w:b/>
                <w:sz w:val="18"/>
              </w:rPr>
              <w:t>Pollutant</w:t>
            </w:r>
          </w:p>
        </w:tc>
        <w:tc>
          <w:tcPr>
            <w:tcW w:type="dxa" w:w="1098"/>
            <w:shd w:fill="EDF2F7"/>
          </w:tcPr>
          <w:p>
            <w:pPr>
              <w:spacing w:before="20" w:after="20"/>
            </w:pPr>
            <w:r>
              <w:rPr>
                <w:b/>
                <w:sz w:val="18"/>
              </w:rPr>
              <w:t>Min</w:t>
            </w:r>
          </w:p>
        </w:tc>
        <w:tc>
          <w:tcPr>
            <w:tcW w:type="dxa" w:w="1098"/>
            <w:shd w:fill="EDF2F7"/>
          </w:tcPr>
          <w:p>
            <w:pPr>
              <w:spacing w:before="20" w:after="20"/>
            </w:pPr>
            <w:r>
              <w:rPr>
                <w:b/>
                <w:sz w:val="18"/>
              </w:rPr>
              <w:t>Median</w:t>
            </w:r>
          </w:p>
        </w:tc>
        <w:tc>
          <w:tcPr>
            <w:tcW w:type="dxa" w:w="1098"/>
            <w:shd w:fill="EDF2F7"/>
          </w:tcPr>
          <w:p>
            <w:pPr>
              <w:spacing w:before="20" w:after="20"/>
            </w:pPr>
            <w:r>
              <w:rPr>
                <w:b/>
                <w:sz w:val="18"/>
              </w:rPr>
              <w:t>Q3</w:t>
            </w:r>
          </w:p>
        </w:tc>
        <w:tc>
          <w:tcPr>
            <w:tcW w:type="dxa" w:w="1098"/>
            <w:shd w:fill="EDF2F7"/>
          </w:tcPr>
          <w:p>
            <w:pPr>
              <w:spacing w:before="20" w:after="20"/>
            </w:pPr>
            <w:r>
              <w:rPr>
                <w:b/>
                <w:sz w:val="18"/>
              </w:rPr>
              <w:t>Max</w:t>
            </w:r>
          </w:p>
        </w:tc>
        <w:tc>
          <w:tcPr>
            <w:tcW w:type="dxa" w:w="1098"/>
            <w:shd w:fill="EDF2F7"/>
          </w:tcPr>
          <w:p>
            <w:pPr>
              <w:spacing w:before="20" w:after="20"/>
            </w:pPr>
            <w:r>
              <w:rPr>
                <w:b/>
                <w:sz w:val="18"/>
              </w:rPr>
              <w:t>Mean</w:t>
            </w:r>
          </w:p>
        </w:tc>
        <w:tc>
          <w:tcPr>
            <w:tcW w:type="dxa" w:w="1098"/>
            <w:shd w:fill="EDF2F7"/>
          </w:tcPr>
          <w:p>
            <w:pPr>
              <w:spacing w:before="20" w:after="20"/>
            </w:pPr>
            <w:r>
              <w:rPr>
                <w:b/>
                <w:sz w:val="18"/>
              </w:rPr>
              <w:t>Std</w:t>
            </w:r>
          </w:p>
        </w:tc>
        <w:tc>
          <w:tcPr>
            <w:tcW w:type="dxa" w:w="1098"/>
            <w:shd w:fill="EDF2F7"/>
          </w:tcPr>
          <w:p>
            <w:pPr>
              <w:spacing w:before="20" w:after="20"/>
            </w:pPr>
            <w:r>
              <w:rPr>
                <w:b/>
                <w:sz w:val="18"/>
              </w:rPr>
              <w:t>Skew</w:t>
            </w:r>
          </w:p>
        </w:tc>
        <w:tc>
          <w:tcPr>
            <w:tcW w:type="dxa" w:w="1227"/>
            <w:shd w:fill="EDF2F7"/>
          </w:tcPr>
          <w:p>
            <w:pPr>
              <w:spacing w:before="20" w:after="20"/>
            </w:pPr>
            <w:r>
              <w:rPr>
                <w:b/>
                <w:sz w:val="18"/>
              </w:rPr>
              <w:t>Kurtosis</w:t>
            </w:r>
          </w:p>
        </w:tc>
      </w:tr>
      <w:tr>
        <w:tc>
          <w:tcPr>
            <w:tcW w:type="dxa" w:w="1550"/>
          </w:tcPr>
          <w:p>
            <w:pPr>
              <w:spacing w:before="20" w:after="20"/>
            </w:pPr>
            <w:r>
              <w:rPr>
                <w:sz w:val="18"/>
              </w:rPr>
              <w:t>PM10</w:t>
            </w:r>
          </w:p>
        </w:tc>
        <w:tc>
          <w:tcPr>
            <w:tcW w:type="dxa" w:w="1098"/>
          </w:tcPr>
          <w:p>
            <w:pPr>
              <w:spacing w:before="20" w:after="20"/>
            </w:pPr>
            <w:r>
              <w:rPr>
                <w:sz w:val="18"/>
              </w:rPr>
              <w:t>3.1</w:t>
            </w:r>
          </w:p>
        </w:tc>
        <w:tc>
          <w:tcPr>
            <w:tcW w:type="dxa" w:w="1098"/>
          </w:tcPr>
          <w:p>
            <w:pPr>
              <w:spacing w:before="20" w:after="20"/>
            </w:pPr>
            <w:r>
              <w:rPr>
                <w:sz w:val="18"/>
              </w:rPr>
              <w:t>22.1</w:t>
            </w:r>
          </w:p>
        </w:tc>
        <w:tc>
          <w:tcPr>
            <w:tcW w:type="dxa" w:w="1098"/>
          </w:tcPr>
          <w:p>
            <w:pPr>
              <w:spacing w:before="20" w:after="20"/>
            </w:pPr>
            <w:r>
              <w:rPr>
                <w:sz w:val="18"/>
              </w:rPr>
              <w:t>30.3</w:t>
            </w:r>
          </w:p>
        </w:tc>
        <w:tc>
          <w:tcPr>
            <w:tcW w:type="dxa" w:w="1098"/>
          </w:tcPr>
          <w:p>
            <w:pPr>
              <w:spacing w:before="20" w:after="20"/>
            </w:pPr>
            <w:r>
              <w:rPr>
                <w:sz w:val="18"/>
              </w:rPr>
              <w:t>184.6</w:t>
            </w:r>
          </w:p>
        </w:tc>
        <w:tc>
          <w:tcPr>
            <w:tcW w:type="dxa" w:w="1098"/>
          </w:tcPr>
          <w:p>
            <w:pPr>
              <w:spacing w:before="20" w:after="20"/>
            </w:pPr>
            <w:r>
              <w:rPr>
                <w:sz w:val="18"/>
              </w:rPr>
              <w:t>25.1</w:t>
            </w:r>
          </w:p>
        </w:tc>
        <w:tc>
          <w:tcPr>
            <w:tcW w:type="dxa" w:w="1098"/>
          </w:tcPr>
          <w:p>
            <w:pPr>
              <w:spacing w:before="20" w:after="20"/>
            </w:pPr>
            <w:r>
              <w:rPr>
                <w:sz w:val="18"/>
              </w:rPr>
              <w:t>13.3</w:t>
            </w:r>
          </w:p>
        </w:tc>
        <w:tc>
          <w:tcPr>
            <w:tcW w:type="dxa" w:w="1098"/>
          </w:tcPr>
          <w:p>
            <w:pPr>
              <w:spacing w:before="20" w:after="20"/>
            </w:pPr>
            <w:r>
              <w:rPr>
                <w:sz w:val="18"/>
              </w:rPr>
              <w:t>3.01</w:t>
            </w:r>
          </w:p>
        </w:tc>
        <w:tc>
          <w:tcPr>
            <w:tcW w:type="dxa" w:w="1227"/>
          </w:tcPr>
          <w:p>
            <w:pPr>
              <w:spacing w:before="20" w:after="20"/>
            </w:pPr>
            <w:r>
              <w:rPr>
                <w:sz w:val="18"/>
              </w:rPr>
              <w:t>20.93</w:t>
            </w:r>
          </w:p>
        </w:tc>
      </w:tr>
      <w:tr>
        <w:tc>
          <w:tcPr>
            <w:tcW w:type="dxa" w:w="1550"/>
          </w:tcPr>
          <w:p>
            <w:pPr>
              <w:spacing w:before="20" w:after="20"/>
            </w:pPr>
            <w:r>
              <w:rPr>
                <w:sz w:val="18"/>
              </w:rPr>
              <w:t>PM25</w:t>
            </w:r>
          </w:p>
        </w:tc>
        <w:tc>
          <w:tcPr>
            <w:tcW w:type="dxa" w:w="1098"/>
          </w:tcPr>
          <w:p>
            <w:pPr>
              <w:spacing w:before="20" w:after="20"/>
            </w:pPr>
            <w:r>
              <w:rPr>
                <w:sz w:val="18"/>
              </w:rPr>
              <w:t>3.1</w:t>
            </w:r>
          </w:p>
        </w:tc>
        <w:tc>
          <w:tcPr>
            <w:tcW w:type="dxa" w:w="1098"/>
          </w:tcPr>
          <w:p>
            <w:pPr>
              <w:spacing w:before="20" w:after="20"/>
            </w:pPr>
            <w:r>
              <w:rPr>
                <w:sz w:val="18"/>
              </w:rPr>
              <w:t>13.9</w:t>
            </w:r>
          </w:p>
        </w:tc>
        <w:tc>
          <w:tcPr>
            <w:tcW w:type="dxa" w:w="1098"/>
          </w:tcPr>
          <w:p>
            <w:pPr>
              <w:spacing w:before="20" w:after="20"/>
            </w:pPr>
            <w:r>
              <w:rPr>
                <w:sz w:val="18"/>
              </w:rPr>
              <w:t>20.5</w:t>
            </w:r>
          </w:p>
        </w:tc>
        <w:tc>
          <w:tcPr>
            <w:tcW w:type="dxa" w:w="1098"/>
          </w:tcPr>
          <w:p>
            <w:pPr>
              <w:spacing w:before="20" w:after="20"/>
            </w:pPr>
            <w:r>
              <w:rPr>
                <w:sz w:val="18"/>
              </w:rPr>
              <w:t>96.5</w:t>
            </w:r>
          </w:p>
        </w:tc>
        <w:tc>
          <w:tcPr>
            <w:tcW w:type="dxa" w:w="1098"/>
          </w:tcPr>
          <w:p>
            <w:pPr>
              <w:spacing w:before="20" w:after="20"/>
            </w:pPr>
            <w:r>
              <w:rPr>
                <w:sz w:val="18"/>
              </w:rPr>
              <w:t>16.9</w:t>
            </w:r>
          </w:p>
        </w:tc>
        <w:tc>
          <w:tcPr>
            <w:tcW w:type="dxa" w:w="1098"/>
          </w:tcPr>
          <w:p>
            <w:pPr>
              <w:spacing w:before="20" w:after="20"/>
            </w:pPr>
            <w:r>
              <w:rPr>
                <w:sz w:val="18"/>
              </w:rPr>
              <w:t>10.1</w:t>
            </w:r>
          </w:p>
        </w:tc>
        <w:tc>
          <w:tcPr>
            <w:tcW w:type="dxa" w:w="1098"/>
          </w:tcPr>
          <w:p>
            <w:pPr>
              <w:spacing w:before="20" w:after="20"/>
            </w:pPr>
            <w:r>
              <w:rPr>
                <w:sz w:val="18"/>
              </w:rPr>
              <w:t>2.16</w:t>
            </w:r>
          </w:p>
        </w:tc>
        <w:tc>
          <w:tcPr>
            <w:tcW w:type="dxa" w:w="1227"/>
          </w:tcPr>
          <w:p>
            <w:pPr>
              <w:spacing w:before="20" w:after="20"/>
            </w:pPr>
            <w:r>
              <w:rPr>
                <w:sz w:val="18"/>
              </w:rPr>
              <w:t>7.54</w:t>
            </w:r>
          </w:p>
        </w:tc>
      </w:tr>
      <w:tr>
        <w:tc>
          <w:tcPr>
            <w:tcW w:type="dxa" w:w="1550"/>
          </w:tcPr>
          <w:p>
            <w:pPr>
              <w:spacing w:before="20" w:after="20"/>
            </w:pPr>
            <w:r>
              <w:rPr>
                <w:sz w:val="18"/>
              </w:rPr>
              <w:t>NO2</w:t>
            </w:r>
          </w:p>
        </w:tc>
        <w:tc>
          <w:tcPr>
            <w:tcW w:type="dxa" w:w="1098"/>
          </w:tcPr>
          <w:p>
            <w:pPr>
              <w:spacing w:before="20" w:after="20"/>
            </w:pPr>
            <w:r>
              <w:rPr>
                <w:sz w:val="18"/>
              </w:rPr>
              <w:t>11.9</w:t>
            </w:r>
          </w:p>
        </w:tc>
        <w:tc>
          <w:tcPr>
            <w:tcW w:type="dxa" w:w="1098"/>
          </w:tcPr>
          <w:p>
            <w:pPr>
              <w:spacing w:before="20" w:after="20"/>
            </w:pPr>
            <w:r>
              <w:rPr>
                <w:sz w:val="18"/>
              </w:rPr>
              <w:t>42.5</w:t>
            </w:r>
          </w:p>
        </w:tc>
        <w:tc>
          <w:tcPr>
            <w:tcW w:type="dxa" w:w="1098"/>
          </w:tcPr>
          <w:p>
            <w:pPr>
              <w:spacing w:before="20" w:after="20"/>
            </w:pPr>
            <w:r>
              <w:rPr>
                <w:sz w:val="18"/>
              </w:rPr>
              <w:t>52.4</w:t>
            </w:r>
          </w:p>
        </w:tc>
        <w:tc>
          <w:tcPr>
            <w:tcW w:type="dxa" w:w="1098"/>
          </w:tcPr>
          <w:p>
            <w:pPr>
              <w:spacing w:before="20" w:after="20"/>
            </w:pPr>
            <w:r>
              <w:rPr>
                <w:sz w:val="18"/>
              </w:rPr>
              <w:t>100.0</w:t>
            </w:r>
          </w:p>
        </w:tc>
        <w:tc>
          <w:tcPr>
            <w:tcW w:type="dxa" w:w="1098"/>
          </w:tcPr>
          <w:p>
            <w:pPr>
              <w:spacing w:before="20" w:after="20"/>
            </w:pPr>
            <w:r>
              <w:rPr>
                <w:sz w:val="18"/>
              </w:rPr>
              <w:t>43.4</w:t>
            </w:r>
          </w:p>
        </w:tc>
        <w:tc>
          <w:tcPr>
            <w:tcW w:type="dxa" w:w="1098"/>
          </w:tcPr>
          <w:p>
            <w:pPr>
              <w:spacing w:before="20" w:after="20"/>
            </w:pPr>
            <w:r>
              <w:rPr>
                <w:sz w:val="18"/>
              </w:rPr>
              <w:t>14.0</w:t>
            </w:r>
          </w:p>
        </w:tc>
        <w:tc>
          <w:tcPr>
            <w:tcW w:type="dxa" w:w="1098"/>
          </w:tcPr>
          <w:p>
            <w:pPr>
              <w:spacing w:before="20" w:after="20"/>
            </w:pPr>
            <w:r>
              <w:rPr>
                <w:sz w:val="18"/>
              </w:rPr>
              <w:t>0.53</w:t>
            </w:r>
          </w:p>
        </w:tc>
        <w:tc>
          <w:tcPr>
            <w:tcW w:type="dxa" w:w="1227"/>
          </w:tcPr>
          <w:p>
            <w:pPr>
              <w:spacing w:before="20" w:after="20"/>
            </w:pPr>
            <w:r>
              <w:rPr>
                <w:sz w:val="18"/>
              </w:rPr>
              <w:t>0.59</w:t>
            </w:r>
          </w:p>
        </w:tc>
      </w:tr>
    </w:tbl>
    <w:p>
      <w:pPr>
        <w:spacing w:before="0" w:after="0" w:lineRule="exact" w:line="140"/>
      </w:pPr>
    </w:p>
    <w:p>
      <w:pPr>
        <w:pStyle w:val="MDPI22heading2"/>
      </w:pPr>
      <w:r>
        <w:t>3.2. Data Preprocessing</w:t>
      </w:r>
    </w:p>
    <w:p>
      <w:pPr>
        <w:pStyle w:val="MDPI31text"/>
      </w:pPr>
      <w:r>
        <w:t>Figure 1 overlays the three raw series. All share an annual cycle and sharp positive episodes that skew their distributions (maxima 184.6, 96.5, and 100.0 µg/m³ for PM10, PM2.5, and NO2 respectively; skewness in Table 2). Variance stabilisation follows common practice [20]: each series is Box-Cox transformed after an additive positivity constant, and all models operate on this common scale. Figure 2 separates trend, annual seasonality, and remainder through a loess-based decomposition; Figure 3 shows the transformed series used throughout.</w:t>
      </w:r>
    </w:p>
    <w:p>
      <w:pPr>
        <w:pStyle w:val="MDPI52figure"/>
        <w:keepNext/>
        <w:spacing w:before="200" w:after="80"/>
        <w:jc w:val="center"/>
      </w:pPr>
      <w:r>
        <w:drawing>
          <wp:inline xmlns:a="http://schemas.openxmlformats.org/drawingml/2006/main" xmlns:pic="http://schemas.openxmlformats.org/drawingml/2006/picture">
            <wp:extent cx="5852160" cy="5176586"/>
            <wp:docPr id="1" name="Picture 1"/>
            <wp:cNvGraphicFramePr>
              <a:graphicFrameLocks noChangeAspect="1"/>
            </wp:cNvGraphicFramePr>
            <a:graphic>
              <a:graphicData uri="http://schemas.openxmlformats.org/drawingml/2006/picture">
                <pic:pic>
                  <pic:nvPicPr>
                    <pic:cNvPr id="0" name="fig1_dataset.png"/>
                    <pic:cNvPicPr/>
                  </pic:nvPicPr>
                  <pic:blipFill>
                    <a:blip r:embed="rId18"/>
                    <a:stretch>
                      <a:fillRect/>
                    </a:stretch>
                  </pic:blipFill>
                  <pic:spPr>
                    <a:xfrm>
                      <a:off x="0" y="0"/>
                      <a:ext cx="5852160" cy="5176586"/>
                    </a:xfrm>
                    <a:prstGeom prst="rect"/>
                  </pic:spPr>
                </pic:pic>
              </a:graphicData>
            </a:graphic>
          </wp:inline>
        </w:drawing>
      </w:r>
    </w:p>
    <w:p>
      <w:pPr>
        <w:pStyle w:val="MDPI51figurecaption"/>
        <w:spacing w:after="240"/>
      </w:pPr>
      <w:r>
        <w:t>Figure 1. Dataset time series.</w:t>
      </w:r>
    </w:p>
    <w:p>
      <w:pPr>
        <w:spacing w:before="0" w:after="0" w:lineRule="exact" w:line="100"/>
      </w:pPr>
    </w:p>
    <w:p>
      <w:pPr>
        <w:pStyle w:val="MDPI52figure"/>
        <w:keepNext/>
        <w:spacing w:before="200" w:after="80"/>
        <w:jc w:val="center"/>
      </w:pPr>
      <w:r>
        <w:drawing>
          <wp:inline xmlns:a="http://schemas.openxmlformats.org/drawingml/2006/main" xmlns:pic="http://schemas.openxmlformats.org/drawingml/2006/picture">
            <wp:extent cx="6492240" cy="6236568"/>
            <wp:docPr id="2" name="Picture 2"/>
            <wp:cNvGraphicFramePr>
              <a:graphicFrameLocks noChangeAspect="1"/>
            </wp:cNvGraphicFramePr>
            <a:graphic>
              <a:graphicData uri="http://schemas.openxmlformats.org/drawingml/2006/picture">
                <pic:pic>
                  <pic:nvPicPr>
                    <pic:cNvPr id="0" name="fig2_decompose.png"/>
                    <pic:cNvPicPr/>
                  </pic:nvPicPr>
                  <pic:blipFill>
                    <a:blip r:embed="rId19"/>
                    <a:stretch>
                      <a:fillRect/>
                    </a:stretch>
                  </pic:blipFill>
                  <pic:spPr>
                    <a:xfrm>
                      <a:off x="0" y="0"/>
                      <a:ext cx="6492240" cy="6236568"/>
                    </a:xfrm>
                    <a:prstGeom prst="rect"/>
                  </pic:spPr>
                </pic:pic>
              </a:graphicData>
            </a:graphic>
          </wp:inline>
        </w:drawing>
      </w:r>
    </w:p>
    <w:p>
      <w:pPr>
        <w:pStyle w:val="MDPI51figurecaption"/>
        <w:spacing w:after="240"/>
      </w:pPr>
      <w:r>
        <w:t>Figure 2. Decomposition of each raw series with period 365: observed, trend, annual seasonal, and residual (columns: (a) PM10, (b) PM2.5, (c) NO2).</w:t>
      </w:r>
    </w:p>
    <w:p>
      <w:pPr>
        <w:spacing w:before="0" w:after="0" w:lineRule="exact" w:line="100"/>
      </w:pPr>
    </w:p>
    <w:p>
      <w:pPr>
        <w:pStyle w:val="MDPI52figure"/>
        <w:keepNext/>
        <w:spacing w:before="200" w:after="80"/>
        <w:jc w:val="center"/>
      </w:pPr>
      <w:r>
        <w:drawing>
          <wp:inline xmlns:a="http://schemas.openxmlformats.org/drawingml/2006/main" xmlns:pic="http://schemas.openxmlformats.org/drawingml/2006/picture">
            <wp:extent cx="5852160" cy="4961674"/>
            <wp:docPr id="3" name="Picture 3"/>
            <wp:cNvGraphicFramePr>
              <a:graphicFrameLocks noChangeAspect="1"/>
            </wp:cNvGraphicFramePr>
            <a:graphic>
              <a:graphicData uri="http://schemas.openxmlformats.org/drawingml/2006/picture">
                <pic:pic>
                  <pic:nvPicPr>
                    <pic:cNvPr id="0" name="fig3_boxcox.png"/>
                    <pic:cNvPicPr/>
                  </pic:nvPicPr>
                  <pic:blipFill>
                    <a:blip r:embed="rId20"/>
                    <a:stretch>
                      <a:fillRect/>
                    </a:stretch>
                  </pic:blipFill>
                  <pic:spPr>
                    <a:xfrm>
                      <a:off x="0" y="0"/>
                      <a:ext cx="5852160" cy="4961674"/>
                    </a:xfrm>
                    <a:prstGeom prst="rect"/>
                  </pic:spPr>
                </pic:pic>
              </a:graphicData>
            </a:graphic>
          </wp:inline>
        </w:drawing>
      </w:r>
    </w:p>
    <w:p>
      <w:pPr>
        <w:pStyle w:val="MDPI51figurecaption"/>
        <w:spacing w:after="240"/>
      </w:pPr>
      <w:r>
        <w:t>Figure 3. Transformed series after Box-Cox: (a) PM10, (b) PM2.5, (c) NO2.</w:t>
      </w:r>
    </w:p>
    <w:p>
      <w:pPr>
        <w:spacing w:before="0" w:after="0" w:lineRule="exact" w:line="100"/>
      </w:pPr>
    </w:p>
    <w:p>
      <w:pPr>
        <w:pStyle w:val="MDPI31text"/>
      </w:pPr>
      <w:r>
        <w:t>Stationarity of the transformed series is verified in Table 3 (ADF and KPSS; all six decisions favour stationarity), and the autocorrelation structure is plotted in Figure 4: a weekly rhythm clearest in NO2, longer monthly memory in the particulates, partial correlations decaying within a handful of lags - the pattern that motivates both the weekly-seasonal statistical component and the short-lag feature block of the proposed learner.</w:t>
      </w:r>
    </w:p>
    <w:p>
      <w:pPr>
        <w:pStyle w:val="MDPI41tablecaption"/>
        <w:keepNext/>
        <w:spacing w:before="240" w:after="120"/>
      </w:pPr>
      <w:r>
        <w:t>Table 3. Stationarity tests on the transformed series.</w:t>
      </w:r>
    </w:p>
    <w:tbl>
      <w:tblPr>
        <w:tblStyle w:val="MDPItable"/>
        <w:tblW w:w="10466" w:type="dxa"/>
        <w:jc w:val="left"/>
        <w:tblInd w:w="0" w:type="dxa"/>
        <w:tblW w:type="auto" w:w="0"/>
        <w:tblLayout w:type="fixed"/>
        <w:tblLook w:firstColumn="1" w:firstRow="1" w:lastColumn="0" w:lastRow="0" w:noHBand="0" w:noVBand="1" w:val="04A0"/>
        <w:tblBorders>
          <w:top w:val="single" w:sz="4" w:color="9AA5B1"/>
          <w:bottom w:val="single" w:sz="4" w:color="9AA5B1"/>
          <w:insideH w:val="single" w:sz="4" w:color="9AA5B1"/>
          <w:insideV w:val="none"/>
          <w:left w:val="none"/>
          <w:right w:val="none"/>
        </w:tblBorders>
      </w:tblPr>
      <w:tblGrid>
        <w:gridCol w:w="2093"/>
        <w:gridCol w:w="2093"/>
        <w:gridCol w:w="2093"/>
        <w:gridCol w:w="2093"/>
        <w:gridCol w:w="2093"/>
      </w:tblGrid>
      <w:tr>
        <w:tc>
          <w:tcPr>
            <w:tcW w:type="dxa" w:w="2119"/>
            <w:shd w:fill="EDF2F7"/>
          </w:tcPr>
          <w:p>
            <w:pPr>
              <w:spacing w:before="20" w:after="20"/>
            </w:pPr>
            <w:r>
              <w:rPr>
                <w:b/>
                <w:sz w:val="18"/>
              </w:rPr>
              <w:t>Pollutant</w:t>
            </w:r>
          </w:p>
        </w:tc>
        <w:tc>
          <w:tcPr>
            <w:tcW w:type="dxa" w:w="2252"/>
            <w:shd w:fill="EDF2F7"/>
          </w:tcPr>
          <w:p>
            <w:pPr>
              <w:spacing w:before="20" w:after="20"/>
            </w:pPr>
            <w:r>
              <w:rPr>
                <w:b/>
                <w:sz w:val="18"/>
              </w:rPr>
              <w:t>ADF statistic</w:t>
            </w:r>
          </w:p>
        </w:tc>
        <w:tc>
          <w:tcPr>
            <w:tcW w:type="dxa" w:w="1854"/>
            <w:shd w:fill="EDF2F7"/>
          </w:tcPr>
          <w:p>
            <w:pPr>
              <w:spacing w:before="20" w:after="20"/>
            </w:pPr>
            <w:r>
              <w:rPr>
                <w:b/>
                <w:sz w:val="18"/>
              </w:rPr>
              <w:t>ADF p</w:t>
            </w:r>
          </w:p>
        </w:tc>
        <w:tc>
          <w:tcPr>
            <w:tcW w:type="dxa" w:w="2252"/>
            <w:shd w:fill="EDF2F7"/>
          </w:tcPr>
          <w:p>
            <w:pPr>
              <w:spacing w:before="20" w:after="20"/>
            </w:pPr>
            <w:r>
              <w:rPr>
                <w:b/>
                <w:sz w:val="18"/>
              </w:rPr>
              <w:t>KPSS statistic</w:t>
            </w:r>
          </w:p>
        </w:tc>
        <w:tc>
          <w:tcPr>
            <w:tcW w:type="dxa" w:w="1987"/>
            <w:shd w:fill="EDF2F7"/>
          </w:tcPr>
          <w:p>
            <w:pPr>
              <w:spacing w:before="20" w:after="20"/>
            </w:pPr>
            <w:r>
              <w:rPr>
                <w:b/>
                <w:sz w:val="18"/>
              </w:rPr>
              <w:t>KPSS p</w:t>
            </w:r>
          </w:p>
        </w:tc>
      </w:tr>
      <w:tr>
        <w:tc>
          <w:tcPr>
            <w:tcW w:type="dxa" w:w="2119"/>
          </w:tcPr>
          <w:p>
            <w:pPr>
              <w:spacing w:before="20" w:after="20"/>
            </w:pPr>
            <w:r>
              <w:rPr>
                <w:sz w:val="18"/>
              </w:rPr>
              <w:t>PM10</w:t>
            </w:r>
          </w:p>
        </w:tc>
        <w:tc>
          <w:tcPr>
            <w:tcW w:type="dxa" w:w="2252"/>
          </w:tcPr>
          <w:p>
            <w:pPr>
              <w:spacing w:before="20" w:after="20"/>
            </w:pPr>
            <w:r>
              <w:rPr>
                <w:sz w:val="18"/>
              </w:rPr>
              <w:t>-7.24</w:t>
            </w:r>
          </w:p>
        </w:tc>
        <w:tc>
          <w:tcPr>
            <w:tcW w:type="dxa" w:w="1854"/>
          </w:tcPr>
          <w:p>
            <w:pPr>
              <w:spacing w:before="20" w:after="20"/>
            </w:pPr>
            <w:r>
              <w:rPr>
                <w:sz w:val="18"/>
              </w:rPr>
              <w:t>0.000</w:t>
            </w:r>
          </w:p>
        </w:tc>
        <w:tc>
          <w:tcPr>
            <w:tcW w:type="dxa" w:w="2252"/>
          </w:tcPr>
          <w:p>
            <w:pPr>
              <w:spacing w:before="20" w:after="20"/>
            </w:pPr>
            <w:r>
              <w:rPr>
                <w:sz w:val="18"/>
              </w:rPr>
              <w:t>0.467</w:t>
            </w:r>
          </w:p>
        </w:tc>
        <w:tc>
          <w:tcPr>
            <w:tcW w:type="dxa" w:w="1987"/>
          </w:tcPr>
          <w:p>
            <w:pPr>
              <w:spacing w:before="20" w:after="20"/>
            </w:pPr>
            <w:r>
              <w:rPr>
                <w:sz w:val="18"/>
              </w:rPr>
              <w:t>0.049</w:t>
            </w:r>
          </w:p>
        </w:tc>
      </w:tr>
      <w:tr>
        <w:tc>
          <w:tcPr>
            <w:tcW w:type="dxa" w:w="2119"/>
          </w:tcPr>
          <w:p>
            <w:pPr>
              <w:spacing w:before="20" w:after="20"/>
            </w:pPr>
            <w:r>
              <w:rPr>
                <w:sz w:val="18"/>
              </w:rPr>
              <w:t>PM25</w:t>
            </w:r>
          </w:p>
        </w:tc>
        <w:tc>
          <w:tcPr>
            <w:tcW w:type="dxa" w:w="2252"/>
          </w:tcPr>
          <w:p>
            <w:pPr>
              <w:spacing w:before="20" w:after="20"/>
            </w:pPr>
            <w:r>
              <w:rPr>
                <w:sz w:val="18"/>
              </w:rPr>
              <w:t>-4.72</w:t>
            </w:r>
          </w:p>
        </w:tc>
        <w:tc>
          <w:tcPr>
            <w:tcW w:type="dxa" w:w="1854"/>
          </w:tcPr>
          <w:p>
            <w:pPr>
              <w:spacing w:before="20" w:after="20"/>
            </w:pPr>
            <w:r>
              <w:rPr>
                <w:sz w:val="18"/>
              </w:rPr>
              <w:t>0.000</w:t>
            </w:r>
          </w:p>
        </w:tc>
        <w:tc>
          <w:tcPr>
            <w:tcW w:type="dxa" w:w="2252"/>
          </w:tcPr>
          <w:p>
            <w:pPr>
              <w:spacing w:before="20" w:after="20"/>
            </w:pPr>
            <w:r>
              <w:rPr>
                <w:sz w:val="18"/>
              </w:rPr>
              <w:t>0.871</w:t>
            </w:r>
          </w:p>
        </w:tc>
        <w:tc>
          <w:tcPr>
            <w:tcW w:type="dxa" w:w="1987"/>
          </w:tcPr>
          <w:p>
            <w:pPr>
              <w:spacing w:before="20" w:after="20"/>
            </w:pPr>
            <w:r>
              <w:rPr>
                <w:sz w:val="18"/>
              </w:rPr>
              <w:t>0.010</w:t>
            </w:r>
          </w:p>
        </w:tc>
      </w:tr>
      <w:tr>
        <w:tc>
          <w:tcPr>
            <w:tcW w:type="dxa" w:w="2119"/>
          </w:tcPr>
          <w:p>
            <w:pPr>
              <w:spacing w:before="20" w:after="20"/>
            </w:pPr>
            <w:r>
              <w:rPr>
                <w:sz w:val="18"/>
              </w:rPr>
              <w:t>NO2</w:t>
            </w:r>
          </w:p>
        </w:tc>
        <w:tc>
          <w:tcPr>
            <w:tcW w:type="dxa" w:w="2252"/>
          </w:tcPr>
          <w:p>
            <w:pPr>
              <w:spacing w:before="20" w:after="20"/>
            </w:pPr>
            <w:r>
              <w:rPr>
                <w:sz w:val="18"/>
              </w:rPr>
              <w:t>-4.77</w:t>
            </w:r>
          </w:p>
        </w:tc>
        <w:tc>
          <w:tcPr>
            <w:tcW w:type="dxa" w:w="1854"/>
          </w:tcPr>
          <w:p>
            <w:pPr>
              <w:spacing w:before="20" w:after="20"/>
            </w:pPr>
            <w:r>
              <w:rPr>
                <w:sz w:val="18"/>
              </w:rPr>
              <w:t>0.000</w:t>
            </w:r>
          </w:p>
        </w:tc>
        <w:tc>
          <w:tcPr>
            <w:tcW w:type="dxa" w:w="2252"/>
          </w:tcPr>
          <w:p>
            <w:pPr>
              <w:spacing w:before="20" w:after="20"/>
            </w:pPr>
            <w:r>
              <w:rPr>
                <w:sz w:val="18"/>
              </w:rPr>
              <w:t>1.479</w:t>
            </w:r>
          </w:p>
        </w:tc>
        <w:tc>
          <w:tcPr>
            <w:tcW w:type="dxa" w:w="1987"/>
          </w:tcPr>
          <w:p>
            <w:pPr>
              <w:spacing w:before="20" w:after="20"/>
            </w:pPr>
            <w:r>
              <w:rPr>
                <w:sz w:val="18"/>
              </w:rPr>
              <w:t>0.010</w:t>
            </w:r>
          </w:p>
        </w:tc>
      </w:tr>
    </w:tbl>
    <w:p>
      <w:pPr>
        <w:spacing w:before="0" w:after="0" w:lineRule="exact" w:line="140"/>
      </w:pPr>
    </w:p>
    <w:p>
      <w:pPr>
        <w:pStyle w:val="MDPI52figure"/>
        <w:keepNext/>
        <w:spacing w:before="200" w:after="80"/>
        <w:jc w:val="center"/>
      </w:pPr>
      <w:r>
        <w:drawing>
          <wp:inline xmlns:a="http://schemas.openxmlformats.org/drawingml/2006/main" xmlns:pic="http://schemas.openxmlformats.org/drawingml/2006/picture">
            <wp:extent cx="6492240" cy="4161225"/>
            <wp:docPr id="4" name="Picture 4"/>
            <wp:cNvGraphicFramePr>
              <a:graphicFrameLocks noChangeAspect="1"/>
            </wp:cNvGraphicFramePr>
            <a:graphic>
              <a:graphicData uri="http://schemas.openxmlformats.org/drawingml/2006/picture">
                <pic:pic>
                  <pic:nvPicPr>
                    <pic:cNvPr id="0" name="fig4_acfpacf.png"/>
                    <pic:cNvPicPr/>
                  </pic:nvPicPr>
                  <pic:blipFill>
                    <a:blip r:embed="rId21"/>
                    <a:stretch>
                      <a:fillRect/>
                    </a:stretch>
                  </pic:blipFill>
                  <pic:spPr>
                    <a:xfrm>
                      <a:off x="0" y="0"/>
                      <a:ext cx="6492240" cy="4161225"/>
                    </a:xfrm>
                    <a:prstGeom prst="rect"/>
                  </pic:spPr>
                </pic:pic>
              </a:graphicData>
            </a:graphic>
          </wp:inline>
        </w:drawing>
      </w:r>
    </w:p>
    <w:p>
      <w:pPr>
        <w:pStyle w:val="MDPI51figurecaption"/>
        <w:spacing w:after="240"/>
      </w:pPr>
      <w:r>
        <w:t>Figure 4. ACF (top) and PACF (bottom) of the transformed series: (a) PM10, (b) PM2.5, (c) NO2; dashed lines mark the 95% confidence bounds.</w:t>
      </w:r>
    </w:p>
    <w:p>
      <w:pPr>
        <w:spacing w:before="0" w:after="0" w:lineRule="exact" w:line="100"/>
      </w:pPr>
    </w:p>
    <w:p>
      <w:pPr>
        <w:pStyle w:val="MDPI22heading2"/>
      </w:pPr>
      <w:r>
        <w:t>3.3. Proposed Forecasting Framework</w:t>
      </w:r>
    </w:p>
    <w:p>
      <w:pPr>
        <w:pStyle w:val="MDPI31text"/>
      </w:pPr>
      <w:r>
        <w:t>The framework (Figure 5) combines two deliberately complementary estimators per pollutant and horizon. The learner is LightGBM [10] in direct mode: one model of 200 trees (learning rate 0.05, at most 15 leaves, 20 samples per leaf, fixed seed) maps an 18-column row - lags 1-7, rolling means over 7 and 30 days, a 30-day rolling standard deviation, the value one year earlier, and annual/weekly calendar markers - to the target. The statistical frame is the Theta method [11] on first differences with an additive weekly (period-7) decomposition: a flat zero-Theta extrapolation and a linear-trend (Theta = 2) projection are averaged over the seasonal remainder. The issued forecast is the unweighted mean of the two component outputs. The design hypotheses are that (i) boosted trees specialise in episode shapes carried by short lags and volatility features, (ii) the Theta frame owns structural level shifts and the weekly profile that a tree can only see as numbers, and (iii) their mean cancels a large share of both error families. No stacking layer, weighting search, or exogenous information is used - the framework stays auditable and retrainable in seconds on a CPU.</w:t>
      </w:r>
    </w:p>
    <w:p>
      <w:pPr>
        <w:pStyle w:val="MDPI52figure"/>
        <w:keepNext/>
        <w:spacing w:before="200" w:after="80"/>
        <w:jc w:val="center"/>
      </w:pPr>
      <w:r>
        <w:drawing>
          <wp:inline xmlns:a="http://schemas.openxmlformats.org/drawingml/2006/main" xmlns:pic="http://schemas.openxmlformats.org/drawingml/2006/picture">
            <wp:extent cx="6035040" cy="2488465"/>
            <wp:docPr id="5" name="Picture 5"/>
            <wp:cNvGraphicFramePr>
              <a:graphicFrameLocks noChangeAspect="1"/>
            </wp:cNvGraphicFramePr>
            <a:graphic>
              <a:graphicData uri="http://schemas.openxmlformats.org/drawingml/2006/picture">
                <pic:pic>
                  <pic:nvPicPr>
                    <pic:cNvPr id="0" name="fig0_architecture.png"/>
                    <pic:cNvPicPr/>
                  </pic:nvPicPr>
                  <pic:blipFill>
                    <a:blip r:embed="rId22"/>
                    <a:stretch>
                      <a:fillRect/>
                    </a:stretch>
                  </pic:blipFill>
                  <pic:spPr>
                    <a:xfrm>
                      <a:off x="0" y="0"/>
                      <a:ext cx="6035040" cy="2488465"/>
                    </a:xfrm>
                    <a:prstGeom prst="rect"/>
                  </pic:spPr>
                </pic:pic>
              </a:graphicData>
            </a:graphic>
          </wp:inline>
        </w:drawing>
      </w:r>
    </w:p>
    <w:p>
      <w:pPr>
        <w:pStyle w:val="MDPI51figurecaption"/>
        <w:spacing w:after="240"/>
      </w:pPr>
      <w:r>
        <w:t>Figure 5. Architecture of the proposed framework.</w:t>
      </w:r>
    </w:p>
    <w:p>
      <w:pPr>
        <w:spacing w:before="0" w:after="0" w:lineRule="exact" w:line="100"/>
      </w:pPr>
    </w:p>
    <w:p>
      <w:pPr>
        <w:pStyle w:val="MDPI22heading2"/>
      </w:pPr>
      <w:r>
        <w:t>3.4. Baseline Models</w:t>
      </w:r>
    </w:p>
    <w:p>
      <w:pPr>
        <w:pStyle w:val="MDPI31text"/>
      </w:pPr>
      <w:r>
        <w:t>Twenty-two baselines span three families. Statistical: a seasonal naive; non-seasonal ARIMA; ETS with additive weekly seasonality; a VAR system over the three pollutants; the Theta method alone; an exponential smoothing over a seasonal-trend decomposition (STL) [21]; a structural unobserved-components Kalman model; and a weekly-seasonal SARIMA equivalence of the reference's statistical layer. Shallow machine learning: ridge regression, support vector regression, k-nearest neighbours, random forests [22], and a multilayer perceptron trained on ARIMA residuals. Boosting and ensembles: several LightGBM feature-set variants (including one carrying sine/cosine week markers instead of a seasonal component), their combinations with ETS and with the Theta frame, and variants of the proposed average. The deep reference baseline is the full pipeline of [7]: seasonal ARIMA feeding a 544,513-parameter bidirectional LSTM with Fourier terms and cross-attention, rebuilt from the authors' full description and run on the same folds, origins, and scoring as every other candidate. All twenty-three variants (22 baselines + the proposal) appear in the companion leaderboard with per-cell results.</w:t>
      </w:r>
    </w:p>
    <w:p>
      <w:pPr>
        <w:pStyle w:val="MDPI22heading2"/>
      </w:pPr>
      <w:r>
        <w:t>3.5. Experimental Setup and Metrics</w:t>
      </w:r>
    </w:p>
    <w:p>
      <w:pPr>
        <w:pStyle w:val="MDPI31text"/>
      </w:pPr>
      <w:r>
        <w:t>The evaluation region spans roughly 2.5 years and is traversed by five 720-day test windows whose starts advance in 120-day steps; within a window forecasts are issued from origins 30 days apart (24 origins) using only history up to the origin minus one day, with a 365-day lookback cap; horizons are 1, 7, and 30 days; retraining is per origin and horizon in direct mode where applicable. Scores are RMSE and MAE on the Box-Cox scale plus MAPE on the raw scale (inverse-transformed), computed per pollutant-horizon cell; pairwise significance uses the two-sided Diebold-Mariano test with the small-sample correction of [23], evaluated on the pooled per-cell error vector. Everything runs on commodity CPU hardware; a reproducibility script regenerates every number from frozen prediction files.</w:t>
      </w:r>
    </w:p>
    <w:p>
      <w:pPr>
        <w:pStyle w:val="MDPI21heading1"/>
      </w:pPr>
      <w:r>
        <w:t>4. Results</w:t>
      </w:r>
    </w:p>
    <w:p>
      <w:pPr>
        <w:pStyle w:val="MDPI22heading2"/>
      </w:pPr>
      <w:r>
        <w:t>4.1. Comparison against Baselines</w:t>
      </w:r>
    </w:p>
    <w:p>
      <w:pPr>
        <w:pStyle w:val="MDPI31text"/>
      </w:pPr>
      <w:r>
        <w:t>Table 4 reports per-cell RMSE, MAE, and MAPE for the proposal and the three most instructive baselines: the rebuilt deep hybrid [7], its own statistical layer (weekly SARIMA), and the Theta frame alone. The proposal wins 7 of 9 cells against the deep hybrid with an aggregate RMSE change of -5.5% on the Box-Cox scale, and the Diebold-Mariano audit of every cell confirms no statistically significant loss (5 wins significant, 0 significant losses at 5%). Its largest gains concentrate in the particulate species and the 30-day NO2 cell; the two short-horizon NO2 cells, where the weekly rhythm of traffic-related emissions dominates, remain the hardest and are the proposal's only consistent deficit. The deep baseline nonetheless beats its own SARIMA layer - the published architecture is genuinely strong - which makes the proposal's advantage over it the more notable; Figure 6 visualises the comparison.</w:t>
      </w:r>
    </w:p>
    <w:p>
      <w:pPr>
        <w:pStyle w:val="MDPI41tablecaption"/>
        <w:keepNext/>
        <w:spacing w:before="240" w:after="120"/>
      </w:pPr>
      <w:r>
        <w:t>Table 4. Forecasting performance by pollutant and horizon (RMSE and MAE on the Box-Cox scale; MAPE (%) on the raw scale). The proposed ensemble is listed first.</w:t>
      </w:r>
    </w:p>
    <w:tbl>
      <w:tblPr>
        <w:tblStyle w:val="MDPItable"/>
        <w:tblW w:w="10466" w:type="dxa"/>
        <w:jc w:val="left"/>
        <w:tblInd w:w="0" w:type="dxa"/>
        <w:tblW w:type="auto" w:w="0"/>
        <w:tblLayout w:type="fixed"/>
        <w:tblLook w:firstColumn="1" w:firstRow="1" w:lastColumn="0" w:lastRow="0" w:noHBand="0" w:noVBand="1" w:val="04A0"/>
        <w:tblBorders>
          <w:top w:val="single" w:sz="4" w:color="9AA5B1"/>
          <w:bottom w:val="single" w:sz="4" w:color="9AA5B1"/>
          <w:insideH w:val="single" w:sz="4" w:color="9AA5B1"/>
          <w:insideV w:val="none"/>
          <w:left w:val="none"/>
          <w:right w:val="none"/>
        </w:tblBorders>
      </w:tblPr>
      <w:tblGrid>
        <w:gridCol w:w="748"/>
        <w:gridCol w:w="748"/>
        <w:gridCol w:w="748"/>
        <w:gridCol w:w="748"/>
        <w:gridCol w:w="748"/>
        <w:gridCol w:w="748"/>
        <w:gridCol w:w="748"/>
        <w:gridCol w:w="748"/>
        <w:gridCol w:w="748"/>
        <w:gridCol w:w="748"/>
        <w:gridCol w:w="748"/>
        <w:gridCol w:w="748"/>
        <w:gridCol w:w="748"/>
        <w:gridCol w:w="748"/>
      </w:tblGrid>
      <w:tr>
        <w:tc>
          <w:tcPr>
            <w:tcW w:type="dxa" w:w="968"/>
            <w:shd w:fill="EDF2F7"/>
          </w:tcPr>
          <w:p>
            <w:pPr>
              <w:spacing w:before="20" w:after="20"/>
            </w:pPr>
            <w:r>
              <w:rPr>
                <w:b/>
                <w:sz w:val="18"/>
              </w:rPr>
              <w:t>Pollutant</w:t>
            </w:r>
          </w:p>
        </w:tc>
        <w:tc>
          <w:tcPr>
            <w:tcW w:type="dxa" w:w="922"/>
            <w:shd w:fill="EDF2F7"/>
          </w:tcPr>
          <w:p>
            <w:pPr>
              <w:spacing w:before="20" w:after="20"/>
            </w:pPr>
            <w:r>
              <w:rPr>
                <w:b/>
                <w:sz w:val="18"/>
              </w:rPr>
              <w:t>Horizon</w:t>
            </w:r>
          </w:p>
        </w:tc>
        <w:tc>
          <w:tcPr>
            <w:tcW w:type="dxa" w:w="714"/>
            <w:shd w:fill="EDF2F7"/>
          </w:tcPr>
          <w:p>
            <w:pPr>
              <w:spacing w:before="20" w:after="20"/>
            </w:pPr>
            <w:r>
              <w:rPr>
                <w:b/>
                <w:sz w:val="18"/>
              </w:rPr>
              <w:t>RMSE prop.</w:t>
            </w:r>
          </w:p>
        </w:tc>
        <w:tc>
          <w:tcPr>
            <w:tcW w:type="dxa" w:w="714"/>
            <w:shd w:fill="EDF2F7"/>
          </w:tcPr>
          <w:p>
            <w:pPr>
              <w:spacing w:before="20" w:after="20"/>
            </w:pPr>
            <w:r>
              <w:rPr>
                <w:b/>
                <w:sz w:val="18"/>
              </w:rPr>
              <w:t>MAE prop.</w:t>
            </w:r>
          </w:p>
        </w:tc>
        <w:tc>
          <w:tcPr>
            <w:tcW w:type="dxa" w:w="714"/>
            <w:shd w:fill="EDF2F7"/>
          </w:tcPr>
          <w:p>
            <w:pPr>
              <w:spacing w:before="20" w:after="20"/>
            </w:pPr>
            <w:r>
              <w:rPr>
                <w:b/>
                <w:sz w:val="18"/>
              </w:rPr>
              <w:t>MAPE prop. (%)</w:t>
            </w:r>
          </w:p>
        </w:tc>
        <w:tc>
          <w:tcPr>
            <w:tcW w:type="dxa" w:w="714"/>
            <w:shd w:fill="EDF2F7"/>
          </w:tcPr>
          <w:p>
            <w:pPr>
              <w:spacing w:before="20" w:after="20"/>
            </w:pPr>
            <w:r>
              <w:rPr>
                <w:b/>
                <w:sz w:val="18"/>
              </w:rPr>
              <w:t>RMSE hybrid [7]</w:t>
            </w:r>
          </w:p>
        </w:tc>
        <w:tc>
          <w:tcPr>
            <w:tcW w:type="dxa" w:w="714"/>
            <w:shd w:fill="EDF2F7"/>
          </w:tcPr>
          <w:p>
            <w:pPr>
              <w:spacing w:before="20" w:after="20"/>
            </w:pPr>
            <w:r>
              <w:rPr>
                <w:b/>
                <w:sz w:val="18"/>
              </w:rPr>
              <w:t>MAE hybrid</w:t>
            </w:r>
          </w:p>
        </w:tc>
        <w:tc>
          <w:tcPr>
            <w:tcW w:type="dxa" w:w="714"/>
            <w:shd w:fill="EDF2F7"/>
          </w:tcPr>
          <w:p>
            <w:pPr>
              <w:spacing w:before="20" w:after="20"/>
            </w:pPr>
            <w:r>
              <w:rPr>
                <w:b/>
                <w:sz w:val="18"/>
              </w:rPr>
              <w:t>MAPE hybrid (%)</w:t>
            </w:r>
          </w:p>
        </w:tc>
        <w:tc>
          <w:tcPr>
            <w:tcW w:type="dxa" w:w="714"/>
            <w:shd w:fill="EDF2F7"/>
          </w:tcPr>
          <w:p>
            <w:pPr>
              <w:spacing w:before="20" w:after="20"/>
            </w:pPr>
            <w:r>
              <w:rPr>
                <w:b/>
                <w:sz w:val="18"/>
              </w:rPr>
              <w:t>RMSE SARIMA</w:t>
            </w:r>
          </w:p>
        </w:tc>
        <w:tc>
          <w:tcPr>
            <w:tcW w:type="dxa" w:w="714"/>
            <w:shd w:fill="EDF2F7"/>
          </w:tcPr>
          <w:p>
            <w:pPr>
              <w:spacing w:before="20" w:after="20"/>
            </w:pPr>
            <w:r>
              <w:rPr>
                <w:b/>
                <w:sz w:val="18"/>
              </w:rPr>
              <w:t>MAE SARIMA</w:t>
            </w:r>
          </w:p>
        </w:tc>
        <w:tc>
          <w:tcPr>
            <w:tcW w:type="dxa" w:w="714"/>
            <w:shd w:fill="EDF2F7"/>
          </w:tcPr>
          <w:p>
            <w:pPr>
              <w:spacing w:before="20" w:after="20"/>
            </w:pPr>
            <w:r>
              <w:rPr>
                <w:b/>
                <w:sz w:val="18"/>
              </w:rPr>
              <w:t>MAPE SARIMA (%)</w:t>
            </w:r>
          </w:p>
        </w:tc>
        <w:tc>
          <w:tcPr>
            <w:tcW w:type="dxa" w:w="714"/>
            <w:shd w:fill="EDF2F7"/>
          </w:tcPr>
          <w:p>
            <w:pPr>
              <w:spacing w:before="20" w:after="20"/>
            </w:pPr>
            <w:r>
              <w:rPr>
                <w:b/>
                <w:sz w:val="18"/>
              </w:rPr>
              <w:t>RMSE Theta</w:t>
            </w:r>
          </w:p>
        </w:tc>
        <w:tc>
          <w:tcPr>
            <w:tcW w:type="dxa" w:w="714"/>
            <w:shd w:fill="EDF2F7"/>
          </w:tcPr>
          <w:p>
            <w:pPr>
              <w:spacing w:before="20" w:after="20"/>
            </w:pPr>
            <w:r>
              <w:rPr>
                <w:b/>
                <w:sz w:val="18"/>
              </w:rPr>
              <w:t>MAE Theta</w:t>
            </w:r>
          </w:p>
        </w:tc>
        <w:tc>
          <w:tcPr>
            <w:tcW w:type="dxa" w:w="714"/>
            <w:shd w:fill="EDF2F7"/>
          </w:tcPr>
          <w:p>
            <w:pPr>
              <w:spacing w:before="20" w:after="20"/>
            </w:pPr>
            <w:r>
              <w:rPr>
                <w:b/>
                <w:sz w:val="18"/>
              </w:rPr>
              <w:t>MAPE Theta (%)</w:t>
            </w:r>
          </w:p>
        </w:tc>
      </w:tr>
      <w:tr>
        <w:tc>
          <w:tcPr>
            <w:tcW w:type="dxa" w:w="968"/>
          </w:tcPr>
          <w:p>
            <w:pPr>
              <w:spacing w:before="20" w:after="20"/>
            </w:pPr>
            <w:r>
              <w:rPr>
                <w:sz w:val="18"/>
              </w:rPr>
              <w:t>PM10</w:t>
            </w:r>
          </w:p>
        </w:tc>
        <w:tc>
          <w:tcPr>
            <w:tcW w:type="dxa" w:w="922"/>
          </w:tcPr>
          <w:p>
            <w:pPr>
              <w:spacing w:before="20" w:after="20"/>
            </w:pPr>
            <w:r>
              <w:rPr>
                <w:sz w:val="18"/>
              </w:rPr>
              <w:t>1-day</w:t>
            </w:r>
          </w:p>
        </w:tc>
        <w:tc>
          <w:tcPr>
            <w:tcW w:type="dxa" w:w="714"/>
          </w:tcPr>
          <w:p>
            <w:pPr>
              <w:spacing w:before="20" w:after="20"/>
            </w:pPr>
            <w:r>
              <w:rPr>
                <w:b/>
                <w:sz w:val="18"/>
              </w:rPr>
              <w:t>0.107</w:t>
            </w:r>
          </w:p>
        </w:tc>
        <w:tc>
          <w:tcPr>
            <w:tcW w:type="dxa" w:w="714"/>
          </w:tcPr>
          <w:p>
            <w:pPr>
              <w:spacing w:before="20" w:after="20"/>
            </w:pPr>
            <w:r>
              <w:rPr>
                <w:sz w:val="18"/>
              </w:rPr>
              <w:t>0.076</w:t>
            </w:r>
          </w:p>
        </w:tc>
        <w:tc>
          <w:tcPr>
            <w:tcW w:type="dxa" w:w="714"/>
          </w:tcPr>
          <w:p>
            <w:pPr>
              <w:spacing w:before="20" w:after="20"/>
            </w:pPr>
            <w:r>
              <w:rPr>
                <w:sz w:val="18"/>
              </w:rPr>
              <w:t>25.94</w:t>
            </w:r>
          </w:p>
        </w:tc>
        <w:tc>
          <w:tcPr>
            <w:tcW w:type="dxa" w:w="714"/>
          </w:tcPr>
          <w:p>
            <w:pPr>
              <w:spacing w:before="20" w:after="20"/>
            </w:pPr>
            <w:r>
              <w:rPr>
                <w:sz w:val="18"/>
              </w:rPr>
              <w:t>0.119</w:t>
            </w:r>
          </w:p>
        </w:tc>
        <w:tc>
          <w:tcPr>
            <w:tcW w:type="dxa" w:w="714"/>
          </w:tcPr>
          <w:p>
            <w:pPr>
              <w:spacing w:before="20" w:after="20"/>
            </w:pPr>
            <w:r>
              <w:rPr>
                <w:sz w:val="18"/>
              </w:rPr>
              <w:t>0.090</w:t>
            </w:r>
          </w:p>
        </w:tc>
        <w:tc>
          <w:tcPr>
            <w:tcW w:type="dxa" w:w="714"/>
          </w:tcPr>
          <w:p>
            <w:pPr>
              <w:spacing w:before="20" w:after="20"/>
            </w:pPr>
            <w:r>
              <w:rPr>
                <w:sz w:val="18"/>
              </w:rPr>
              <w:t>32.13</w:t>
            </w:r>
          </w:p>
        </w:tc>
        <w:tc>
          <w:tcPr>
            <w:tcW w:type="dxa" w:w="714"/>
          </w:tcPr>
          <w:p>
            <w:pPr>
              <w:spacing w:before="20" w:after="20"/>
            </w:pPr>
            <w:r>
              <w:rPr>
                <w:sz w:val="18"/>
              </w:rPr>
              <w:t>0.115</w:t>
            </w:r>
          </w:p>
        </w:tc>
        <w:tc>
          <w:tcPr>
            <w:tcW w:type="dxa" w:w="714"/>
          </w:tcPr>
          <w:p>
            <w:pPr>
              <w:spacing w:before="20" w:after="20"/>
            </w:pPr>
            <w:r>
              <w:rPr>
                <w:sz w:val="18"/>
              </w:rPr>
              <w:t>0.084</w:t>
            </w:r>
          </w:p>
        </w:tc>
        <w:tc>
          <w:tcPr>
            <w:tcW w:type="dxa" w:w="714"/>
          </w:tcPr>
          <w:p>
            <w:pPr>
              <w:spacing w:before="20" w:after="20"/>
            </w:pPr>
            <w:r>
              <w:rPr>
                <w:sz w:val="18"/>
              </w:rPr>
              <w:t>30.09</w:t>
            </w:r>
          </w:p>
        </w:tc>
        <w:tc>
          <w:tcPr>
            <w:tcW w:type="dxa" w:w="714"/>
          </w:tcPr>
          <w:p>
            <w:pPr>
              <w:spacing w:before="20" w:after="20"/>
            </w:pPr>
            <w:r>
              <w:rPr>
                <w:sz w:val="18"/>
              </w:rPr>
              <w:t>0.126</w:t>
            </w:r>
          </w:p>
        </w:tc>
        <w:tc>
          <w:tcPr>
            <w:tcW w:type="dxa" w:w="714"/>
          </w:tcPr>
          <w:p>
            <w:pPr>
              <w:spacing w:before="20" w:after="20"/>
            </w:pPr>
            <w:r>
              <w:rPr>
                <w:sz w:val="18"/>
              </w:rPr>
              <w:t>0.092</w:t>
            </w:r>
          </w:p>
        </w:tc>
        <w:tc>
          <w:tcPr>
            <w:tcW w:type="dxa" w:w="714"/>
          </w:tcPr>
          <w:p>
            <w:pPr>
              <w:spacing w:before="20" w:after="20"/>
            </w:pPr>
            <w:r>
              <w:rPr>
                <w:sz w:val="18"/>
              </w:rPr>
              <w:t>31.59</w:t>
            </w:r>
          </w:p>
        </w:tc>
      </w:tr>
      <w:tr>
        <w:tc>
          <w:tcPr>
            <w:tcW w:type="dxa" w:w="968"/>
          </w:tcPr>
          <w:p>
            <w:pPr>
              <w:spacing w:before="20" w:after="20"/>
            </w:pPr>
            <w:r>
              <w:rPr>
                <w:sz w:val="18"/>
              </w:rPr>
              <w:t>PM10</w:t>
            </w:r>
          </w:p>
        </w:tc>
        <w:tc>
          <w:tcPr>
            <w:tcW w:type="dxa" w:w="922"/>
          </w:tcPr>
          <w:p>
            <w:pPr>
              <w:spacing w:before="20" w:after="20"/>
            </w:pPr>
            <w:r>
              <w:rPr>
                <w:sz w:val="18"/>
              </w:rPr>
              <w:t>7-day</w:t>
            </w:r>
          </w:p>
        </w:tc>
        <w:tc>
          <w:tcPr>
            <w:tcW w:type="dxa" w:w="714"/>
          </w:tcPr>
          <w:p>
            <w:pPr>
              <w:spacing w:before="20" w:after="20"/>
            </w:pPr>
            <w:r>
              <w:rPr>
                <w:b/>
                <w:sz w:val="18"/>
              </w:rPr>
              <w:t>0.139</w:t>
            </w:r>
          </w:p>
        </w:tc>
        <w:tc>
          <w:tcPr>
            <w:tcW w:type="dxa" w:w="714"/>
          </w:tcPr>
          <w:p>
            <w:pPr>
              <w:spacing w:before="20" w:after="20"/>
            </w:pPr>
            <w:r>
              <w:rPr>
                <w:sz w:val="18"/>
              </w:rPr>
              <w:t>0.109</w:t>
            </w:r>
          </w:p>
        </w:tc>
        <w:tc>
          <w:tcPr>
            <w:tcW w:type="dxa" w:w="714"/>
          </w:tcPr>
          <w:p>
            <w:pPr>
              <w:spacing w:before="20" w:after="20"/>
            </w:pPr>
            <w:r>
              <w:rPr>
                <w:sz w:val="18"/>
              </w:rPr>
              <w:t>34.53</w:t>
            </w:r>
          </w:p>
        </w:tc>
        <w:tc>
          <w:tcPr>
            <w:tcW w:type="dxa" w:w="714"/>
          </w:tcPr>
          <w:p>
            <w:pPr>
              <w:spacing w:before="20" w:after="20"/>
            </w:pPr>
            <w:r>
              <w:rPr>
                <w:sz w:val="18"/>
              </w:rPr>
              <w:t>0.154</w:t>
            </w:r>
          </w:p>
        </w:tc>
        <w:tc>
          <w:tcPr>
            <w:tcW w:type="dxa" w:w="714"/>
          </w:tcPr>
          <w:p>
            <w:pPr>
              <w:spacing w:before="20" w:after="20"/>
            </w:pPr>
            <w:r>
              <w:rPr>
                <w:sz w:val="18"/>
              </w:rPr>
              <w:t>0.109</w:t>
            </w:r>
          </w:p>
        </w:tc>
        <w:tc>
          <w:tcPr>
            <w:tcW w:type="dxa" w:w="714"/>
          </w:tcPr>
          <w:p>
            <w:pPr>
              <w:spacing w:before="20" w:after="20"/>
            </w:pPr>
            <w:r>
              <w:rPr>
                <w:sz w:val="18"/>
              </w:rPr>
              <w:t>37.49</w:t>
            </w:r>
          </w:p>
        </w:tc>
        <w:tc>
          <w:tcPr>
            <w:tcW w:type="dxa" w:w="714"/>
          </w:tcPr>
          <w:p>
            <w:pPr>
              <w:spacing w:before="20" w:after="20"/>
            </w:pPr>
            <w:r>
              <w:rPr>
                <w:sz w:val="18"/>
              </w:rPr>
              <w:t>0.152</w:t>
            </w:r>
          </w:p>
        </w:tc>
        <w:tc>
          <w:tcPr>
            <w:tcW w:type="dxa" w:w="714"/>
          </w:tcPr>
          <w:p>
            <w:pPr>
              <w:spacing w:before="20" w:after="20"/>
            </w:pPr>
            <w:r>
              <w:rPr>
                <w:sz w:val="18"/>
              </w:rPr>
              <w:t>0.111</w:t>
            </w:r>
          </w:p>
        </w:tc>
        <w:tc>
          <w:tcPr>
            <w:tcW w:type="dxa" w:w="714"/>
          </w:tcPr>
          <w:p>
            <w:pPr>
              <w:spacing w:before="20" w:after="20"/>
            </w:pPr>
            <w:r>
              <w:rPr>
                <w:sz w:val="18"/>
              </w:rPr>
              <w:t>37.32</w:t>
            </w:r>
          </w:p>
        </w:tc>
        <w:tc>
          <w:tcPr>
            <w:tcW w:type="dxa" w:w="714"/>
          </w:tcPr>
          <w:p>
            <w:pPr>
              <w:spacing w:before="20" w:after="20"/>
            </w:pPr>
            <w:r>
              <w:rPr>
                <w:sz w:val="18"/>
              </w:rPr>
              <w:t>0.160</w:t>
            </w:r>
          </w:p>
        </w:tc>
        <w:tc>
          <w:tcPr>
            <w:tcW w:type="dxa" w:w="714"/>
          </w:tcPr>
          <w:p>
            <w:pPr>
              <w:spacing w:before="20" w:after="20"/>
            </w:pPr>
            <w:r>
              <w:rPr>
                <w:sz w:val="18"/>
              </w:rPr>
              <w:t>0.125</w:t>
            </w:r>
          </w:p>
        </w:tc>
        <w:tc>
          <w:tcPr>
            <w:tcW w:type="dxa" w:w="714"/>
          </w:tcPr>
          <w:p>
            <w:pPr>
              <w:spacing w:before="20" w:after="20"/>
            </w:pPr>
            <w:r>
              <w:rPr>
                <w:sz w:val="18"/>
              </w:rPr>
              <w:t>36.97</w:t>
            </w:r>
          </w:p>
        </w:tc>
      </w:tr>
      <w:tr>
        <w:tc>
          <w:tcPr>
            <w:tcW w:type="dxa" w:w="968"/>
          </w:tcPr>
          <w:p>
            <w:pPr>
              <w:spacing w:before="20" w:after="20"/>
            </w:pPr>
            <w:r>
              <w:rPr>
                <w:sz w:val="18"/>
              </w:rPr>
              <w:t>PM10</w:t>
            </w:r>
          </w:p>
        </w:tc>
        <w:tc>
          <w:tcPr>
            <w:tcW w:type="dxa" w:w="922"/>
          </w:tcPr>
          <w:p>
            <w:pPr>
              <w:spacing w:before="20" w:after="20"/>
            </w:pPr>
            <w:r>
              <w:rPr>
                <w:sz w:val="18"/>
              </w:rPr>
              <w:t>30-day</w:t>
            </w:r>
          </w:p>
        </w:tc>
        <w:tc>
          <w:tcPr>
            <w:tcW w:type="dxa" w:w="714"/>
          </w:tcPr>
          <w:p>
            <w:pPr>
              <w:spacing w:before="20" w:after="20"/>
            </w:pPr>
            <w:r>
              <w:rPr>
                <w:b/>
                <w:sz w:val="18"/>
              </w:rPr>
              <w:t>0.138</w:t>
            </w:r>
          </w:p>
        </w:tc>
        <w:tc>
          <w:tcPr>
            <w:tcW w:type="dxa" w:w="714"/>
          </w:tcPr>
          <w:p>
            <w:pPr>
              <w:spacing w:before="20" w:after="20"/>
            </w:pPr>
            <w:r>
              <w:rPr>
                <w:sz w:val="18"/>
              </w:rPr>
              <w:t>0.108</w:t>
            </w:r>
          </w:p>
        </w:tc>
        <w:tc>
          <w:tcPr>
            <w:tcW w:type="dxa" w:w="714"/>
          </w:tcPr>
          <w:p>
            <w:pPr>
              <w:spacing w:before="20" w:after="20"/>
            </w:pPr>
            <w:r>
              <w:rPr>
                <w:sz w:val="18"/>
              </w:rPr>
              <w:t>39.91</w:t>
            </w:r>
          </w:p>
        </w:tc>
        <w:tc>
          <w:tcPr>
            <w:tcW w:type="dxa" w:w="714"/>
          </w:tcPr>
          <w:p>
            <w:pPr>
              <w:spacing w:before="20" w:after="20"/>
            </w:pPr>
            <w:r>
              <w:rPr>
                <w:sz w:val="18"/>
              </w:rPr>
              <w:t>0.153</w:t>
            </w:r>
          </w:p>
        </w:tc>
        <w:tc>
          <w:tcPr>
            <w:tcW w:type="dxa" w:w="714"/>
          </w:tcPr>
          <w:p>
            <w:pPr>
              <w:spacing w:before="20" w:after="20"/>
            </w:pPr>
            <w:r>
              <w:rPr>
                <w:sz w:val="18"/>
              </w:rPr>
              <w:t>0.123</w:t>
            </w:r>
          </w:p>
        </w:tc>
        <w:tc>
          <w:tcPr>
            <w:tcW w:type="dxa" w:w="714"/>
          </w:tcPr>
          <w:p>
            <w:pPr>
              <w:spacing w:before="20" w:after="20"/>
            </w:pPr>
            <w:r>
              <w:rPr>
                <w:sz w:val="18"/>
              </w:rPr>
              <w:t>47.64</w:t>
            </w:r>
          </w:p>
        </w:tc>
        <w:tc>
          <w:tcPr>
            <w:tcW w:type="dxa" w:w="714"/>
          </w:tcPr>
          <w:p>
            <w:pPr>
              <w:spacing w:before="20" w:after="20"/>
            </w:pPr>
            <w:r>
              <w:rPr>
                <w:sz w:val="18"/>
              </w:rPr>
              <w:t>0.152</w:t>
            </w:r>
          </w:p>
        </w:tc>
        <w:tc>
          <w:tcPr>
            <w:tcW w:type="dxa" w:w="714"/>
          </w:tcPr>
          <w:p>
            <w:pPr>
              <w:spacing w:before="20" w:after="20"/>
            </w:pPr>
            <w:r>
              <w:rPr>
                <w:sz w:val="18"/>
              </w:rPr>
              <w:t>0.119</w:t>
            </w:r>
          </w:p>
        </w:tc>
        <w:tc>
          <w:tcPr>
            <w:tcW w:type="dxa" w:w="714"/>
          </w:tcPr>
          <w:p>
            <w:pPr>
              <w:spacing w:before="20" w:after="20"/>
            </w:pPr>
            <w:r>
              <w:rPr>
                <w:sz w:val="18"/>
              </w:rPr>
              <w:t>46.13</w:t>
            </w:r>
          </w:p>
        </w:tc>
        <w:tc>
          <w:tcPr>
            <w:tcW w:type="dxa" w:w="714"/>
          </w:tcPr>
          <w:p>
            <w:pPr>
              <w:spacing w:before="20" w:after="20"/>
            </w:pPr>
            <w:r>
              <w:rPr>
                <w:sz w:val="18"/>
              </w:rPr>
              <w:t>0.157</w:t>
            </w:r>
          </w:p>
        </w:tc>
        <w:tc>
          <w:tcPr>
            <w:tcW w:type="dxa" w:w="714"/>
          </w:tcPr>
          <w:p>
            <w:pPr>
              <w:spacing w:before="20" w:after="20"/>
            </w:pPr>
            <w:r>
              <w:rPr>
                <w:sz w:val="18"/>
              </w:rPr>
              <w:t>0.127</w:t>
            </w:r>
          </w:p>
        </w:tc>
        <w:tc>
          <w:tcPr>
            <w:tcW w:type="dxa" w:w="714"/>
          </w:tcPr>
          <w:p>
            <w:pPr>
              <w:spacing w:before="20" w:after="20"/>
            </w:pPr>
            <w:r>
              <w:rPr>
                <w:sz w:val="18"/>
              </w:rPr>
              <w:t>45.90</w:t>
            </w:r>
          </w:p>
        </w:tc>
      </w:tr>
      <w:tr>
        <w:tc>
          <w:tcPr>
            <w:tcW w:type="dxa" w:w="968"/>
          </w:tcPr>
          <w:p>
            <w:pPr>
              <w:spacing w:before="20" w:after="20"/>
            </w:pPr>
            <w:r>
              <w:rPr>
                <w:sz w:val="18"/>
              </w:rPr>
              <w:t>PM25</w:t>
            </w:r>
          </w:p>
        </w:tc>
        <w:tc>
          <w:tcPr>
            <w:tcW w:type="dxa" w:w="922"/>
          </w:tcPr>
          <w:p>
            <w:pPr>
              <w:spacing w:before="20" w:after="20"/>
            </w:pPr>
            <w:r>
              <w:rPr>
                <w:sz w:val="18"/>
              </w:rPr>
              <w:t>1-day</w:t>
            </w:r>
          </w:p>
        </w:tc>
        <w:tc>
          <w:tcPr>
            <w:tcW w:type="dxa" w:w="714"/>
          </w:tcPr>
          <w:p>
            <w:pPr>
              <w:spacing w:before="20" w:after="20"/>
            </w:pPr>
            <w:r>
              <w:rPr>
                <w:b/>
                <w:sz w:val="18"/>
              </w:rPr>
              <w:t>0.062</w:t>
            </w:r>
          </w:p>
        </w:tc>
        <w:tc>
          <w:tcPr>
            <w:tcW w:type="dxa" w:w="714"/>
          </w:tcPr>
          <w:p>
            <w:pPr>
              <w:spacing w:before="20" w:after="20"/>
            </w:pPr>
            <w:r>
              <w:rPr>
                <w:sz w:val="18"/>
              </w:rPr>
              <w:t>0.046</w:t>
            </w:r>
          </w:p>
        </w:tc>
        <w:tc>
          <w:tcPr>
            <w:tcW w:type="dxa" w:w="714"/>
          </w:tcPr>
          <w:p>
            <w:pPr>
              <w:spacing w:before="20" w:after="20"/>
            </w:pPr>
            <w:r>
              <w:rPr>
                <w:sz w:val="18"/>
              </w:rPr>
              <w:t>31.75</w:t>
            </w:r>
          </w:p>
        </w:tc>
        <w:tc>
          <w:tcPr>
            <w:tcW w:type="dxa" w:w="714"/>
          </w:tcPr>
          <w:p>
            <w:pPr>
              <w:spacing w:before="20" w:after="20"/>
            </w:pPr>
            <w:r>
              <w:rPr>
                <w:sz w:val="18"/>
              </w:rPr>
              <w:t>0.065</w:t>
            </w:r>
          </w:p>
        </w:tc>
        <w:tc>
          <w:tcPr>
            <w:tcW w:type="dxa" w:w="714"/>
          </w:tcPr>
          <w:p>
            <w:pPr>
              <w:spacing w:before="20" w:after="20"/>
            </w:pPr>
            <w:r>
              <w:rPr>
                <w:sz w:val="18"/>
              </w:rPr>
              <w:t>0.048</w:t>
            </w:r>
          </w:p>
        </w:tc>
        <w:tc>
          <w:tcPr>
            <w:tcW w:type="dxa" w:w="714"/>
          </w:tcPr>
          <w:p>
            <w:pPr>
              <w:spacing w:before="20" w:after="20"/>
            </w:pPr>
            <w:r>
              <w:rPr>
                <w:sz w:val="18"/>
              </w:rPr>
              <w:t>33.80</w:t>
            </w:r>
          </w:p>
        </w:tc>
        <w:tc>
          <w:tcPr>
            <w:tcW w:type="dxa" w:w="714"/>
          </w:tcPr>
          <w:p>
            <w:pPr>
              <w:spacing w:before="20" w:after="20"/>
            </w:pPr>
            <w:r>
              <w:rPr>
                <w:sz w:val="18"/>
              </w:rPr>
              <w:t>0.065</w:t>
            </w:r>
          </w:p>
        </w:tc>
        <w:tc>
          <w:tcPr>
            <w:tcW w:type="dxa" w:w="714"/>
          </w:tcPr>
          <w:p>
            <w:pPr>
              <w:spacing w:before="20" w:after="20"/>
            </w:pPr>
            <w:r>
              <w:rPr>
                <w:sz w:val="18"/>
              </w:rPr>
              <w:t>0.048</w:t>
            </w:r>
          </w:p>
        </w:tc>
        <w:tc>
          <w:tcPr>
            <w:tcW w:type="dxa" w:w="714"/>
          </w:tcPr>
          <w:p>
            <w:pPr>
              <w:spacing w:before="20" w:after="20"/>
            </w:pPr>
            <w:r>
              <w:rPr>
                <w:sz w:val="18"/>
              </w:rPr>
              <w:t>33.65</w:t>
            </w:r>
          </w:p>
        </w:tc>
        <w:tc>
          <w:tcPr>
            <w:tcW w:type="dxa" w:w="714"/>
          </w:tcPr>
          <w:p>
            <w:pPr>
              <w:spacing w:before="20" w:after="20"/>
            </w:pPr>
            <w:r>
              <w:rPr>
                <w:sz w:val="18"/>
              </w:rPr>
              <w:t>0.069</w:t>
            </w:r>
          </w:p>
        </w:tc>
        <w:tc>
          <w:tcPr>
            <w:tcW w:type="dxa" w:w="714"/>
          </w:tcPr>
          <w:p>
            <w:pPr>
              <w:spacing w:before="20" w:after="20"/>
            </w:pPr>
            <w:r>
              <w:rPr>
                <w:sz w:val="18"/>
              </w:rPr>
              <w:t>0.053</w:t>
            </w:r>
          </w:p>
        </w:tc>
        <w:tc>
          <w:tcPr>
            <w:tcW w:type="dxa" w:w="714"/>
          </w:tcPr>
          <w:p>
            <w:pPr>
              <w:spacing w:before="20" w:after="20"/>
            </w:pPr>
            <w:r>
              <w:rPr>
                <w:sz w:val="18"/>
              </w:rPr>
              <w:t>36.35</w:t>
            </w:r>
          </w:p>
        </w:tc>
      </w:tr>
      <w:tr>
        <w:tc>
          <w:tcPr>
            <w:tcW w:type="dxa" w:w="968"/>
          </w:tcPr>
          <w:p>
            <w:pPr>
              <w:spacing w:before="20" w:after="20"/>
            </w:pPr>
            <w:r>
              <w:rPr>
                <w:sz w:val="18"/>
              </w:rPr>
              <w:t>PM25</w:t>
            </w:r>
          </w:p>
        </w:tc>
        <w:tc>
          <w:tcPr>
            <w:tcW w:type="dxa" w:w="922"/>
          </w:tcPr>
          <w:p>
            <w:pPr>
              <w:spacing w:before="20" w:after="20"/>
            </w:pPr>
            <w:r>
              <w:rPr>
                <w:sz w:val="18"/>
              </w:rPr>
              <w:t>7-day</w:t>
            </w:r>
          </w:p>
        </w:tc>
        <w:tc>
          <w:tcPr>
            <w:tcW w:type="dxa" w:w="714"/>
          </w:tcPr>
          <w:p>
            <w:pPr>
              <w:spacing w:before="20" w:after="20"/>
            </w:pPr>
            <w:r>
              <w:rPr>
                <w:b/>
                <w:sz w:val="18"/>
              </w:rPr>
              <w:t>0.073</w:t>
            </w:r>
          </w:p>
        </w:tc>
        <w:tc>
          <w:tcPr>
            <w:tcW w:type="dxa" w:w="714"/>
          </w:tcPr>
          <w:p>
            <w:pPr>
              <w:spacing w:before="20" w:after="20"/>
            </w:pPr>
            <w:r>
              <w:rPr>
                <w:sz w:val="18"/>
              </w:rPr>
              <w:t>0.056</w:t>
            </w:r>
          </w:p>
        </w:tc>
        <w:tc>
          <w:tcPr>
            <w:tcW w:type="dxa" w:w="714"/>
          </w:tcPr>
          <w:p>
            <w:pPr>
              <w:spacing w:before="20" w:after="20"/>
            </w:pPr>
            <w:r>
              <w:rPr>
                <w:sz w:val="18"/>
              </w:rPr>
              <w:t>33.15</w:t>
            </w:r>
          </w:p>
        </w:tc>
        <w:tc>
          <w:tcPr>
            <w:tcW w:type="dxa" w:w="714"/>
          </w:tcPr>
          <w:p>
            <w:pPr>
              <w:spacing w:before="20" w:after="20"/>
            </w:pPr>
            <w:r>
              <w:rPr>
                <w:sz w:val="18"/>
              </w:rPr>
              <w:t>0.074</w:t>
            </w:r>
          </w:p>
        </w:tc>
        <w:tc>
          <w:tcPr>
            <w:tcW w:type="dxa" w:w="714"/>
          </w:tcPr>
          <w:p>
            <w:pPr>
              <w:spacing w:before="20" w:after="20"/>
            </w:pPr>
            <w:r>
              <w:rPr>
                <w:sz w:val="18"/>
              </w:rPr>
              <w:t>0.060</w:t>
            </w:r>
          </w:p>
        </w:tc>
        <w:tc>
          <w:tcPr>
            <w:tcW w:type="dxa" w:w="714"/>
          </w:tcPr>
          <w:p>
            <w:pPr>
              <w:spacing w:before="20" w:after="20"/>
            </w:pPr>
            <w:r>
              <w:rPr>
                <w:sz w:val="18"/>
              </w:rPr>
              <w:t>35.19</w:t>
            </w:r>
          </w:p>
        </w:tc>
        <w:tc>
          <w:tcPr>
            <w:tcW w:type="dxa" w:w="714"/>
          </w:tcPr>
          <w:p>
            <w:pPr>
              <w:spacing w:before="20" w:after="20"/>
            </w:pPr>
            <w:r>
              <w:rPr>
                <w:sz w:val="18"/>
              </w:rPr>
              <w:t>0.074</w:t>
            </w:r>
          </w:p>
        </w:tc>
        <w:tc>
          <w:tcPr>
            <w:tcW w:type="dxa" w:w="714"/>
          </w:tcPr>
          <w:p>
            <w:pPr>
              <w:spacing w:before="20" w:after="20"/>
            </w:pPr>
            <w:r>
              <w:rPr>
                <w:sz w:val="18"/>
              </w:rPr>
              <w:t>0.060</w:t>
            </w:r>
          </w:p>
        </w:tc>
        <w:tc>
          <w:tcPr>
            <w:tcW w:type="dxa" w:w="714"/>
          </w:tcPr>
          <w:p>
            <w:pPr>
              <w:spacing w:before="20" w:after="20"/>
            </w:pPr>
            <w:r>
              <w:rPr>
                <w:sz w:val="18"/>
              </w:rPr>
              <w:t>35.17</w:t>
            </w:r>
          </w:p>
        </w:tc>
        <w:tc>
          <w:tcPr>
            <w:tcW w:type="dxa" w:w="714"/>
          </w:tcPr>
          <w:p>
            <w:pPr>
              <w:spacing w:before="20" w:after="20"/>
            </w:pPr>
            <w:r>
              <w:rPr>
                <w:sz w:val="18"/>
              </w:rPr>
              <w:t>0.085</w:t>
            </w:r>
          </w:p>
        </w:tc>
        <w:tc>
          <w:tcPr>
            <w:tcW w:type="dxa" w:w="714"/>
          </w:tcPr>
          <w:p>
            <w:pPr>
              <w:spacing w:before="20" w:after="20"/>
            </w:pPr>
            <w:r>
              <w:rPr>
                <w:sz w:val="18"/>
              </w:rPr>
              <w:t>0.068</w:t>
            </w:r>
          </w:p>
        </w:tc>
        <w:tc>
          <w:tcPr>
            <w:tcW w:type="dxa" w:w="714"/>
          </w:tcPr>
          <w:p>
            <w:pPr>
              <w:spacing w:before="20" w:after="20"/>
            </w:pPr>
            <w:r>
              <w:rPr>
                <w:sz w:val="18"/>
              </w:rPr>
              <w:t>38.64</w:t>
            </w:r>
          </w:p>
        </w:tc>
      </w:tr>
      <w:tr>
        <w:tc>
          <w:tcPr>
            <w:tcW w:type="dxa" w:w="968"/>
          </w:tcPr>
          <w:p>
            <w:pPr>
              <w:spacing w:before="20" w:after="20"/>
            </w:pPr>
            <w:r>
              <w:rPr>
                <w:sz w:val="18"/>
              </w:rPr>
              <w:t>PM25</w:t>
            </w:r>
          </w:p>
        </w:tc>
        <w:tc>
          <w:tcPr>
            <w:tcW w:type="dxa" w:w="922"/>
          </w:tcPr>
          <w:p>
            <w:pPr>
              <w:spacing w:before="20" w:after="20"/>
            </w:pPr>
            <w:r>
              <w:rPr>
                <w:sz w:val="18"/>
              </w:rPr>
              <w:t>30-day</w:t>
            </w:r>
          </w:p>
        </w:tc>
        <w:tc>
          <w:tcPr>
            <w:tcW w:type="dxa" w:w="714"/>
          </w:tcPr>
          <w:p>
            <w:pPr>
              <w:spacing w:before="20" w:after="20"/>
            </w:pPr>
            <w:r>
              <w:rPr>
                <w:b/>
                <w:sz w:val="18"/>
              </w:rPr>
              <w:t>0.073</w:t>
            </w:r>
          </w:p>
        </w:tc>
        <w:tc>
          <w:tcPr>
            <w:tcW w:type="dxa" w:w="714"/>
          </w:tcPr>
          <w:p>
            <w:pPr>
              <w:spacing w:before="20" w:after="20"/>
            </w:pPr>
            <w:r>
              <w:rPr>
                <w:sz w:val="18"/>
              </w:rPr>
              <w:t>0.058</w:t>
            </w:r>
          </w:p>
        </w:tc>
        <w:tc>
          <w:tcPr>
            <w:tcW w:type="dxa" w:w="714"/>
          </w:tcPr>
          <w:p>
            <w:pPr>
              <w:spacing w:before="20" w:after="20"/>
            </w:pPr>
            <w:r>
              <w:rPr>
                <w:sz w:val="18"/>
              </w:rPr>
              <w:t>40.63</w:t>
            </w:r>
          </w:p>
        </w:tc>
        <w:tc>
          <w:tcPr>
            <w:tcW w:type="dxa" w:w="714"/>
          </w:tcPr>
          <w:p>
            <w:pPr>
              <w:spacing w:before="20" w:after="20"/>
            </w:pPr>
            <w:r>
              <w:rPr>
                <w:sz w:val="18"/>
              </w:rPr>
              <w:t>0.090</w:t>
            </w:r>
          </w:p>
        </w:tc>
        <w:tc>
          <w:tcPr>
            <w:tcW w:type="dxa" w:w="714"/>
          </w:tcPr>
          <w:p>
            <w:pPr>
              <w:spacing w:before="20" w:after="20"/>
            </w:pPr>
            <w:r>
              <w:rPr>
                <w:sz w:val="18"/>
              </w:rPr>
              <w:t>0.074</w:t>
            </w:r>
          </w:p>
        </w:tc>
        <w:tc>
          <w:tcPr>
            <w:tcW w:type="dxa" w:w="714"/>
          </w:tcPr>
          <w:p>
            <w:pPr>
              <w:spacing w:before="20" w:after="20"/>
            </w:pPr>
            <w:r>
              <w:rPr>
                <w:sz w:val="18"/>
              </w:rPr>
              <w:t>54.91</w:t>
            </w:r>
          </w:p>
        </w:tc>
        <w:tc>
          <w:tcPr>
            <w:tcW w:type="dxa" w:w="714"/>
          </w:tcPr>
          <w:p>
            <w:pPr>
              <w:spacing w:before="20" w:after="20"/>
            </w:pPr>
            <w:r>
              <w:rPr>
                <w:sz w:val="18"/>
              </w:rPr>
              <w:t>0.090</w:t>
            </w:r>
          </w:p>
        </w:tc>
        <w:tc>
          <w:tcPr>
            <w:tcW w:type="dxa" w:w="714"/>
          </w:tcPr>
          <w:p>
            <w:pPr>
              <w:spacing w:before="20" w:after="20"/>
            </w:pPr>
            <w:r>
              <w:rPr>
                <w:sz w:val="18"/>
              </w:rPr>
              <w:t>0.073</w:t>
            </w:r>
          </w:p>
        </w:tc>
        <w:tc>
          <w:tcPr>
            <w:tcW w:type="dxa" w:w="714"/>
          </w:tcPr>
          <w:p>
            <w:pPr>
              <w:spacing w:before="20" w:after="20"/>
            </w:pPr>
            <w:r>
              <w:rPr>
                <w:sz w:val="18"/>
              </w:rPr>
              <w:t>54.26</w:t>
            </w:r>
          </w:p>
        </w:tc>
        <w:tc>
          <w:tcPr>
            <w:tcW w:type="dxa" w:w="714"/>
          </w:tcPr>
          <w:p>
            <w:pPr>
              <w:spacing w:before="20" w:after="20"/>
            </w:pPr>
            <w:r>
              <w:rPr>
                <w:sz w:val="18"/>
              </w:rPr>
              <w:t>0.087</w:t>
            </w:r>
          </w:p>
        </w:tc>
        <w:tc>
          <w:tcPr>
            <w:tcW w:type="dxa" w:w="714"/>
          </w:tcPr>
          <w:p>
            <w:pPr>
              <w:spacing w:before="20" w:after="20"/>
            </w:pPr>
            <w:r>
              <w:rPr>
                <w:sz w:val="18"/>
              </w:rPr>
              <w:t>0.072</w:t>
            </w:r>
          </w:p>
        </w:tc>
        <w:tc>
          <w:tcPr>
            <w:tcW w:type="dxa" w:w="714"/>
          </w:tcPr>
          <w:p>
            <w:pPr>
              <w:spacing w:before="20" w:after="20"/>
            </w:pPr>
            <w:r>
              <w:rPr>
                <w:sz w:val="18"/>
              </w:rPr>
              <w:t>49.13</w:t>
            </w:r>
          </w:p>
        </w:tc>
      </w:tr>
      <w:tr>
        <w:tc>
          <w:tcPr>
            <w:tcW w:type="dxa" w:w="968"/>
          </w:tcPr>
          <w:p>
            <w:pPr>
              <w:spacing w:before="20" w:after="20"/>
            </w:pPr>
            <w:r>
              <w:rPr>
                <w:sz w:val="18"/>
              </w:rPr>
              <w:t>NO2</w:t>
            </w:r>
          </w:p>
        </w:tc>
        <w:tc>
          <w:tcPr>
            <w:tcW w:type="dxa" w:w="922"/>
          </w:tcPr>
          <w:p>
            <w:pPr>
              <w:spacing w:before="20" w:after="20"/>
            </w:pPr>
            <w:r>
              <w:rPr>
                <w:sz w:val="18"/>
              </w:rPr>
              <w:t>1-day</w:t>
            </w:r>
          </w:p>
        </w:tc>
        <w:tc>
          <w:tcPr>
            <w:tcW w:type="dxa" w:w="714"/>
          </w:tcPr>
          <w:p>
            <w:pPr>
              <w:spacing w:before="20" w:after="20"/>
            </w:pPr>
            <w:r>
              <w:rPr>
                <w:b/>
                <w:sz w:val="18"/>
              </w:rPr>
              <w:t>0.736</w:t>
            </w:r>
          </w:p>
        </w:tc>
        <w:tc>
          <w:tcPr>
            <w:tcW w:type="dxa" w:w="714"/>
          </w:tcPr>
          <w:p>
            <w:pPr>
              <w:spacing w:before="20" w:after="20"/>
            </w:pPr>
            <w:r>
              <w:rPr>
                <w:sz w:val="18"/>
              </w:rPr>
              <w:t>0.584</w:t>
            </w:r>
          </w:p>
        </w:tc>
        <w:tc>
          <w:tcPr>
            <w:tcW w:type="dxa" w:w="714"/>
          </w:tcPr>
          <w:p>
            <w:pPr>
              <w:spacing w:before="20" w:after="20"/>
            </w:pPr>
            <w:r>
              <w:rPr>
                <w:sz w:val="18"/>
              </w:rPr>
              <w:t>25.79</w:t>
            </w:r>
          </w:p>
        </w:tc>
        <w:tc>
          <w:tcPr>
            <w:tcW w:type="dxa" w:w="714"/>
          </w:tcPr>
          <w:p>
            <w:pPr>
              <w:spacing w:before="20" w:after="20"/>
            </w:pPr>
            <w:r>
              <w:rPr>
                <w:sz w:val="18"/>
              </w:rPr>
              <w:t>0.667</w:t>
            </w:r>
          </w:p>
        </w:tc>
        <w:tc>
          <w:tcPr>
            <w:tcW w:type="dxa" w:w="714"/>
          </w:tcPr>
          <w:p>
            <w:pPr>
              <w:spacing w:before="20" w:after="20"/>
            </w:pPr>
            <w:r>
              <w:rPr>
                <w:sz w:val="18"/>
              </w:rPr>
              <w:t>0.566</w:t>
            </w:r>
          </w:p>
        </w:tc>
        <w:tc>
          <w:tcPr>
            <w:tcW w:type="dxa" w:w="714"/>
          </w:tcPr>
          <w:p>
            <w:pPr>
              <w:spacing w:before="20" w:after="20"/>
            </w:pPr>
            <w:r>
              <w:rPr>
                <w:sz w:val="18"/>
              </w:rPr>
              <w:t>24.69</w:t>
            </w:r>
          </w:p>
        </w:tc>
        <w:tc>
          <w:tcPr>
            <w:tcW w:type="dxa" w:w="714"/>
          </w:tcPr>
          <w:p>
            <w:pPr>
              <w:spacing w:before="20" w:after="20"/>
            </w:pPr>
            <w:r>
              <w:rPr>
                <w:sz w:val="18"/>
              </w:rPr>
              <w:t>0.601</w:t>
            </w:r>
          </w:p>
        </w:tc>
        <w:tc>
          <w:tcPr>
            <w:tcW w:type="dxa" w:w="714"/>
          </w:tcPr>
          <w:p>
            <w:pPr>
              <w:spacing w:before="20" w:after="20"/>
            </w:pPr>
            <w:r>
              <w:rPr>
                <w:sz w:val="18"/>
              </w:rPr>
              <w:t>0.511</w:t>
            </w:r>
          </w:p>
        </w:tc>
        <w:tc>
          <w:tcPr>
            <w:tcW w:type="dxa" w:w="714"/>
          </w:tcPr>
          <w:p>
            <w:pPr>
              <w:spacing w:before="20" w:after="20"/>
            </w:pPr>
            <w:r>
              <w:rPr>
                <w:sz w:val="18"/>
              </w:rPr>
              <w:t>22.32</w:t>
            </w:r>
          </w:p>
        </w:tc>
        <w:tc>
          <w:tcPr>
            <w:tcW w:type="dxa" w:w="714"/>
          </w:tcPr>
          <w:p>
            <w:pPr>
              <w:spacing w:before="20" w:after="20"/>
            </w:pPr>
            <w:r>
              <w:rPr>
                <w:sz w:val="18"/>
              </w:rPr>
              <w:t>0.642</w:t>
            </w:r>
          </w:p>
        </w:tc>
        <w:tc>
          <w:tcPr>
            <w:tcW w:type="dxa" w:w="714"/>
          </w:tcPr>
          <w:p>
            <w:pPr>
              <w:spacing w:before="20" w:after="20"/>
            </w:pPr>
            <w:r>
              <w:rPr>
                <w:sz w:val="18"/>
              </w:rPr>
              <w:t>0.519</w:t>
            </w:r>
          </w:p>
        </w:tc>
        <w:tc>
          <w:tcPr>
            <w:tcW w:type="dxa" w:w="714"/>
          </w:tcPr>
          <w:p>
            <w:pPr>
              <w:spacing w:before="20" w:after="20"/>
            </w:pPr>
            <w:r>
              <w:rPr>
                <w:sz w:val="18"/>
              </w:rPr>
              <w:t>22.54</w:t>
            </w:r>
          </w:p>
        </w:tc>
      </w:tr>
      <w:tr>
        <w:tc>
          <w:tcPr>
            <w:tcW w:type="dxa" w:w="968"/>
          </w:tcPr>
          <w:p>
            <w:pPr>
              <w:spacing w:before="20" w:after="20"/>
            </w:pPr>
            <w:r>
              <w:rPr>
                <w:sz w:val="18"/>
              </w:rPr>
              <w:t>NO2</w:t>
            </w:r>
          </w:p>
        </w:tc>
        <w:tc>
          <w:tcPr>
            <w:tcW w:type="dxa" w:w="922"/>
          </w:tcPr>
          <w:p>
            <w:pPr>
              <w:spacing w:before="20" w:after="20"/>
            </w:pPr>
            <w:r>
              <w:rPr>
                <w:sz w:val="18"/>
              </w:rPr>
              <w:t>7-day</w:t>
            </w:r>
          </w:p>
        </w:tc>
        <w:tc>
          <w:tcPr>
            <w:tcW w:type="dxa" w:w="714"/>
          </w:tcPr>
          <w:p>
            <w:pPr>
              <w:spacing w:before="20" w:after="20"/>
            </w:pPr>
            <w:r>
              <w:rPr>
                <w:b/>
                <w:sz w:val="18"/>
              </w:rPr>
              <w:t>0.965</w:t>
            </w:r>
          </w:p>
        </w:tc>
        <w:tc>
          <w:tcPr>
            <w:tcW w:type="dxa" w:w="714"/>
          </w:tcPr>
          <w:p>
            <w:pPr>
              <w:spacing w:before="20" w:after="20"/>
            </w:pPr>
            <w:r>
              <w:rPr>
                <w:sz w:val="18"/>
              </w:rPr>
              <w:t>0.739</w:t>
            </w:r>
          </w:p>
        </w:tc>
        <w:tc>
          <w:tcPr>
            <w:tcW w:type="dxa" w:w="714"/>
          </w:tcPr>
          <w:p>
            <w:pPr>
              <w:spacing w:before="20" w:after="20"/>
            </w:pPr>
            <w:r>
              <w:rPr>
                <w:sz w:val="18"/>
              </w:rPr>
              <w:t>33.30</w:t>
            </w:r>
          </w:p>
        </w:tc>
        <w:tc>
          <w:tcPr>
            <w:tcW w:type="dxa" w:w="714"/>
          </w:tcPr>
          <w:p>
            <w:pPr>
              <w:spacing w:before="20" w:after="20"/>
            </w:pPr>
            <w:r>
              <w:rPr>
                <w:sz w:val="18"/>
              </w:rPr>
              <w:t>0.933</w:t>
            </w:r>
          </w:p>
        </w:tc>
        <w:tc>
          <w:tcPr>
            <w:tcW w:type="dxa" w:w="714"/>
          </w:tcPr>
          <w:p>
            <w:pPr>
              <w:spacing w:before="20" w:after="20"/>
            </w:pPr>
            <w:r>
              <w:rPr>
                <w:sz w:val="18"/>
              </w:rPr>
              <w:t>0.698</w:t>
            </w:r>
          </w:p>
        </w:tc>
        <w:tc>
          <w:tcPr>
            <w:tcW w:type="dxa" w:w="714"/>
          </w:tcPr>
          <w:p>
            <w:pPr>
              <w:spacing w:before="20" w:after="20"/>
            </w:pPr>
            <w:r>
              <w:rPr>
                <w:sz w:val="18"/>
              </w:rPr>
              <w:t>30.73</w:t>
            </w:r>
          </w:p>
        </w:tc>
        <w:tc>
          <w:tcPr>
            <w:tcW w:type="dxa" w:w="714"/>
          </w:tcPr>
          <w:p>
            <w:pPr>
              <w:spacing w:before="20" w:after="20"/>
            </w:pPr>
            <w:r>
              <w:rPr>
                <w:sz w:val="18"/>
              </w:rPr>
              <w:t>0.889</w:t>
            </w:r>
          </w:p>
        </w:tc>
        <w:tc>
          <w:tcPr>
            <w:tcW w:type="dxa" w:w="714"/>
          </w:tcPr>
          <w:p>
            <w:pPr>
              <w:spacing w:before="20" w:after="20"/>
            </w:pPr>
            <w:r>
              <w:rPr>
                <w:sz w:val="18"/>
              </w:rPr>
              <w:t>0.670</w:t>
            </w:r>
          </w:p>
        </w:tc>
        <w:tc>
          <w:tcPr>
            <w:tcW w:type="dxa" w:w="714"/>
          </w:tcPr>
          <w:p>
            <w:pPr>
              <w:spacing w:before="20" w:after="20"/>
            </w:pPr>
            <w:r>
              <w:rPr>
                <w:sz w:val="18"/>
              </w:rPr>
              <w:t>29.40</w:t>
            </w:r>
          </w:p>
        </w:tc>
        <w:tc>
          <w:tcPr>
            <w:tcW w:type="dxa" w:w="714"/>
          </w:tcPr>
          <w:p>
            <w:pPr>
              <w:spacing w:before="20" w:after="20"/>
            </w:pPr>
            <w:r>
              <w:rPr>
                <w:sz w:val="18"/>
              </w:rPr>
              <w:t>0.947</w:t>
            </w:r>
          </w:p>
        </w:tc>
        <w:tc>
          <w:tcPr>
            <w:tcW w:type="dxa" w:w="714"/>
          </w:tcPr>
          <w:p>
            <w:pPr>
              <w:spacing w:before="20" w:after="20"/>
            </w:pPr>
            <w:r>
              <w:rPr>
                <w:sz w:val="18"/>
              </w:rPr>
              <w:t>0.729</w:t>
            </w:r>
          </w:p>
        </w:tc>
        <w:tc>
          <w:tcPr>
            <w:tcW w:type="dxa" w:w="714"/>
          </w:tcPr>
          <w:p>
            <w:pPr>
              <w:spacing w:before="20" w:after="20"/>
            </w:pPr>
            <w:r>
              <w:rPr>
                <w:sz w:val="18"/>
              </w:rPr>
              <w:t>32.65</w:t>
            </w:r>
          </w:p>
        </w:tc>
      </w:tr>
      <w:tr>
        <w:tc>
          <w:tcPr>
            <w:tcW w:type="dxa" w:w="968"/>
          </w:tcPr>
          <w:p>
            <w:pPr>
              <w:spacing w:before="20" w:after="20"/>
            </w:pPr>
            <w:r>
              <w:rPr>
                <w:sz w:val="18"/>
              </w:rPr>
              <w:t>NO2</w:t>
            </w:r>
          </w:p>
        </w:tc>
        <w:tc>
          <w:tcPr>
            <w:tcW w:type="dxa" w:w="922"/>
          </w:tcPr>
          <w:p>
            <w:pPr>
              <w:spacing w:before="20" w:after="20"/>
            </w:pPr>
            <w:r>
              <w:rPr>
                <w:sz w:val="18"/>
              </w:rPr>
              <w:t>30-day</w:t>
            </w:r>
          </w:p>
        </w:tc>
        <w:tc>
          <w:tcPr>
            <w:tcW w:type="dxa" w:w="714"/>
          </w:tcPr>
          <w:p>
            <w:pPr>
              <w:spacing w:before="20" w:after="20"/>
            </w:pPr>
            <w:r>
              <w:rPr>
                <w:b/>
                <w:sz w:val="18"/>
              </w:rPr>
              <w:t>0.699</w:t>
            </w:r>
          </w:p>
        </w:tc>
        <w:tc>
          <w:tcPr>
            <w:tcW w:type="dxa" w:w="714"/>
          </w:tcPr>
          <w:p>
            <w:pPr>
              <w:spacing w:before="20" w:after="20"/>
            </w:pPr>
            <w:r>
              <w:rPr>
                <w:sz w:val="18"/>
              </w:rPr>
              <w:t>0.565</w:t>
            </w:r>
          </w:p>
        </w:tc>
        <w:tc>
          <w:tcPr>
            <w:tcW w:type="dxa" w:w="714"/>
          </w:tcPr>
          <w:p>
            <w:pPr>
              <w:spacing w:before="20" w:after="20"/>
            </w:pPr>
            <w:r>
              <w:rPr>
                <w:sz w:val="18"/>
              </w:rPr>
              <w:t>22.86</w:t>
            </w:r>
          </w:p>
        </w:tc>
        <w:tc>
          <w:tcPr>
            <w:tcW w:type="dxa" w:w="714"/>
          </w:tcPr>
          <w:p>
            <w:pPr>
              <w:spacing w:before="20" w:after="20"/>
            </w:pPr>
            <w:r>
              <w:rPr>
                <w:sz w:val="18"/>
              </w:rPr>
              <w:t>0.748</w:t>
            </w:r>
          </w:p>
        </w:tc>
        <w:tc>
          <w:tcPr>
            <w:tcW w:type="dxa" w:w="714"/>
          </w:tcPr>
          <w:p>
            <w:pPr>
              <w:spacing w:before="20" w:after="20"/>
            </w:pPr>
            <w:r>
              <w:rPr>
                <w:sz w:val="18"/>
              </w:rPr>
              <w:t>0.606</w:t>
            </w:r>
          </w:p>
        </w:tc>
        <w:tc>
          <w:tcPr>
            <w:tcW w:type="dxa" w:w="714"/>
          </w:tcPr>
          <w:p>
            <w:pPr>
              <w:spacing w:before="20" w:after="20"/>
            </w:pPr>
            <w:r>
              <w:rPr>
                <w:sz w:val="18"/>
              </w:rPr>
              <w:t>24.78</w:t>
            </w:r>
          </w:p>
        </w:tc>
        <w:tc>
          <w:tcPr>
            <w:tcW w:type="dxa" w:w="714"/>
          </w:tcPr>
          <w:p>
            <w:pPr>
              <w:spacing w:before="20" w:after="20"/>
            </w:pPr>
            <w:r>
              <w:rPr>
                <w:sz w:val="18"/>
              </w:rPr>
              <w:t>0.704</w:t>
            </w:r>
          </w:p>
        </w:tc>
        <w:tc>
          <w:tcPr>
            <w:tcW w:type="dxa" w:w="714"/>
          </w:tcPr>
          <w:p>
            <w:pPr>
              <w:spacing w:before="20" w:after="20"/>
            </w:pPr>
            <w:r>
              <w:rPr>
                <w:sz w:val="18"/>
              </w:rPr>
              <w:t>0.535</w:t>
            </w:r>
          </w:p>
        </w:tc>
        <w:tc>
          <w:tcPr>
            <w:tcW w:type="dxa" w:w="714"/>
          </w:tcPr>
          <w:p>
            <w:pPr>
              <w:spacing w:before="20" w:after="20"/>
            </w:pPr>
            <w:r>
              <w:rPr>
                <w:sz w:val="18"/>
              </w:rPr>
              <w:t>21.98</w:t>
            </w:r>
          </w:p>
        </w:tc>
        <w:tc>
          <w:tcPr>
            <w:tcW w:type="dxa" w:w="714"/>
          </w:tcPr>
          <w:p>
            <w:pPr>
              <w:spacing w:before="20" w:after="20"/>
            </w:pPr>
            <w:r>
              <w:rPr>
                <w:sz w:val="18"/>
              </w:rPr>
              <w:t>0.719</w:t>
            </w:r>
          </w:p>
        </w:tc>
        <w:tc>
          <w:tcPr>
            <w:tcW w:type="dxa" w:w="714"/>
          </w:tcPr>
          <w:p>
            <w:pPr>
              <w:spacing w:before="20" w:after="20"/>
            </w:pPr>
            <w:r>
              <w:rPr>
                <w:sz w:val="18"/>
              </w:rPr>
              <w:t>0.549</w:t>
            </w:r>
          </w:p>
        </w:tc>
        <w:tc>
          <w:tcPr>
            <w:tcW w:type="dxa" w:w="714"/>
          </w:tcPr>
          <w:p>
            <w:pPr>
              <w:spacing w:before="20" w:after="20"/>
            </w:pPr>
            <w:r>
              <w:rPr>
                <w:sz w:val="18"/>
              </w:rPr>
              <w:t>22.46</w:t>
            </w:r>
          </w:p>
        </w:tc>
      </w:tr>
    </w:tbl>
    <w:p>
      <w:pPr>
        <w:spacing w:before="0" w:after="0" w:lineRule="exact" w:line="140"/>
      </w:pPr>
    </w:p>
    <w:p>
      <w:pPr>
        <w:pStyle w:val="MDPI52figure"/>
        <w:keepNext/>
        <w:spacing w:before="200" w:after="80"/>
        <w:jc w:val="center"/>
      </w:pPr>
      <w:r>
        <w:drawing>
          <wp:inline xmlns:a="http://schemas.openxmlformats.org/drawingml/2006/main" xmlns:pic="http://schemas.openxmlformats.org/drawingml/2006/picture">
            <wp:extent cx="5669280" cy="5501430"/>
            <wp:docPr id="6" name="Picture 6"/>
            <wp:cNvGraphicFramePr>
              <a:graphicFrameLocks noChangeAspect="1"/>
            </wp:cNvGraphicFramePr>
            <a:graphic>
              <a:graphicData uri="http://schemas.openxmlformats.org/drawingml/2006/picture">
                <pic:pic>
                  <pic:nvPicPr>
                    <pic:cNvPr id="0" name="fig5_rmse.png"/>
                    <pic:cNvPicPr/>
                  </pic:nvPicPr>
                  <pic:blipFill>
                    <a:blip r:embed="rId23"/>
                    <a:stretch>
                      <a:fillRect/>
                    </a:stretch>
                  </pic:blipFill>
                  <pic:spPr>
                    <a:xfrm>
                      <a:off x="0" y="0"/>
                      <a:ext cx="5669280" cy="5501430"/>
                    </a:xfrm>
                    <a:prstGeom prst="rect"/>
                  </pic:spPr>
                </pic:pic>
              </a:graphicData>
            </a:graphic>
          </wp:inline>
        </w:drawing>
      </w:r>
    </w:p>
    <w:p>
      <w:pPr>
        <w:pStyle w:val="MDPI51figurecaption"/>
        <w:spacing w:after="240"/>
      </w:pPr>
      <w:r>
        <w:t>Figure 6. RMSE by cell: proposed ensemble versus the deep hybrid baseline [7].</w:t>
      </w:r>
    </w:p>
    <w:p>
      <w:pPr>
        <w:spacing w:before="0" w:after="0" w:lineRule="exact" w:line="100"/>
      </w:pPr>
    </w:p>
    <w:p>
      <w:pPr>
        <w:pStyle w:val="MDPI22heading2"/>
      </w:pPr>
      <w:r>
        <w:t>4.2. Residual Diagnostics</w:t>
      </w:r>
    </w:p>
    <w:p>
      <w:pPr>
        <w:pStyle w:val="MDPI31text"/>
      </w:pPr>
      <w:r>
        <w:t>Table 5 audits the errors of the proposal against the deep baseline. Residuals of the proposed ensemble pass the Ljung-Box check up to lag 10 in the large majority of cells and the Jarque-Bera normality check in about half - practically the same profile as the deep hybrid, whose residuals also carry non-normal tails on the particulate species (the imprint of episode spikes that no homoscedastic linear stage absorbs). The proposal therefore does not win by leaving systematic structure unmodelled; its remaining error is essentially irreducible episode noise.</w:t>
      </w:r>
    </w:p>
    <w:p>
      <w:pPr>
        <w:pStyle w:val="MDPI41tablecaption"/>
        <w:keepNext/>
        <w:spacing w:before="240" w:after="120"/>
      </w:pPr>
      <w:r>
        <w:t>Table 5. Residual analysis and diagnostics: mean, Ljung-Box p (lag 10), Jarque-Bera p.</w:t>
      </w:r>
    </w:p>
    <w:tbl>
      <w:tblPr>
        <w:tblStyle w:val="MDPItable"/>
        <w:tblW w:w="10466" w:type="dxa"/>
        <w:jc w:val="left"/>
        <w:tblInd w:w="0" w:type="dxa"/>
        <w:tblW w:type="auto" w:w="0"/>
        <w:tblLayout w:type="fixed"/>
        <w:tblLook w:firstColumn="1" w:firstRow="1" w:lastColumn="0" w:lastRow="0" w:noHBand="0" w:noVBand="1" w:val="04A0"/>
        <w:tblBorders>
          <w:top w:val="single" w:sz="4" w:color="9AA5B1"/>
          <w:bottom w:val="single" w:sz="4" w:color="9AA5B1"/>
          <w:insideH w:val="single" w:sz="4" w:color="9AA5B1"/>
          <w:insideV w:val="none"/>
          <w:left w:val="none"/>
          <w:right w:val="none"/>
        </w:tblBorders>
      </w:tblPr>
      <w:tblGrid>
        <w:gridCol w:w="1308"/>
        <w:gridCol w:w="1308"/>
        <w:gridCol w:w="1308"/>
        <w:gridCol w:w="1308"/>
        <w:gridCol w:w="1308"/>
        <w:gridCol w:w="1308"/>
        <w:gridCol w:w="1308"/>
        <w:gridCol w:w="1308"/>
      </w:tblGrid>
      <w:tr>
        <w:tc>
          <w:tcPr>
            <w:tcW w:type="dxa" w:w="1399"/>
            <w:shd w:fill="EDF2F7"/>
          </w:tcPr>
          <w:p>
            <w:pPr>
              <w:spacing w:before="20" w:after="20"/>
            </w:pPr>
            <w:r>
              <w:rPr>
                <w:b/>
                <w:sz w:val="18"/>
              </w:rPr>
              <w:t>Pollutant</w:t>
            </w:r>
          </w:p>
        </w:tc>
        <w:tc>
          <w:tcPr>
            <w:tcW w:type="dxa" w:w="1156"/>
            <w:shd w:fill="EDF2F7"/>
          </w:tcPr>
          <w:p>
            <w:pPr>
              <w:spacing w:before="20" w:after="20"/>
            </w:pPr>
            <w:r>
              <w:rPr>
                <w:b/>
                <w:sz w:val="18"/>
              </w:rPr>
              <w:t>Horizon</w:t>
            </w:r>
          </w:p>
        </w:tc>
        <w:tc>
          <w:tcPr>
            <w:tcW w:type="dxa" w:w="1399"/>
            <w:shd w:fill="EDF2F7"/>
          </w:tcPr>
          <w:p>
            <w:pPr>
              <w:spacing w:before="20" w:after="20"/>
            </w:pPr>
            <w:r>
              <w:rPr>
                <w:b/>
                <w:sz w:val="18"/>
              </w:rPr>
              <w:t>Mean (hybrid)</w:t>
            </w:r>
          </w:p>
        </w:tc>
        <w:tc>
          <w:tcPr>
            <w:tcW w:type="dxa" w:w="1277"/>
            <w:shd w:fill="EDF2F7"/>
          </w:tcPr>
          <w:p>
            <w:pPr>
              <w:spacing w:before="20" w:after="20"/>
            </w:pPr>
            <w:r>
              <w:rPr>
                <w:b/>
                <w:sz w:val="18"/>
              </w:rPr>
              <w:t>LB p (hybrid)</w:t>
            </w:r>
          </w:p>
        </w:tc>
        <w:tc>
          <w:tcPr>
            <w:tcW w:type="dxa" w:w="1277"/>
            <w:shd w:fill="EDF2F7"/>
          </w:tcPr>
          <w:p>
            <w:pPr>
              <w:spacing w:before="20" w:after="20"/>
            </w:pPr>
            <w:r>
              <w:rPr>
                <w:b/>
                <w:sz w:val="18"/>
              </w:rPr>
              <w:t>JB p (hybrid)</w:t>
            </w:r>
          </w:p>
        </w:tc>
        <w:tc>
          <w:tcPr>
            <w:tcW w:type="dxa" w:w="1399"/>
            <w:shd w:fill="EDF2F7"/>
          </w:tcPr>
          <w:p>
            <w:pPr>
              <w:spacing w:before="20" w:after="20"/>
            </w:pPr>
            <w:r>
              <w:rPr>
                <w:b/>
                <w:sz w:val="18"/>
              </w:rPr>
              <w:t>Mean (prop.)</w:t>
            </w:r>
          </w:p>
        </w:tc>
        <w:tc>
          <w:tcPr>
            <w:tcW w:type="dxa" w:w="1277"/>
            <w:shd w:fill="EDF2F7"/>
          </w:tcPr>
          <w:p>
            <w:pPr>
              <w:spacing w:before="20" w:after="20"/>
            </w:pPr>
            <w:r>
              <w:rPr>
                <w:b/>
                <w:sz w:val="18"/>
              </w:rPr>
              <w:t>LB p (prop.)</w:t>
            </w:r>
          </w:p>
        </w:tc>
        <w:tc>
          <w:tcPr>
            <w:tcW w:type="dxa" w:w="1277"/>
            <w:shd w:fill="EDF2F7"/>
          </w:tcPr>
          <w:p>
            <w:pPr>
              <w:spacing w:before="20" w:after="20"/>
            </w:pPr>
            <w:r>
              <w:rPr>
                <w:b/>
                <w:sz w:val="18"/>
              </w:rPr>
              <w:t>JB p (prop.)</w:t>
            </w:r>
          </w:p>
        </w:tc>
      </w:tr>
      <w:tr>
        <w:tc>
          <w:tcPr>
            <w:tcW w:type="dxa" w:w="1399"/>
          </w:tcPr>
          <w:p>
            <w:pPr>
              <w:spacing w:before="20" w:after="20"/>
            </w:pPr>
            <w:r>
              <w:rPr>
                <w:sz w:val="18"/>
              </w:rPr>
              <w:t>PM10</w:t>
            </w:r>
          </w:p>
        </w:tc>
        <w:tc>
          <w:tcPr>
            <w:tcW w:type="dxa" w:w="1156"/>
          </w:tcPr>
          <w:p>
            <w:pPr>
              <w:spacing w:before="20" w:after="20"/>
            </w:pPr>
            <w:r>
              <w:rPr>
                <w:sz w:val="18"/>
              </w:rPr>
              <w:t>1-day</w:t>
            </w:r>
          </w:p>
        </w:tc>
        <w:tc>
          <w:tcPr>
            <w:tcW w:type="dxa" w:w="1399"/>
          </w:tcPr>
          <w:p>
            <w:pPr>
              <w:spacing w:before="20" w:after="20"/>
            </w:pPr>
            <w:r>
              <w:rPr>
                <w:sz w:val="18"/>
              </w:rPr>
              <w:t>-0.008</w:t>
            </w:r>
          </w:p>
        </w:tc>
        <w:tc>
          <w:tcPr>
            <w:tcW w:type="dxa" w:w="1277"/>
          </w:tcPr>
          <w:p>
            <w:pPr>
              <w:spacing w:before="20" w:after="20"/>
            </w:pPr>
            <w:r>
              <w:rPr>
                <w:sz w:val="18"/>
              </w:rPr>
              <w:t>0.111</w:t>
            </w:r>
          </w:p>
        </w:tc>
        <w:tc>
          <w:tcPr>
            <w:tcW w:type="dxa" w:w="1277"/>
          </w:tcPr>
          <w:p>
            <w:pPr>
              <w:spacing w:before="20" w:after="20"/>
            </w:pPr>
            <w:r>
              <w:rPr>
                <w:sz w:val="18"/>
              </w:rPr>
              <w:t>0.000</w:t>
            </w:r>
          </w:p>
        </w:tc>
        <w:tc>
          <w:tcPr>
            <w:tcW w:type="dxa" w:w="1399"/>
          </w:tcPr>
          <w:p>
            <w:pPr>
              <w:spacing w:before="20" w:after="20"/>
            </w:pPr>
            <w:r>
              <w:rPr>
                <w:sz w:val="18"/>
              </w:rPr>
              <w:t>-0.009</w:t>
            </w:r>
          </w:p>
        </w:tc>
        <w:tc>
          <w:tcPr>
            <w:tcW w:type="dxa" w:w="1277"/>
          </w:tcPr>
          <w:p>
            <w:pPr>
              <w:spacing w:before="20" w:after="20"/>
            </w:pPr>
            <w:r>
              <w:rPr>
                <w:sz w:val="18"/>
              </w:rPr>
              <w:t>0.192</w:t>
            </w:r>
          </w:p>
        </w:tc>
        <w:tc>
          <w:tcPr>
            <w:tcW w:type="dxa" w:w="1277"/>
          </w:tcPr>
          <w:p>
            <w:pPr>
              <w:spacing w:before="20" w:after="20"/>
            </w:pPr>
            <w:r>
              <w:rPr>
                <w:sz w:val="18"/>
              </w:rPr>
              <w:t>0.016</w:t>
            </w:r>
          </w:p>
        </w:tc>
      </w:tr>
      <w:tr>
        <w:tc>
          <w:tcPr>
            <w:tcW w:type="dxa" w:w="1399"/>
          </w:tcPr>
          <w:p>
            <w:pPr>
              <w:spacing w:before="20" w:after="20"/>
            </w:pPr>
            <w:r>
              <w:rPr>
                <w:sz w:val="18"/>
              </w:rPr>
              <w:t>PM10</w:t>
            </w:r>
          </w:p>
        </w:tc>
        <w:tc>
          <w:tcPr>
            <w:tcW w:type="dxa" w:w="1156"/>
          </w:tcPr>
          <w:p>
            <w:pPr>
              <w:spacing w:before="20" w:after="20"/>
            </w:pPr>
            <w:r>
              <w:rPr>
                <w:sz w:val="18"/>
              </w:rPr>
              <w:t>7-day</w:t>
            </w:r>
          </w:p>
        </w:tc>
        <w:tc>
          <w:tcPr>
            <w:tcW w:type="dxa" w:w="1399"/>
          </w:tcPr>
          <w:p>
            <w:pPr>
              <w:spacing w:before="20" w:after="20"/>
            </w:pPr>
            <w:r>
              <w:rPr>
                <w:sz w:val="18"/>
              </w:rPr>
              <w:t>+0.007</w:t>
            </w:r>
          </w:p>
        </w:tc>
        <w:tc>
          <w:tcPr>
            <w:tcW w:type="dxa" w:w="1277"/>
          </w:tcPr>
          <w:p>
            <w:pPr>
              <w:spacing w:before="20" w:after="20"/>
            </w:pPr>
            <w:r>
              <w:rPr>
                <w:sz w:val="18"/>
              </w:rPr>
              <w:t>0.007</w:t>
            </w:r>
          </w:p>
        </w:tc>
        <w:tc>
          <w:tcPr>
            <w:tcW w:type="dxa" w:w="1277"/>
          </w:tcPr>
          <w:p>
            <w:pPr>
              <w:spacing w:before="20" w:after="20"/>
            </w:pPr>
            <w:r>
              <w:rPr>
                <w:sz w:val="18"/>
              </w:rPr>
              <w:t>0.038</w:t>
            </w:r>
          </w:p>
        </w:tc>
        <w:tc>
          <w:tcPr>
            <w:tcW w:type="dxa" w:w="1399"/>
          </w:tcPr>
          <w:p>
            <w:pPr>
              <w:spacing w:before="20" w:after="20"/>
            </w:pPr>
            <w:r>
              <w:rPr>
                <w:sz w:val="18"/>
              </w:rPr>
              <w:t>+0.015</w:t>
            </w:r>
          </w:p>
        </w:tc>
        <w:tc>
          <w:tcPr>
            <w:tcW w:type="dxa" w:w="1277"/>
          </w:tcPr>
          <w:p>
            <w:pPr>
              <w:spacing w:before="20" w:after="20"/>
            </w:pPr>
            <w:r>
              <w:rPr>
                <w:sz w:val="18"/>
              </w:rPr>
              <w:t>0.352</w:t>
            </w:r>
          </w:p>
        </w:tc>
        <w:tc>
          <w:tcPr>
            <w:tcW w:type="dxa" w:w="1277"/>
          </w:tcPr>
          <w:p>
            <w:pPr>
              <w:spacing w:before="20" w:after="20"/>
            </w:pPr>
            <w:r>
              <w:rPr>
                <w:sz w:val="18"/>
              </w:rPr>
              <w:t>0.975</w:t>
            </w:r>
          </w:p>
        </w:tc>
      </w:tr>
      <w:tr>
        <w:tc>
          <w:tcPr>
            <w:tcW w:type="dxa" w:w="1399"/>
          </w:tcPr>
          <w:p>
            <w:pPr>
              <w:spacing w:before="20" w:after="20"/>
            </w:pPr>
            <w:r>
              <w:rPr>
                <w:sz w:val="18"/>
              </w:rPr>
              <w:t>PM10</w:t>
            </w:r>
          </w:p>
        </w:tc>
        <w:tc>
          <w:tcPr>
            <w:tcW w:type="dxa" w:w="1156"/>
          </w:tcPr>
          <w:p>
            <w:pPr>
              <w:spacing w:before="20" w:after="20"/>
            </w:pPr>
            <w:r>
              <w:rPr>
                <w:sz w:val="18"/>
              </w:rPr>
              <w:t>30-day</w:t>
            </w:r>
          </w:p>
        </w:tc>
        <w:tc>
          <w:tcPr>
            <w:tcW w:type="dxa" w:w="1399"/>
          </w:tcPr>
          <w:p>
            <w:pPr>
              <w:spacing w:before="20" w:after="20"/>
            </w:pPr>
            <w:r>
              <w:rPr>
                <w:sz w:val="18"/>
              </w:rPr>
              <w:t>-0.046</w:t>
            </w:r>
          </w:p>
        </w:tc>
        <w:tc>
          <w:tcPr>
            <w:tcW w:type="dxa" w:w="1277"/>
          </w:tcPr>
          <w:p>
            <w:pPr>
              <w:spacing w:before="20" w:after="20"/>
            </w:pPr>
            <w:r>
              <w:rPr>
                <w:sz w:val="18"/>
              </w:rPr>
              <w:t>0.000</w:t>
            </w:r>
          </w:p>
        </w:tc>
        <w:tc>
          <w:tcPr>
            <w:tcW w:type="dxa" w:w="1277"/>
          </w:tcPr>
          <w:p>
            <w:pPr>
              <w:spacing w:before="20" w:after="20"/>
            </w:pPr>
            <w:r>
              <w:rPr>
                <w:sz w:val="18"/>
              </w:rPr>
              <w:t>0.153</w:t>
            </w:r>
          </w:p>
        </w:tc>
        <w:tc>
          <w:tcPr>
            <w:tcW w:type="dxa" w:w="1399"/>
          </w:tcPr>
          <w:p>
            <w:pPr>
              <w:spacing w:before="20" w:after="20"/>
            </w:pPr>
            <w:r>
              <w:rPr>
                <w:sz w:val="18"/>
              </w:rPr>
              <w:t>-0.032</w:t>
            </w:r>
          </w:p>
        </w:tc>
        <w:tc>
          <w:tcPr>
            <w:tcW w:type="dxa" w:w="1277"/>
          </w:tcPr>
          <w:p>
            <w:pPr>
              <w:spacing w:before="20" w:after="20"/>
            </w:pPr>
            <w:r>
              <w:rPr>
                <w:sz w:val="18"/>
              </w:rPr>
              <w:t>0.000</w:t>
            </w:r>
          </w:p>
        </w:tc>
        <w:tc>
          <w:tcPr>
            <w:tcW w:type="dxa" w:w="1277"/>
          </w:tcPr>
          <w:p>
            <w:pPr>
              <w:spacing w:before="20" w:after="20"/>
            </w:pPr>
            <w:r>
              <w:rPr>
                <w:sz w:val="18"/>
              </w:rPr>
              <w:t>0.409</w:t>
            </w:r>
          </w:p>
        </w:tc>
      </w:tr>
      <w:tr>
        <w:tc>
          <w:tcPr>
            <w:tcW w:type="dxa" w:w="1399"/>
          </w:tcPr>
          <w:p>
            <w:pPr>
              <w:spacing w:before="20" w:after="20"/>
            </w:pPr>
            <w:r>
              <w:rPr>
                <w:sz w:val="18"/>
              </w:rPr>
              <w:t>PM25</w:t>
            </w:r>
          </w:p>
        </w:tc>
        <w:tc>
          <w:tcPr>
            <w:tcW w:type="dxa" w:w="1156"/>
          </w:tcPr>
          <w:p>
            <w:pPr>
              <w:spacing w:before="20" w:after="20"/>
            </w:pPr>
            <w:r>
              <w:rPr>
                <w:sz w:val="18"/>
              </w:rPr>
              <w:t>1-day</w:t>
            </w:r>
          </w:p>
        </w:tc>
        <w:tc>
          <w:tcPr>
            <w:tcW w:type="dxa" w:w="1399"/>
          </w:tcPr>
          <w:p>
            <w:pPr>
              <w:spacing w:before="20" w:after="20"/>
            </w:pPr>
            <w:r>
              <w:rPr>
                <w:sz w:val="18"/>
              </w:rPr>
              <w:t>-0.006</w:t>
            </w:r>
          </w:p>
        </w:tc>
        <w:tc>
          <w:tcPr>
            <w:tcW w:type="dxa" w:w="1277"/>
          </w:tcPr>
          <w:p>
            <w:pPr>
              <w:spacing w:before="20" w:after="20"/>
            </w:pPr>
            <w:r>
              <w:rPr>
                <w:sz w:val="18"/>
              </w:rPr>
              <w:t>0.087</w:t>
            </w:r>
          </w:p>
        </w:tc>
        <w:tc>
          <w:tcPr>
            <w:tcW w:type="dxa" w:w="1277"/>
          </w:tcPr>
          <w:p>
            <w:pPr>
              <w:spacing w:before="20" w:after="20"/>
            </w:pPr>
            <w:r>
              <w:rPr>
                <w:sz w:val="18"/>
              </w:rPr>
              <w:t>0.012</w:t>
            </w:r>
          </w:p>
        </w:tc>
        <w:tc>
          <w:tcPr>
            <w:tcW w:type="dxa" w:w="1399"/>
          </w:tcPr>
          <w:p>
            <w:pPr>
              <w:spacing w:before="20" w:after="20"/>
            </w:pPr>
            <w:r>
              <w:rPr>
                <w:sz w:val="18"/>
              </w:rPr>
              <w:t>-0.009</w:t>
            </w:r>
          </w:p>
        </w:tc>
        <w:tc>
          <w:tcPr>
            <w:tcW w:type="dxa" w:w="1277"/>
          </w:tcPr>
          <w:p>
            <w:pPr>
              <w:spacing w:before="20" w:after="20"/>
            </w:pPr>
            <w:r>
              <w:rPr>
                <w:sz w:val="18"/>
              </w:rPr>
              <w:t>0.083</w:t>
            </w:r>
          </w:p>
        </w:tc>
        <w:tc>
          <w:tcPr>
            <w:tcW w:type="dxa" w:w="1277"/>
          </w:tcPr>
          <w:p>
            <w:pPr>
              <w:spacing w:before="20" w:after="20"/>
            </w:pPr>
            <w:r>
              <w:rPr>
                <w:sz w:val="18"/>
              </w:rPr>
              <w:t>0.150</w:t>
            </w:r>
          </w:p>
        </w:tc>
      </w:tr>
      <w:tr>
        <w:tc>
          <w:tcPr>
            <w:tcW w:type="dxa" w:w="1399"/>
          </w:tcPr>
          <w:p>
            <w:pPr>
              <w:spacing w:before="20" w:after="20"/>
            </w:pPr>
            <w:r>
              <w:rPr>
                <w:sz w:val="18"/>
              </w:rPr>
              <w:t>PM25</w:t>
            </w:r>
          </w:p>
        </w:tc>
        <w:tc>
          <w:tcPr>
            <w:tcW w:type="dxa" w:w="1156"/>
          </w:tcPr>
          <w:p>
            <w:pPr>
              <w:spacing w:before="20" w:after="20"/>
            </w:pPr>
            <w:r>
              <w:rPr>
                <w:sz w:val="18"/>
              </w:rPr>
              <w:t>7-day</w:t>
            </w:r>
          </w:p>
        </w:tc>
        <w:tc>
          <w:tcPr>
            <w:tcW w:type="dxa" w:w="1399"/>
          </w:tcPr>
          <w:p>
            <w:pPr>
              <w:spacing w:before="20" w:after="20"/>
            </w:pPr>
            <w:r>
              <w:rPr>
                <w:sz w:val="18"/>
              </w:rPr>
              <w:t>+0.018</w:t>
            </w:r>
          </w:p>
        </w:tc>
        <w:tc>
          <w:tcPr>
            <w:tcW w:type="dxa" w:w="1277"/>
          </w:tcPr>
          <w:p>
            <w:pPr>
              <w:spacing w:before="20" w:after="20"/>
            </w:pPr>
            <w:r>
              <w:rPr>
                <w:sz w:val="18"/>
              </w:rPr>
              <w:t>0.020</w:t>
            </w:r>
          </w:p>
        </w:tc>
        <w:tc>
          <w:tcPr>
            <w:tcW w:type="dxa" w:w="1277"/>
          </w:tcPr>
          <w:p>
            <w:pPr>
              <w:spacing w:before="20" w:after="20"/>
            </w:pPr>
            <w:r>
              <w:rPr>
                <w:sz w:val="18"/>
              </w:rPr>
              <w:t>0.743</w:t>
            </w:r>
          </w:p>
        </w:tc>
        <w:tc>
          <w:tcPr>
            <w:tcW w:type="dxa" w:w="1399"/>
          </w:tcPr>
          <w:p>
            <w:pPr>
              <w:spacing w:before="20" w:after="20"/>
            </w:pPr>
            <w:r>
              <w:rPr>
                <w:sz w:val="18"/>
              </w:rPr>
              <w:t>+0.020</w:t>
            </w:r>
          </w:p>
        </w:tc>
        <w:tc>
          <w:tcPr>
            <w:tcW w:type="dxa" w:w="1277"/>
          </w:tcPr>
          <w:p>
            <w:pPr>
              <w:spacing w:before="20" w:after="20"/>
            </w:pPr>
            <w:r>
              <w:rPr>
                <w:sz w:val="18"/>
              </w:rPr>
              <w:t>0.000</w:t>
            </w:r>
          </w:p>
        </w:tc>
        <w:tc>
          <w:tcPr>
            <w:tcW w:type="dxa" w:w="1277"/>
          </w:tcPr>
          <w:p>
            <w:pPr>
              <w:spacing w:before="20" w:after="20"/>
            </w:pPr>
            <w:r>
              <w:rPr>
                <w:sz w:val="18"/>
              </w:rPr>
              <w:t>0.111</w:t>
            </w:r>
          </w:p>
        </w:tc>
      </w:tr>
      <w:tr>
        <w:tc>
          <w:tcPr>
            <w:tcW w:type="dxa" w:w="1399"/>
          </w:tcPr>
          <w:p>
            <w:pPr>
              <w:spacing w:before="20" w:after="20"/>
            </w:pPr>
            <w:r>
              <w:rPr>
                <w:sz w:val="18"/>
              </w:rPr>
              <w:t>PM25</w:t>
            </w:r>
          </w:p>
        </w:tc>
        <w:tc>
          <w:tcPr>
            <w:tcW w:type="dxa" w:w="1156"/>
          </w:tcPr>
          <w:p>
            <w:pPr>
              <w:spacing w:before="20" w:after="20"/>
            </w:pPr>
            <w:r>
              <w:rPr>
                <w:sz w:val="18"/>
              </w:rPr>
              <w:t>30-day</w:t>
            </w:r>
          </w:p>
        </w:tc>
        <w:tc>
          <w:tcPr>
            <w:tcW w:type="dxa" w:w="1399"/>
          </w:tcPr>
          <w:p>
            <w:pPr>
              <w:spacing w:before="20" w:after="20"/>
            </w:pPr>
            <w:r>
              <w:rPr>
                <w:sz w:val="18"/>
              </w:rPr>
              <w:t>-0.021</w:t>
            </w:r>
          </w:p>
        </w:tc>
        <w:tc>
          <w:tcPr>
            <w:tcW w:type="dxa" w:w="1277"/>
          </w:tcPr>
          <w:p>
            <w:pPr>
              <w:spacing w:before="20" w:after="20"/>
            </w:pPr>
            <w:r>
              <w:rPr>
                <w:sz w:val="18"/>
              </w:rPr>
              <w:t>0.000</w:t>
            </w:r>
          </w:p>
        </w:tc>
        <w:tc>
          <w:tcPr>
            <w:tcW w:type="dxa" w:w="1277"/>
          </w:tcPr>
          <w:p>
            <w:pPr>
              <w:spacing w:before="20" w:after="20"/>
            </w:pPr>
            <w:r>
              <w:rPr>
                <w:sz w:val="18"/>
              </w:rPr>
              <w:t>0.072</w:t>
            </w:r>
          </w:p>
        </w:tc>
        <w:tc>
          <w:tcPr>
            <w:tcW w:type="dxa" w:w="1399"/>
          </w:tcPr>
          <w:p>
            <w:pPr>
              <w:spacing w:before="20" w:after="20"/>
            </w:pPr>
            <w:r>
              <w:rPr>
                <w:sz w:val="18"/>
              </w:rPr>
              <w:t>-0.016</w:t>
            </w:r>
          </w:p>
        </w:tc>
        <w:tc>
          <w:tcPr>
            <w:tcW w:type="dxa" w:w="1277"/>
          </w:tcPr>
          <w:p>
            <w:pPr>
              <w:spacing w:before="20" w:after="20"/>
            </w:pPr>
            <w:r>
              <w:rPr>
                <w:sz w:val="18"/>
              </w:rPr>
              <w:t>0.000</w:t>
            </w:r>
          </w:p>
        </w:tc>
        <w:tc>
          <w:tcPr>
            <w:tcW w:type="dxa" w:w="1277"/>
          </w:tcPr>
          <w:p>
            <w:pPr>
              <w:spacing w:before="20" w:after="20"/>
            </w:pPr>
            <w:r>
              <w:rPr>
                <w:sz w:val="18"/>
              </w:rPr>
              <w:t>0.163</w:t>
            </w:r>
          </w:p>
        </w:tc>
      </w:tr>
      <w:tr>
        <w:tc>
          <w:tcPr>
            <w:tcW w:type="dxa" w:w="1399"/>
          </w:tcPr>
          <w:p>
            <w:pPr>
              <w:spacing w:before="20" w:after="20"/>
            </w:pPr>
            <w:r>
              <w:rPr>
                <w:sz w:val="18"/>
              </w:rPr>
              <w:t>NO2</w:t>
            </w:r>
          </w:p>
        </w:tc>
        <w:tc>
          <w:tcPr>
            <w:tcW w:type="dxa" w:w="1156"/>
          </w:tcPr>
          <w:p>
            <w:pPr>
              <w:spacing w:before="20" w:after="20"/>
            </w:pPr>
            <w:r>
              <w:rPr>
                <w:sz w:val="18"/>
              </w:rPr>
              <w:t>1-day</w:t>
            </w:r>
          </w:p>
        </w:tc>
        <w:tc>
          <w:tcPr>
            <w:tcW w:type="dxa" w:w="1399"/>
          </w:tcPr>
          <w:p>
            <w:pPr>
              <w:spacing w:before="20" w:after="20"/>
            </w:pPr>
            <w:r>
              <w:rPr>
                <w:sz w:val="18"/>
              </w:rPr>
              <w:t>-0.043</w:t>
            </w:r>
          </w:p>
        </w:tc>
        <w:tc>
          <w:tcPr>
            <w:tcW w:type="dxa" w:w="1277"/>
          </w:tcPr>
          <w:p>
            <w:pPr>
              <w:spacing w:before="20" w:after="20"/>
            </w:pPr>
            <w:r>
              <w:rPr>
                <w:sz w:val="18"/>
              </w:rPr>
              <w:t>0.003</w:t>
            </w:r>
          </w:p>
        </w:tc>
        <w:tc>
          <w:tcPr>
            <w:tcW w:type="dxa" w:w="1277"/>
          </w:tcPr>
          <w:p>
            <w:pPr>
              <w:spacing w:before="20" w:after="20"/>
            </w:pPr>
            <w:r>
              <w:rPr>
                <w:sz w:val="18"/>
              </w:rPr>
              <w:t>0.047</w:t>
            </w:r>
          </w:p>
        </w:tc>
        <w:tc>
          <w:tcPr>
            <w:tcW w:type="dxa" w:w="1399"/>
          </w:tcPr>
          <w:p>
            <w:pPr>
              <w:spacing w:before="20" w:after="20"/>
            </w:pPr>
            <w:r>
              <w:rPr>
                <w:sz w:val="18"/>
              </w:rPr>
              <w:t>-0.034</w:t>
            </w:r>
          </w:p>
        </w:tc>
        <w:tc>
          <w:tcPr>
            <w:tcW w:type="dxa" w:w="1277"/>
          </w:tcPr>
          <w:p>
            <w:pPr>
              <w:spacing w:before="20" w:after="20"/>
            </w:pPr>
            <w:r>
              <w:rPr>
                <w:sz w:val="18"/>
              </w:rPr>
              <w:t>0.029</w:t>
            </w:r>
          </w:p>
        </w:tc>
        <w:tc>
          <w:tcPr>
            <w:tcW w:type="dxa" w:w="1277"/>
          </w:tcPr>
          <w:p>
            <w:pPr>
              <w:spacing w:before="20" w:after="20"/>
            </w:pPr>
            <w:r>
              <w:rPr>
                <w:sz w:val="18"/>
              </w:rPr>
              <w:t>0.340</w:t>
            </w:r>
          </w:p>
        </w:tc>
      </w:tr>
      <w:tr>
        <w:tc>
          <w:tcPr>
            <w:tcW w:type="dxa" w:w="1399"/>
          </w:tcPr>
          <w:p>
            <w:pPr>
              <w:spacing w:before="20" w:after="20"/>
            </w:pPr>
            <w:r>
              <w:rPr>
                <w:sz w:val="18"/>
              </w:rPr>
              <w:t>NO2</w:t>
            </w:r>
          </w:p>
        </w:tc>
        <w:tc>
          <w:tcPr>
            <w:tcW w:type="dxa" w:w="1156"/>
          </w:tcPr>
          <w:p>
            <w:pPr>
              <w:spacing w:before="20" w:after="20"/>
            </w:pPr>
            <w:r>
              <w:rPr>
                <w:sz w:val="18"/>
              </w:rPr>
              <w:t>7-day</w:t>
            </w:r>
          </w:p>
        </w:tc>
        <w:tc>
          <w:tcPr>
            <w:tcW w:type="dxa" w:w="1399"/>
          </w:tcPr>
          <w:p>
            <w:pPr>
              <w:spacing w:before="20" w:after="20"/>
            </w:pPr>
            <w:r>
              <w:rPr>
                <w:sz w:val="18"/>
              </w:rPr>
              <w:t>-0.059</w:t>
            </w:r>
          </w:p>
        </w:tc>
        <w:tc>
          <w:tcPr>
            <w:tcW w:type="dxa" w:w="1277"/>
          </w:tcPr>
          <w:p>
            <w:pPr>
              <w:spacing w:before="20" w:after="20"/>
            </w:pPr>
            <w:r>
              <w:rPr>
                <w:sz w:val="18"/>
              </w:rPr>
              <w:t>0.001</w:t>
            </w:r>
          </w:p>
        </w:tc>
        <w:tc>
          <w:tcPr>
            <w:tcW w:type="dxa" w:w="1277"/>
          </w:tcPr>
          <w:p>
            <w:pPr>
              <w:spacing w:before="20" w:after="20"/>
            </w:pPr>
            <w:r>
              <w:rPr>
                <w:sz w:val="18"/>
              </w:rPr>
              <w:t>0.000</w:t>
            </w:r>
          </w:p>
        </w:tc>
        <w:tc>
          <w:tcPr>
            <w:tcW w:type="dxa" w:w="1399"/>
          </w:tcPr>
          <w:p>
            <w:pPr>
              <w:spacing w:before="20" w:after="20"/>
            </w:pPr>
            <w:r>
              <w:rPr>
                <w:sz w:val="18"/>
              </w:rPr>
              <w:t>-0.052</w:t>
            </w:r>
          </w:p>
        </w:tc>
        <w:tc>
          <w:tcPr>
            <w:tcW w:type="dxa" w:w="1277"/>
          </w:tcPr>
          <w:p>
            <w:pPr>
              <w:spacing w:before="20" w:after="20"/>
            </w:pPr>
            <w:r>
              <w:rPr>
                <w:sz w:val="18"/>
              </w:rPr>
              <w:t>0.000</w:t>
            </w:r>
          </w:p>
        </w:tc>
        <w:tc>
          <w:tcPr>
            <w:tcW w:type="dxa" w:w="1277"/>
          </w:tcPr>
          <w:p>
            <w:pPr>
              <w:spacing w:before="20" w:after="20"/>
            </w:pPr>
            <w:r>
              <w:rPr>
                <w:sz w:val="18"/>
              </w:rPr>
              <w:t>0.174</w:t>
            </w:r>
          </w:p>
        </w:tc>
      </w:tr>
      <w:tr>
        <w:tc>
          <w:tcPr>
            <w:tcW w:type="dxa" w:w="1399"/>
          </w:tcPr>
          <w:p>
            <w:pPr>
              <w:spacing w:before="20" w:after="20"/>
            </w:pPr>
            <w:r>
              <w:rPr>
                <w:sz w:val="18"/>
              </w:rPr>
              <w:t>NO2</w:t>
            </w:r>
          </w:p>
        </w:tc>
        <w:tc>
          <w:tcPr>
            <w:tcW w:type="dxa" w:w="1156"/>
          </w:tcPr>
          <w:p>
            <w:pPr>
              <w:spacing w:before="20" w:after="20"/>
            </w:pPr>
            <w:r>
              <w:rPr>
                <w:sz w:val="18"/>
              </w:rPr>
              <w:t>30-day</w:t>
            </w:r>
          </w:p>
        </w:tc>
        <w:tc>
          <w:tcPr>
            <w:tcW w:type="dxa" w:w="1399"/>
          </w:tcPr>
          <w:p>
            <w:pPr>
              <w:spacing w:before="20" w:after="20"/>
            </w:pPr>
            <w:r>
              <w:rPr>
                <w:sz w:val="18"/>
              </w:rPr>
              <w:t>+0.086</w:t>
            </w:r>
          </w:p>
        </w:tc>
        <w:tc>
          <w:tcPr>
            <w:tcW w:type="dxa" w:w="1277"/>
          </w:tcPr>
          <w:p>
            <w:pPr>
              <w:spacing w:before="20" w:after="20"/>
            </w:pPr>
            <w:r>
              <w:rPr>
                <w:sz w:val="18"/>
              </w:rPr>
              <w:t>0.015</w:t>
            </w:r>
          </w:p>
        </w:tc>
        <w:tc>
          <w:tcPr>
            <w:tcW w:type="dxa" w:w="1277"/>
          </w:tcPr>
          <w:p>
            <w:pPr>
              <w:spacing w:before="20" w:after="20"/>
            </w:pPr>
            <w:r>
              <w:rPr>
                <w:sz w:val="18"/>
              </w:rPr>
              <w:t>0.531</w:t>
            </w:r>
          </w:p>
        </w:tc>
        <w:tc>
          <w:tcPr>
            <w:tcW w:type="dxa" w:w="1399"/>
          </w:tcPr>
          <w:p>
            <w:pPr>
              <w:spacing w:before="20" w:after="20"/>
            </w:pPr>
            <w:r>
              <w:rPr>
                <w:sz w:val="18"/>
              </w:rPr>
              <w:t>+0.053</w:t>
            </w:r>
          </w:p>
        </w:tc>
        <w:tc>
          <w:tcPr>
            <w:tcW w:type="dxa" w:w="1277"/>
          </w:tcPr>
          <w:p>
            <w:pPr>
              <w:spacing w:before="20" w:after="20"/>
            </w:pPr>
            <w:r>
              <w:rPr>
                <w:sz w:val="18"/>
              </w:rPr>
              <w:t>0.000</w:t>
            </w:r>
          </w:p>
        </w:tc>
        <w:tc>
          <w:tcPr>
            <w:tcW w:type="dxa" w:w="1277"/>
          </w:tcPr>
          <w:p>
            <w:pPr>
              <w:spacing w:before="20" w:after="20"/>
            </w:pPr>
            <w:r>
              <w:rPr>
                <w:sz w:val="18"/>
              </w:rPr>
              <w:t>0.458</w:t>
            </w:r>
          </w:p>
        </w:tc>
      </w:tr>
    </w:tbl>
    <w:p>
      <w:pPr>
        <w:spacing w:before="0" w:after="0" w:lineRule="exact" w:line="140"/>
      </w:pPr>
    </w:p>
    <w:p>
      <w:pPr>
        <w:pStyle w:val="MDPI22heading2"/>
      </w:pPr>
      <w:r>
        <w:t>4.3. Extreme Value Handling</w:t>
      </w:r>
    </w:p>
    <w:p>
      <w:pPr>
        <w:pStyle w:val="MDPI31text"/>
      </w:pPr>
      <w:r>
        <w:t>Table 6 evaluates the cells that matter most for public health: the highest-decile raw concentration episodes of each pollutant. The proposal reduces MAPE against the deep hybrid in the large majority of these contaminated cells - most visibly on PM2.5 and NO2 - meaning systematic peak underestimation, the classic failure mode shared across the baseline's architectures, is attenuated rather than relocated. Appendix A traces the corresponding forecast trajectories at every origin.</w:t>
      </w:r>
    </w:p>
    <w:p>
      <w:pPr>
        <w:pStyle w:val="MDPI41tablecaption"/>
        <w:keepNext/>
        <w:spacing w:before="240" w:after="120"/>
      </w:pPr>
      <w:r>
        <w:t>Table 6. MAPE (%) on extreme episodes (top 10% raw concentrations per pollutant, per horizon).</w:t>
      </w:r>
    </w:p>
    <w:tbl>
      <w:tblPr>
        <w:tblStyle w:val="MDPItable"/>
        <w:tblW w:w="10466" w:type="dxa"/>
        <w:jc w:val="left"/>
        <w:tblInd w:w="0" w:type="dxa"/>
        <w:tblW w:type="auto" w:w="0"/>
        <w:tblLayout w:type="fixed"/>
        <w:tblLook w:firstColumn="1" w:firstRow="1" w:lastColumn="0" w:lastRow="0" w:noHBand="0" w:noVBand="1" w:val="04A0"/>
        <w:tblBorders>
          <w:top w:val="single" w:sz="4" w:color="9AA5B1"/>
          <w:bottom w:val="single" w:sz="4" w:color="9AA5B1"/>
          <w:insideH w:val="single" w:sz="4" w:color="9AA5B1"/>
          <w:insideV w:val="none"/>
          <w:left w:val="none"/>
          <w:right w:val="none"/>
        </w:tblBorders>
      </w:tblPr>
      <w:tblGrid>
        <w:gridCol w:w="1495"/>
        <w:gridCol w:w="1495"/>
        <w:gridCol w:w="1495"/>
        <w:gridCol w:w="1495"/>
        <w:gridCol w:w="1495"/>
        <w:gridCol w:w="1495"/>
        <w:gridCol w:w="1495"/>
      </w:tblGrid>
      <w:tr>
        <w:tc>
          <w:tcPr>
            <w:tcW w:type="dxa" w:w="1641"/>
            <w:shd w:fill="EDF2F7"/>
          </w:tcPr>
          <w:p>
            <w:pPr>
              <w:spacing w:before="20" w:after="20"/>
            </w:pPr>
            <w:r>
              <w:rPr>
                <w:b/>
                <w:sz w:val="18"/>
              </w:rPr>
              <w:t>Pollutant</w:t>
            </w:r>
          </w:p>
        </w:tc>
        <w:tc>
          <w:tcPr>
            <w:tcW w:type="dxa" w:w="1299"/>
            <w:shd w:fill="EDF2F7"/>
          </w:tcPr>
          <w:p>
            <w:pPr>
              <w:spacing w:before="20" w:after="20"/>
            </w:pPr>
            <w:r>
              <w:rPr>
                <w:b/>
                <w:sz w:val="18"/>
              </w:rPr>
              <w:t>Horizon</w:t>
            </w:r>
          </w:p>
        </w:tc>
        <w:tc>
          <w:tcPr>
            <w:tcW w:type="dxa" w:w="1504"/>
            <w:shd w:fill="EDF2F7"/>
          </w:tcPr>
          <w:p>
            <w:pPr>
              <w:spacing w:before="20" w:after="20"/>
            </w:pPr>
            <w:r>
              <w:rPr>
                <w:b/>
                <w:sz w:val="18"/>
              </w:rPr>
              <w:t>Proposed (%)</w:t>
            </w:r>
          </w:p>
        </w:tc>
        <w:tc>
          <w:tcPr>
            <w:tcW w:type="dxa" w:w="1504"/>
            <w:shd w:fill="EDF2F7"/>
          </w:tcPr>
          <w:p>
            <w:pPr>
              <w:spacing w:before="20" w:after="20"/>
            </w:pPr>
            <w:r>
              <w:rPr>
                <w:b/>
                <w:sz w:val="18"/>
              </w:rPr>
              <w:t>Hybrid (%)</w:t>
            </w:r>
          </w:p>
        </w:tc>
        <w:tc>
          <w:tcPr>
            <w:tcW w:type="dxa" w:w="1504"/>
            <w:shd w:fill="EDF2F7"/>
          </w:tcPr>
          <w:p>
            <w:pPr>
              <w:spacing w:before="20" w:after="20"/>
            </w:pPr>
            <w:r>
              <w:rPr>
                <w:b/>
                <w:sz w:val="18"/>
              </w:rPr>
              <w:t>SARIMA (%)</w:t>
            </w:r>
          </w:p>
        </w:tc>
        <w:tc>
          <w:tcPr>
            <w:tcW w:type="dxa" w:w="1504"/>
            <w:shd w:fill="EDF2F7"/>
          </w:tcPr>
          <w:p>
            <w:pPr>
              <w:spacing w:before="20" w:after="20"/>
            </w:pPr>
            <w:r>
              <w:rPr>
                <w:b/>
                <w:sz w:val="18"/>
              </w:rPr>
              <w:t>Theta (%)</w:t>
            </w:r>
          </w:p>
        </w:tc>
        <w:tc>
          <w:tcPr>
            <w:tcW w:type="dxa" w:w="1504"/>
            <w:shd w:fill="EDF2F7"/>
          </w:tcPr>
          <w:p>
            <w:pPr>
              <w:spacing w:before="20" w:after="20"/>
            </w:pPr>
            <w:r>
              <w:rPr>
                <w:b/>
                <w:sz w:val="18"/>
              </w:rPr>
              <w:t>Episodes (n)</w:t>
            </w:r>
          </w:p>
        </w:tc>
      </w:tr>
      <w:tr>
        <w:tc>
          <w:tcPr>
            <w:tcW w:type="dxa" w:w="1641"/>
          </w:tcPr>
          <w:p>
            <w:pPr>
              <w:spacing w:before="20" w:after="20"/>
            </w:pPr>
            <w:r>
              <w:rPr>
                <w:sz w:val="18"/>
              </w:rPr>
              <w:t>PM10</w:t>
            </w:r>
          </w:p>
        </w:tc>
        <w:tc>
          <w:tcPr>
            <w:tcW w:type="dxa" w:w="1299"/>
          </w:tcPr>
          <w:p>
            <w:pPr>
              <w:spacing w:before="20" w:after="20"/>
            </w:pPr>
            <w:r>
              <w:rPr>
                <w:sz w:val="18"/>
              </w:rPr>
              <w:t>1-day</w:t>
            </w:r>
          </w:p>
        </w:tc>
        <w:tc>
          <w:tcPr>
            <w:tcW w:type="dxa" w:w="1504"/>
          </w:tcPr>
          <w:p>
            <w:pPr>
              <w:spacing w:before="20" w:after="20"/>
            </w:pPr>
            <w:r>
              <w:rPr>
                <w:sz w:val="18"/>
              </w:rPr>
              <w:t>26.50</w:t>
            </w:r>
          </w:p>
        </w:tc>
        <w:tc>
          <w:tcPr>
            <w:tcW w:type="dxa" w:w="1504"/>
          </w:tcPr>
          <w:p>
            <w:pPr>
              <w:spacing w:before="20" w:after="20"/>
            </w:pPr>
            <w:r>
              <w:rPr>
                <w:sz w:val="18"/>
              </w:rPr>
              <w:t>35.61</w:t>
            </w:r>
          </w:p>
        </w:tc>
        <w:tc>
          <w:tcPr>
            <w:tcW w:type="dxa" w:w="1504"/>
          </w:tcPr>
          <w:p>
            <w:pPr>
              <w:spacing w:before="20" w:after="20"/>
            </w:pPr>
            <w:r>
              <w:rPr>
                <w:sz w:val="18"/>
              </w:rPr>
              <w:t>33.67</w:t>
            </w:r>
          </w:p>
        </w:tc>
        <w:tc>
          <w:tcPr>
            <w:tcW w:type="dxa" w:w="1504"/>
          </w:tcPr>
          <w:p>
            <w:pPr>
              <w:spacing w:before="20" w:after="20"/>
            </w:pPr>
            <w:r>
              <w:rPr>
                <w:sz w:val="18"/>
              </w:rPr>
              <w:t>30.31</w:t>
            </w:r>
          </w:p>
        </w:tc>
        <w:tc>
          <w:tcPr>
            <w:tcW w:type="dxa" w:w="1504"/>
          </w:tcPr>
          <w:p>
            <w:pPr>
              <w:spacing w:before="20" w:after="20"/>
            </w:pPr>
            <w:r>
              <w:rPr>
                <w:sz w:val="18"/>
              </w:rPr>
              <w:t>10</w:t>
            </w:r>
          </w:p>
        </w:tc>
      </w:tr>
      <w:tr>
        <w:tc>
          <w:tcPr>
            <w:tcW w:type="dxa" w:w="1641"/>
          </w:tcPr>
          <w:p>
            <w:pPr>
              <w:spacing w:before="20" w:after="20"/>
            </w:pPr>
            <w:r>
              <w:rPr>
                <w:sz w:val="18"/>
              </w:rPr>
              <w:t>PM10</w:t>
            </w:r>
          </w:p>
        </w:tc>
        <w:tc>
          <w:tcPr>
            <w:tcW w:type="dxa" w:w="1299"/>
          </w:tcPr>
          <w:p>
            <w:pPr>
              <w:spacing w:before="20" w:after="20"/>
            </w:pPr>
            <w:r>
              <w:rPr>
                <w:sz w:val="18"/>
              </w:rPr>
              <w:t>7-day</w:t>
            </w:r>
          </w:p>
        </w:tc>
        <w:tc>
          <w:tcPr>
            <w:tcW w:type="dxa" w:w="1504"/>
          </w:tcPr>
          <w:p>
            <w:pPr>
              <w:spacing w:before="20" w:after="20"/>
            </w:pPr>
            <w:r>
              <w:rPr>
                <w:sz w:val="18"/>
              </w:rPr>
              <w:t>61.10</w:t>
            </w:r>
          </w:p>
        </w:tc>
        <w:tc>
          <w:tcPr>
            <w:tcW w:type="dxa" w:w="1504"/>
          </w:tcPr>
          <w:p>
            <w:pPr>
              <w:spacing w:before="20" w:after="20"/>
            </w:pPr>
            <w:r>
              <w:rPr>
                <w:sz w:val="18"/>
              </w:rPr>
              <w:t>64.15</w:t>
            </w:r>
          </w:p>
        </w:tc>
        <w:tc>
          <w:tcPr>
            <w:tcW w:type="dxa" w:w="1504"/>
          </w:tcPr>
          <w:p>
            <w:pPr>
              <w:spacing w:before="20" w:after="20"/>
            </w:pPr>
            <w:r>
              <w:rPr>
                <w:sz w:val="18"/>
              </w:rPr>
              <w:t>63.91</w:t>
            </w:r>
          </w:p>
        </w:tc>
        <w:tc>
          <w:tcPr>
            <w:tcW w:type="dxa" w:w="1504"/>
          </w:tcPr>
          <w:p>
            <w:pPr>
              <w:spacing w:before="20" w:after="20"/>
            </w:pPr>
            <w:r>
              <w:rPr>
                <w:sz w:val="18"/>
              </w:rPr>
              <w:t>68.02</w:t>
            </w:r>
          </w:p>
        </w:tc>
        <w:tc>
          <w:tcPr>
            <w:tcW w:type="dxa" w:w="1504"/>
          </w:tcPr>
          <w:p>
            <w:pPr>
              <w:spacing w:before="20" w:after="20"/>
            </w:pPr>
            <w:r>
              <w:rPr>
                <w:sz w:val="18"/>
              </w:rPr>
              <w:t>10</w:t>
            </w:r>
          </w:p>
        </w:tc>
      </w:tr>
      <w:tr>
        <w:tc>
          <w:tcPr>
            <w:tcW w:type="dxa" w:w="1641"/>
          </w:tcPr>
          <w:p>
            <w:pPr>
              <w:spacing w:before="20" w:after="20"/>
            </w:pPr>
            <w:r>
              <w:rPr>
                <w:sz w:val="18"/>
              </w:rPr>
              <w:t>PM10</w:t>
            </w:r>
          </w:p>
        </w:tc>
        <w:tc>
          <w:tcPr>
            <w:tcW w:type="dxa" w:w="1299"/>
          </w:tcPr>
          <w:p>
            <w:pPr>
              <w:spacing w:before="20" w:after="20"/>
            </w:pPr>
            <w:r>
              <w:rPr>
                <w:sz w:val="18"/>
              </w:rPr>
              <w:t>30-day</w:t>
            </w:r>
          </w:p>
        </w:tc>
        <w:tc>
          <w:tcPr>
            <w:tcW w:type="dxa" w:w="1504"/>
          </w:tcPr>
          <w:p>
            <w:pPr>
              <w:spacing w:before="20" w:after="20"/>
            </w:pPr>
            <w:r>
              <w:rPr>
                <w:sz w:val="18"/>
              </w:rPr>
              <w:t>55.92</w:t>
            </w:r>
          </w:p>
        </w:tc>
        <w:tc>
          <w:tcPr>
            <w:tcW w:type="dxa" w:w="1504"/>
          </w:tcPr>
          <w:p>
            <w:pPr>
              <w:spacing w:before="20" w:after="20"/>
            </w:pPr>
            <w:r>
              <w:rPr>
                <w:sz w:val="18"/>
              </w:rPr>
              <w:t>54.80</w:t>
            </w:r>
          </w:p>
        </w:tc>
        <w:tc>
          <w:tcPr>
            <w:tcW w:type="dxa" w:w="1504"/>
          </w:tcPr>
          <w:p>
            <w:pPr>
              <w:spacing w:before="20" w:after="20"/>
            </w:pPr>
            <w:r>
              <w:rPr>
                <w:sz w:val="18"/>
              </w:rPr>
              <w:t>53.89</w:t>
            </w:r>
          </w:p>
        </w:tc>
        <w:tc>
          <w:tcPr>
            <w:tcW w:type="dxa" w:w="1504"/>
          </w:tcPr>
          <w:p>
            <w:pPr>
              <w:spacing w:before="20" w:after="20"/>
            </w:pPr>
            <w:r>
              <w:rPr>
                <w:sz w:val="18"/>
              </w:rPr>
              <w:t>50.98</w:t>
            </w:r>
          </w:p>
        </w:tc>
        <w:tc>
          <w:tcPr>
            <w:tcW w:type="dxa" w:w="1504"/>
          </w:tcPr>
          <w:p>
            <w:pPr>
              <w:spacing w:before="20" w:after="20"/>
            </w:pPr>
            <w:r>
              <w:rPr>
                <w:sz w:val="18"/>
              </w:rPr>
              <w:t>10</w:t>
            </w:r>
          </w:p>
        </w:tc>
      </w:tr>
      <w:tr>
        <w:tc>
          <w:tcPr>
            <w:tcW w:type="dxa" w:w="1641"/>
          </w:tcPr>
          <w:p>
            <w:pPr>
              <w:spacing w:before="20" w:after="20"/>
            </w:pPr>
            <w:r>
              <w:rPr>
                <w:sz w:val="18"/>
              </w:rPr>
              <w:t>PM25</w:t>
            </w:r>
          </w:p>
        </w:tc>
        <w:tc>
          <w:tcPr>
            <w:tcW w:type="dxa" w:w="1299"/>
          </w:tcPr>
          <w:p>
            <w:pPr>
              <w:spacing w:before="20" w:after="20"/>
            </w:pPr>
            <w:r>
              <w:rPr>
                <w:sz w:val="18"/>
              </w:rPr>
              <w:t>1-day</w:t>
            </w:r>
          </w:p>
        </w:tc>
        <w:tc>
          <w:tcPr>
            <w:tcW w:type="dxa" w:w="1504"/>
          </w:tcPr>
          <w:p>
            <w:pPr>
              <w:spacing w:before="20" w:after="20"/>
            </w:pPr>
            <w:r>
              <w:rPr>
                <w:sz w:val="18"/>
              </w:rPr>
              <w:t>43.64</w:t>
            </w:r>
          </w:p>
        </w:tc>
        <w:tc>
          <w:tcPr>
            <w:tcW w:type="dxa" w:w="1504"/>
          </w:tcPr>
          <w:p>
            <w:pPr>
              <w:spacing w:before="20" w:after="20"/>
            </w:pPr>
            <w:r>
              <w:rPr>
                <w:sz w:val="18"/>
              </w:rPr>
              <w:t>48.60</w:t>
            </w:r>
          </w:p>
        </w:tc>
        <w:tc>
          <w:tcPr>
            <w:tcW w:type="dxa" w:w="1504"/>
          </w:tcPr>
          <w:p>
            <w:pPr>
              <w:spacing w:before="20" w:after="20"/>
            </w:pPr>
            <w:r>
              <w:rPr>
                <w:sz w:val="18"/>
              </w:rPr>
              <w:t>46.83</w:t>
            </w:r>
          </w:p>
        </w:tc>
        <w:tc>
          <w:tcPr>
            <w:tcW w:type="dxa" w:w="1504"/>
          </w:tcPr>
          <w:p>
            <w:pPr>
              <w:spacing w:before="20" w:after="20"/>
            </w:pPr>
            <w:r>
              <w:rPr>
                <w:sz w:val="18"/>
              </w:rPr>
              <w:t>46.98</w:t>
            </w:r>
          </w:p>
        </w:tc>
        <w:tc>
          <w:tcPr>
            <w:tcW w:type="dxa" w:w="1504"/>
          </w:tcPr>
          <w:p>
            <w:pPr>
              <w:spacing w:before="20" w:after="20"/>
            </w:pPr>
            <w:r>
              <w:rPr>
                <w:sz w:val="18"/>
              </w:rPr>
              <w:t>14</w:t>
            </w:r>
          </w:p>
        </w:tc>
      </w:tr>
      <w:tr>
        <w:tc>
          <w:tcPr>
            <w:tcW w:type="dxa" w:w="1641"/>
          </w:tcPr>
          <w:p>
            <w:pPr>
              <w:spacing w:before="20" w:after="20"/>
            </w:pPr>
            <w:r>
              <w:rPr>
                <w:sz w:val="18"/>
              </w:rPr>
              <w:t>PM25</w:t>
            </w:r>
          </w:p>
        </w:tc>
        <w:tc>
          <w:tcPr>
            <w:tcW w:type="dxa" w:w="1299"/>
          </w:tcPr>
          <w:p>
            <w:pPr>
              <w:spacing w:before="20" w:after="20"/>
            </w:pPr>
            <w:r>
              <w:rPr>
                <w:sz w:val="18"/>
              </w:rPr>
              <w:t>7-day</w:t>
            </w:r>
          </w:p>
        </w:tc>
        <w:tc>
          <w:tcPr>
            <w:tcW w:type="dxa" w:w="1504"/>
          </w:tcPr>
          <w:p>
            <w:pPr>
              <w:spacing w:before="20" w:after="20"/>
            </w:pPr>
            <w:r>
              <w:rPr>
                <w:sz w:val="18"/>
              </w:rPr>
              <w:t>56.54</w:t>
            </w:r>
          </w:p>
        </w:tc>
        <w:tc>
          <w:tcPr>
            <w:tcW w:type="dxa" w:w="1504"/>
          </w:tcPr>
          <w:p>
            <w:pPr>
              <w:spacing w:before="20" w:after="20"/>
            </w:pPr>
            <w:r>
              <w:rPr>
                <w:sz w:val="18"/>
              </w:rPr>
              <w:t>58.88</w:t>
            </w:r>
          </w:p>
        </w:tc>
        <w:tc>
          <w:tcPr>
            <w:tcW w:type="dxa" w:w="1504"/>
          </w:tcPr>
          <w:p>
            <w:pPr>
              <w:spacing w:before="20" w:after="20"/>
            </w:pPr>
            <w:r>
              <w:rPr>
                <w:sz w:val="18"/>
              </w:rPr>
              <w:t>59.44</w:t>
            </w:r>
          </w:p>
        </w:tc>
        <w:tc>
          <w:tcPr>
            <w:tcW w:type="dxa" w:w="1504"/>
          </w:tcPr>
          <w:p>
            <w:pPr>
              <w:spacing w:before="20" w:after="20"/>
            </w:pPr>
            <w:r>
              <w:rPr>
                <w:sz w:val="18"/>
              </w:rPr>
              <w:t>60.84</w:t>
            </w:r>
          </w:p>
        </w:tc>
        <w:tc>
          <w:tcPr>
            <w:tcW w:type="dxa" w:w="1504"/>
          </w:tcPr>
          <w:p>
            <w:pPr>
              <w:spacing w:before="20" w:after="20"/>
            </w:pPr>
            <w:r>
              <w:rPr>
                <w:sz w:val="18"/>
              </w:rPr>
              <w:t>14</w:t>
            </w:r>
          </w:p>
        </w:tc>
      </w:tr>
      <w:tr>
        <w:tc>
          <w:tcPr>
            <w:tcW w:type="dxa" w:w="1641"/>
          </w:tcPr>
          <w:p>
            <w:pPr>
              <w:spacing w:before="20" w:after="20"/>
            </w:pPr>
            <w:r>
              <w:rPr>
                <w:sz w:val="18"/>
              </w:rPr>
              <w:t>PM25</w:t>
            </w:r>
          </w:p>
        </w:tc>
        <w:tc>
          <w:tcPr>
            <w:tcW w:type="dxa" w:w="1299"/>
          </w:tcPr>
          <w:p>
            <w:pPr>
              <w:spacing w:before="20" w:after="20"/>
            </w:pPr>
            <w:r>
              <w:rPr>
                <w:sz w:val="18"/>
              </w:rPr>
              <w:t>30-day</w:t>
            </w:r>
          </w:p>
        </w:tc>
        <w:tc>
          <w:tcPr>
            <w:tcW w:type="dxa" w:w="1504"/>
          </w:tcPr>
          <w:p>
            <w:pPr>
              <w:spacing w:before="20" w:after="20"/>
            </w:pPr>
            <w:r>
              <w:rPr>
                <w:sz w:val="18"/>
              </w:rPr>
              <w:t>38.43</w:t>
            </w:r>
          </w:p>
        </w:tc>
        <w:tc>
          <w:tcPr>
            <w:tcW w:type="dxa" w:w="1504"/>
          </w:tcPr>
          <w:p>
            <w:pPr>
              <w:spacing w:before="20" w:after="20"/>
            </w:pPr>
            <w:r>
              <w:rPr>
                <w:sz w:val="18"/>
              </w:rPr>
              <w:t>61.83</w:t>
            </w:r>
          </w:p>
        </w:tc>
        <w:tc>
          <w:tcPr>
            <w:tcW w:type="dxa" w:w="1504"/>
          </w:tcPr>
          <w:p>
            <w:pPr>
              <w:spacing w:before="20" w:after="20"/>
            </w:pPr>
            <w:r>
              <w:rPr>
                <w:sz w:val="18"/>
              </w:rPr>
              <w:t>59.89</w:t>
            </w:r>
          </w:p>
        </w:tc>
        <w:tc>
          <w:tcPr>
            <w:tcW w:type="dxa" w:w="1504"/>
          </w:tcPr>
          <w:p>
            <w:pPr>
              <w:spacing w:before="20" w:after="20"/>
            </w:pPr>
            <w:r>
              <w:rPr>
                <w:sz w:val="18"/>
              </w:rPr>
              <w:t>56.05</w:t>
            </w:r>
          </w:p>
        </w:tc>
        <w:tc>
          <w:tcPr>
            <w:tcW w:type="dxa" w:w="1504"/>
          </w:tcPr>
          <w:p>
            <w:pPr>
              <w:spacing w:before="20" w:after="20"/>
            </w:pPr>
            <w:r>
              <w:rPr>
                <w:sz w:val="18"/>
              </w:rPr>
              <w:t>14</w:t>
            </w:r>
          </w:p>
        </w:tc>
      </w:tr>
      <w:tr>
        <w:tc>
          <w:tcPr>
            <w:tcW w:type="dxa" w:w="1641"/>
          </w:tcPr>
          <w:p>
            <w:pPr>
              <w:spacing w:before="20" w:after="20"/>
            </w:pPr>
            <w:r>
              <w:rPr>
                <w:sz w:val="18"/>
              </w:rPr>
              <w:t>NO2</w:t>
            </w:r>
          </w:p>
        </w:tc>
        <w:tc>
          <w:tcPr>
            <w:tcW w:type="dxa" w:w="1299"/>
          </w:tcPr>
          <w:p>
            <w:pPr>
              <w:spacing w:before="20" w:after="20"/>
            </w:pPr>
            <w:r>
              <w:rPr>
                <w:sz w:val="18"/>
              </w:rPr>
              <w:t>1-day</w:t>
            </w:r>
          </w:p>
        </w:tc>
        <w:tc>
          <w:tcPr>
            <w:tcW w:type="dxa" w:w="1504"/>
          </w:tcPr>
          <w:p>
            <w:pPr>
              <w:spacing w:before="20" w:after="20"/>
            </w:pPr>
            <w:r>
              <w:rPr>
                <w:sz w:val="18"/>
              </w:rPr>
              <w:t>12.24</w:t>
            </w:r>
          </w:p>
        </w:tc>
        <w:tc>
          <w:tcPr>
            <w:tcW w:type="dxa" w:w="1504"/>
          </w:tcPr>
          <w:p>
            <w:pPr>
              <w:spacing w:before="20" w:after="20"/>
            </w:pPr>
            <w:r>
              <w:rPr>
                <w:sz w:val="18"/>
              </w:rPr>
              <w:t>17.24</w:t>
            </w:r>
          </w:p>
        </w:tc>
        <w:tc>
          <w:tcPr>
            <w:tcW w:type="dxa" w:w="1504"/>
          </w:tcPr>
          <w:p>
            <w:pPr>
              <w:spacing w:before="20" w:after="20"/>
            </w:pPr>
            <w:r>
              <w:rPr>
                <w:sz w:val="18"/>
              </w:rPr>
              <w:t>9.64</w:t>
            </w:r>
          </w:p>
        </w:tc>
        <w:tc>
          <w:tcPr>
            <w:tcW w:type="dxa" w:w="1504"/>
          </w:tcPr>
          <w:p>
            <w:pPr>
              <w:spacing w:before="20" w:after="20"/>
            </w:pPr>
            <w:r>
              <w:rPr>
                <w:sz w:val="18"/>
              </w:rPr>
              <w:t>16.41</w:t>
            </w:r>
          </w:p>
        </w:tc>
        <w:tc>
          <w:tcPr>
            <w:tcW w:type="dxa" w:w="1504"/>
          </w:tcPr>
          <w:p>
            <w:pPr>
              <w:spacing w:before="20" w:after="20"/>
            </w:pPr>
            <w:r>
              <w:rPr>
                <w:sz w:val="18"/>
              </w:rPr>
              <w:t>10</w:t>
            </w:r>
          </w:p>
        </w:tc>
      </w:tr>
      <w:tr>
        <w:tc>
          <w:tcPr>
            <w:tcW w:type="dxa" w:w="1641"/>
          </w:tcPr>
          <w:p>
            <w:pPr>
              <w:spacing w:before="20" w:after="20"/>
            </w:pPr>
            <w:r>
              <w:rPr>
                <w:sz w:val="18"/>
              </w:rPr>
              <w:t>NO2</w:t>
            </w:r>
          </w:p>
        </w:tc>
        <w:tc>
          <w:tcPr>
            <w:tcW w:type="dxa" w:w="1299"/>
          </w:tcPr>
          <w:p>
            <w:pPr>
              <w:spacing w:before="20" w:after="20"/>
            </w:pPr>
            <w:r>
              <w:rPr>
                <w:sz w:val="18"/>
              </w:rPr>
              <w:t>7-day</w:t>
            </w:r>
          </w:p>
        </w:tc>
        <w:tc>
          <w:tcPr>
            <w:tcW w:type="dxa" w:w="1504"/>
          </w:tcPr>
          <w:p>
            <w:pPr>
              <w:spacing w:before="20" w:after="20"/>
            </w:pPr>
            <w:r>
              <w:rPr>
                <w:sz w:val="18"/>
              </w:rPr>
              <w:t>43.52</w:t>
            </w:r>
          </w:p>
        </w:tc>
        <w:tc>
          <w:tcPr>
            <w:tcW w:type="dxa" w:w="1504"/>
          </w:tcPr>
          <w:p>
            <w:pPr>
              <w:spacing w:before="20" w:after="20"/>
            </w:pPr>
            <w:r>
              <w:rPr>
                <w:sz w:val="18"/>
              </w:rPr>
              <w:t>44.84</w:t>
            </w:r>
          </w:p>
        </w:tc>
        <w:tc>
          <w:tcPr>
            <w:tcW w:type="dxa" w:w="1504"/>
          </w:tcPr>
          <w:p>
            <w:pPr>
              <w:spacing w:before="20" w:after="20"/>
            </w:pPr>
            <w:r>
              <w:rPr>
                <w:sz w:val="18"/>
              </w:rPr>
              <w:t>42.58</w:t>
            </w:r>
          </w:p>
        </w:tc>
        <w:tc>
          <w:tcPr>
            <w:tcW w:type="dxa" w:w="1504"/>
          </w:tcPr>
          <w:p>
            <w:pPr>
              <w:spacing w:before="20" w:after="20"/>
            </w:pPr>
            <w:r>
              <w:rPr>
                <w:sz w:val="18"/>
              </w:rPr>
              <w:t>41.32</w:t>
            </w:r>
          </w:p>
        </w:tc>
        <w:tc>
          <w:tcPr>
            <w:tcW w:type="dxa" w:w="1504"/>
          </w:tcPr>
          <w:p>
            <w:pPr>
              <w:spacing w:before="20" w:after="20"/>
            </w:pPr>
            <w:r>
              <w:rPr>
                <w:sz w:val="18"/>
              </w:rPr>
              <w:t>10</w:t>
            </w:r>
          </w:p>
        </w:tc>
      </w:tr>
      <w:tr>
        <w:tc>
          <w:tcPr>
            <w:tcW w:type="dxa" w:w="1641"/>
          </w:tcPr>
          <w:p>
            <w:pPr>
              <w:spacing w:before="20" w:after="20"/>
            </w:pPr>
            <w:r>
              <w:rPr>
                <w:sz w:val="18"/>
              </w:rPr>
              <w:t>NO2</w:t>
            </w:r>
          </w:p>
        </w:tc>
        <w:tc>
          <w:tcPr>
            <w:tcW w:type="dxa" w:w="1299"/>
          </w:tcPr>
          <w:p>
            <w:pPr>
              <w:spacing w:before="20" w:after="20"/>
            </w:pPr>
            <w:r>
              <w:rPr>
                <w:sz w:val="18"/>
              </w:rPr>
              <w:t>30-day</w:t>
            </w:r>
          </w:p>
        </w:tc>
        <w:tc>
          <w:tcPr>
            <w:tcW w:type="dxa" w:w="1504"/>
          </w:tcPr>
          <w:p>
            <w:pPr>
              <w:spacing w:before="20" w:after="20"/>
            </w:pPr>
            <w:r>
              <w:rPr>
                <w:sz w:val="18"/>
              </w:rPr>
              <w:t>4.01</w:t>
            </w:r>
          </w:p>
        </w:tc>
        <w:tc>
          <w:tcPr>
            <w:tcW w:type="dxa" w:w="1504"/>
          </w:tcPr>
          <w:p>
            <w:pPr>
              <w:spacing w:before="20" w:after="20"/>
            </w:pPr>
            <w:r>
              <w:rPr>
                <w:sz w:val="18"/>
              </w:rPr>
              <w:t>4.46</w:t>
            </w:r>
          </w:p>
        </w:tc>
        <w:tc>
          <w:tcPr>
            <w:tcW w:type="dxa" w:w="1504"/>
          </w:tcPr>
          <w:p>
            <w:pPr>
              <w:spacing w:before="20" w:after="20"/>
            </w:pPr>
            <w:r>
              <w:rPr>
                <w:sz w:val="18"/>
              </w:rPr>
              <w:t>6.85</w:t>
            </w:r>
          </w:p>
        </w:tc>
        <w:tc>
          <w:tcPr>
            <w:tcW w:type="dxa" w:w="1504"/>
          </w:tcPr>
          <w:p>
            <w:pPr>
              <w:spacing w:before="20" w:after="20"/>
            </w:pPr>
            <w:r>
              <w:rPr>
                <w:sz w:val="18"/>
              </w:rPr>
              <w:t>6.44</w:t>
            </w:r>
          </w:p>
        </w:tc>
        <w:tc>
          <w:tcPr>
            <w:tcW w:type="dxa" w:w="1504"/>
          </w:tcPr>
          <w:p>
            <w:pPr>
              <w:spacing w:before="20" w:after="20"/>
            </w:pPr>
            <w:r>
              <w:rPr>
                <w:sz w:val="18"/>
              </w:rPr>
              <w:t>10</w:t>
            </w:r>
          </w:p>
        </w:tc>
      </w:tr>
    </w:tbl>
    <w:p>
      <w:pPr>
        <w:spacing w:before="0" w:after="0" w:lineRule="exact" w:line="140"/>
      </w:pPr>
    </w:p>
    <w:p>
      <w:pPr>
        <w:pStyle w:val="MDPI22heading2"/>
      </w:pPr>
      <w:r>
        <w:t>4.4. Computational Cost</w:t>
      </w:r>
    </w:p>
    <w:p>
      <w:pPr>
        <w:pStyle w:val="MDPI31text"/>
      </w:pPr>
      <w:r>
        <w:t>Cost separates the two approaches as much as accuracy does. The deep baseline's BiLSTM stage is documented at 247.3 s of GPU (T4) time per training fold, in addition to an offline hyperparameter campaign, and no end-to-end wall time is reported for it. The proposal's components retrain in seconds; the entire twenty-three-candidate benchmark of this study - every retrain at every fold, origin, and horizon - completes in about 17 min on a four-core consumer CPU, and a trained final model answers a new forecast interactively. For a municipal deployment pipeline that retrains daily, the difference is the difference between feasible and aspirational.</w:t>
      </w:r>
    </w:p>
    <w:p>
      <w:pPr>
        <w:pStyle w:val="MDPI22heading2"/>
      </w:pPr>
      <w:r>
        <w:t>4.5. Component Ablation of the Proposal</w:t>
      </w:r>
    </w:p>
    <w:p>
      <w:pPr>
        <w:pStyle w:val="MDPI31text"/>
      </w:pPr>
      <w:r>
        <w:t>Two ablations verify that the ensemble, not a single lucky member, carries the result. First, removing either component hurts: the LightGBM branch alone improves on the deep baseline by roughly half the ensemble's aggregate margin, the Theta branch alone trails the deep baseline on aggregate, and only their average attains the full gain - confirming that episode-shape learning and seasonal-structural extrapolation are complementary rather than redundant. Second, replacing the equal-weight average by a validation-weighted combination does not change the ranking of the top arms, so the gain is not a calibration accident. A further ablation replaces the Theta component's weekly handling by sine/cosine calendar markers inside the learner; the gaseous short-horizon deficit against the deep baseline then reappears - direct evidence that weekly seasonality must be structural, not merely encoded.</w:t>
      </w:r>
    </w:p>
    <w:p>
      <w:pPr>
        <w:pStyle w:val="MDPI21heading1"/>
      </w:pPr>
      <w:r>
        <w:t>5. Discussions and Implications</w:t>
      </w:r>
    </w:p>
    <w:p>
      <w:pPr>
        <w:pStyle w:val="MDPI31text"/>
      </w:pPr>
      <w:r>
        <w:t>For modellers, the message is about where capacity pays. On a five-year daily task of this profile, a gradient-boosted learner with honest features matches most of a 544,513-parameter recurrent stage's accuracy, and a classical Theta frame supplies the structural part the tree cannot infer from numbers alone. This is consistent with competition-scale evidence that boosted trees are difficult to beat on daily tabular series [8,16] and with meta-analytic observations that classical methods remain competitive with machine learning at daily granularity [16]. None of this makes deep hybrids useless; it makes their marginal parameter expensive relative to a two-component CPU ensemble that can be reasoned about line by line.</w:t>
      </w:r>
    </w:p>
    <w:p>
      <w:pPr>
        <w:pStyle w:val="MDPI31text"/>
      </w:pPr>
      <w:r>
        <w:t>The weekly-seasonality finding has practical teeth. Calendar encodings tell a model which phase a rhythm is in; they do not license it to trust that the rhythm continues - which is why the calendar-marker ablation reopens the NO2 short-horizon gap that the Theta component closes. Practitioners tuning boosted models for traffic-driven gaseous pollutants should therefore budget for an explicit seasonal mechanism rather than more feature engineering.</w:t>
      </w:r>
    </w:p>
    <w:p>
      <w:pPr>
        <w:pStyle w:val="MDPI31text"/>
      </w:pPr>
      <w:r>
        <w:t>For operators of municipal air quality systems, the proposal changes the deployment calculus. A CPU-native, fully reproducible ensemble that is at least as accurate as the published deep baseline, auditable end to end, and retrainable daily removes the GPU dependency that keeps advanced forecasting out of smaller city networks. Its natural next layer - calibrated quantile outputs - maps directly to warning workflows against WHO guideline exceedances [2].</w:t>
      </w:r>
    </w:p>
    <w:p>
      <w:pPr>
        <w:pStyle w:val="MDPI31text"/>
      </w:pPr>
      <w:r>
        <w:t>Limitations frame the claim's scope. One city, five years, three pollutants - transferability is asserted, not shown. The NO2 1- and 7-day cells remain lost points, motivating explicit short-horizon seasonal structures in future work. Primary scoring is on the Box-Cox scale for cross-pollutant fairness, with raw-scale MAPE and the appendix figures restoring physical interpretation. The no-exogenous-variable constraint, chosen for comparability with [7], forgoes any meteorological signal; the accuracy-cost frontier under exogenous inputs is a separate study. Finally, the deep baseline is a rebuild from the authors' description rather than their released artefact; the rebuild itself was therefore validated against the published per-pollutant behaviour before serving as the benchmark's anchor.</w:t>
      </w:r>
    </w:p>
    <w:p>
      <w:pPr>
        <w:pStyle w:val="MDPI21heading1"/>
      </w:pPr>
      <w:r>
        <w:t>6. Conclusions</w:t>
      </w:r>
    </w:p>
    <w:p>
      <w:pPr>
        <w:pStyle w:val="MDPI31text"/>
      </w:pPr>
      <w:r>
        <w:t>This paper proposed a lightweight univariate ensemble - a direct LightGBM model on lag and calendar features averaged with a weekly-seasonal Theta extrapolator - for daily PM10, PM2.5, and NO2 forecasting, and tested it against twenty-two baselines under one frozen protocol that includes a rebuilt state-of-the-art deep hybrid [7]. The proposal lowered RMSE in the majority of cells (7/9; aggregate 5.5% on the Box-Cox scale), suffered no statistically significant defeat, matched the baseline's residual diagnostics, improved extreme-episode MAPE, and reduced compute by orders of magnitude. Two lessons generalise: weekly seasonality in traffic-driven pollutants demands explicit structural handling, and deeper recurrent machinery is not the cheapest route to daily accuracy on tasks of this profile. Future work will add a calibrated quantile layer for threshold warnings, test adaptive decompositions as further component swaps under the same frozen protocol, and extend the ensemble spatially once station-level network data are available.</w:t>
      </w:r>
    </w:p>
    <w:p>
      <w:pPr>
        <w:pStyle w:val="MDPI22heading2"/>
      </w:pPr>
      <w:r>
        <w:t>Appendix A. Forecast Trajectories</w:t>
      </w:r>
    </w:p>
    <w:p>
      <w:pPr>
        <w:pStyle w:val="MDPI31text"/>
      </w:pPr>
      <w:r>
        <w:t>Figures A1-A9 show, for each pollutant and horizon, the actual Box-Cox series against the deep hybrid baseline and the proposed ensemble at every available forecast origin (chronological).</w:t>
      </w:r>
    </w:p>
    <w:p>
      <w:pPr>
        <w:pStyle w:val="MDPI52figure"/>
        <w:keepNext/>
        <w:spacing w:before="200" w:after="80"/>
        <w:jc w:val="center"/>
      </w:pPr>
      <w:r>
        <w:drawing>
          <wp:inline xmlns:a="http://schemas.openxmlformats.org/drawingml/2006/main" xmlns:pic="http://schemas.openxmlformats.org/drawingml/2006/picture">
            <wp:extent cx="6126480" cy="2236651"/>
            <wp:docPr id="7" name="Picture 7"/>
            <wp:cNvGraphicFramePr>
              <a:graphicFrameLocks noChangeAspect="1"/>
            </wp:cNvGraphicFramePr>
            <a:graphic>
              <a:graphicData uri="http://schemas.openxmlformats.org/drawingml/2006/picture">
                <pic:pic>
                  <pic:nvPicPr>
                    <pic:cNvPr id="0" name="figA1_PM10_h1.png"/>
                    <pic:cNvPicPr/>
                  </pic:nvPicPr>
                  <pic:blipFill>
                    <a:blip r:embed="rId24"/>
                    <a:stretch>
                      <a:fillRect/>
                    </a:stretch>
                  </pic:blipFill>
                  <pic:spPr>
                    <a:xfrm>
                      <a:off x="0" y="0"/>
                      <a:ext cx="6126480" cy="2236651"/>
                    </a:xfrm>
                    <a:prstGeom prst="rect"/>
                  </pic:spPr>
                </pic:pic>
              </a:graphicData>
            </a:graphic>
          </wp:inline>
        </w:drawing>
      </w:r>
    </w:p>
    <w:p>
      <w:pPr>
        <w:pStyle w:val="MDPI51figurecaption"/>
        <w:spacing w:after="240"/>
      </w:pPr>
      <w:r>
        <w:t>Figure A1. PM10 predictions: Actual vs. Deep Hybrid Baseline vs. Proposed Ensemble (h=1, Box-Cox scale).</w:t>
      </w:r>
    </w:p>
    <w:p>
      <w:pPr>
        <w:spacing w:before="0" w:after="0" w:lineRule="exact" w:line="100"/>
      </w:pPr>
    </w:p>
    <w:p>
      <w:pPr>
        <w:pStyle w:val="MDPI52figure"/>
        <w:keepNext/>
        <w:spacing w:before="200" w:after="80"/>
        <w:jc w:val="center"/>
      </w:pPr>
      <w:r>
        <w:drawing>
          <wp:inline xmlns:a="http://schemas.openxmlformats.org/drawingml/2006/main" xmlns:pic="http://schemas.openxmlformats.org/drawingml/2006/picture">
            <wp:extent cx="6126480" cy="2236651"/>
            <wp:docPr id="8" name="Picture 8"/>
            <wp:cNvGraphicFramePr>
              <a:graphicFrameLocks noChangeAspect="1"/>
            </wp:cNvGraphicFramePr>
            <a:graphic>
              <a:graphicData uri="http://schemas.openxmlformats.org/drawingml/2006/picture">
                <pic:pic>
                  <pic:nvPicPr>
                    <pic:cNvPr id="0" name="figA2_PM10_h7.png"/>
                    <pic:cNvPicPr/>
                  </pic:nvPicPr>
                  <pic:blipFill>
                    <a:blip r:embed="rId25"/>
                    <a:stretch>
                      <a:fillRect/>
                    </a:stretch>
                  </pic:blipFill>
                  <pic:spPr>
                    <a:xfrm>
                      <a:off x="0" y="0"/>
                      <a:ext cx="6126480" cy="2236651"/>
                    </a:xfrm>
                    <a:prstGeom prst="rect"/>
                  </pic:spPr>
                </pic:pic>
              </a:graphicData>
            </a:graphic>
          </wp:inline>
        </w:drawing>
      </w:r>
    </w:p>
    <w:p>
      <w:pPr>
        <w:pStyle w:val="MDPI51figurecaption"/>
        <w:spacing w:after="240"/>
      </w:pPr>
      <w:r>
        <w:t>Figure A2. PM10 predictions: Actual vs. Deep Hybrid Baseline vs. Proposed Ensemble (h=7, Box-Cox scale).</w:t>
      </w:r>
    </w:p>
    <w:p>
      <w:pPr>
        <w:spacing w:before="0" w:after="0" w:lineRule="exact" w:line="100"/>
      </w:pPr>
    </w:p>
    <w:p>
      <w:pPr>
        <w:pStyle w:val="MDPI52figure"/>
        <w:keepNext/>
        <w:spacing w:before="200" w:after="80"/>
        <w:jc w:val="center"/>
      </w:pPr>
      <w:r>
        <w:drawing>
          <wp:inline xmlns:a="http://schemas.openxmlformats.org/drawingml/2006/main" xmlns:pic="http://schemas.openxmlformats.org/drawingml/2006/picture">
            <wp:extent cx="6126480" cy="2240963"/>
            <wp:docPr id="9" name="Picture 9"/>
            <wp:cNvGraphicFramePr>
              <a:graphicFrameLocks noChangeAspect="1"/>
            </wp:cNvGraphicFramePr>
            <a:graphic>
              <a:graphicData uri="http://schemas.openxmlformats.org/drawingml/2006/picture">
                <pic:pic>
                  <pic:nvPicPr>
                    <pic:cNvPr id="0" name="figA3_PM10_h30.png"/>
                    <pic:cNvPicPr/>
                  </pic:nvPicPr>
                  <pic:blipFill>
                    <a:blip r:embed="rId26"/>
                    <a:stretch>
                      <a:fillRect/>
                    </a:stretch>
                  </pic:blipFill>
                  <pic:spPr>
                    <a:xfrm>
                      <a:off x="0" y="0"/>
                      <a:ext cx="6126480" cy="2240963"/>
                    </a:xfrm>
                    <a:prstGeom prst="rect"/>
                  </pic:spPr>
                </pic:pic>
              </a:graphicData>
            </a:graphic>
          </wp:inline>
        </w:drawing>
      </w:r>
    </w:p>
    <w:p>
      <w:pPr>
        <w:pStyle w:val="MDPI51figurecaption"/>
        <w:spacing w:after="240"/>
      </w:pPr>
      <w:r>
        <w:t>Figure A3. PM10 predictions: Actual vs. Deep Hybrid Baseline vs. Proposed Ensemble (h=30, Box-Cox scale).</w:t>
      </w:r>
    </w:p>
    <w:p>
      <w:pPr>
        <w:spacing w:before="0" w:after="0" w:lineRule="exact" w:line="100"/>
      </w:pPr>
    </w:p>
    <w:p>
      <w:pPr>
        <w:pStyle w:val="MDPI52figure"/>
        <w:keepNext/>
        <w:spacing w:before="200" w:after="80"/>
        <w:jc w:val="center"/>
      </w:pPr>
      <w:r>
        <w:drawing>
          <wp:inline xmlns:a="http://schemas.openxmlformats.org/drawingml/2006/main" xmlns:pic="http://schemas.openxmlformats.org/drawingml/2006/picture">
            <wp:extent cx="6126480" cy="2236651"/>
            <wp:docPr id="10" name="Picture 10"/>
            <wp:cNvGraphicFramePr>
              <a:graphicFrameLocks noChangeAspect="1"/>
            </wp:cNvGraphicFramePr>
            <a:graphic>
              <a:graphicData uri="http://schemas.openxmlformats.org/drawingml/2006/picture">
                <pic:pic>
                  <pic:nvPicPr>
                    <pic:cNvPr id="0" name="figA4_PM25_h1.png"/>
                    <pic:cNvPicPr/>
                  </pic:nvPicPr>
                  <pic:blipFill>
                    <a:blip r:embed="rId27"/>
                    <a:stretch>
                      <a:fillRect/>
                    </a:stretch>
                  </pic:blipFill>
                  <pic:spPr>
                    <a:xfrm>
                      <a:off x="0" y="0"/>
                      <a:ext cx="6126480" cy="2236651"/>
                    </a:xfrm>
                    <a:prstGeom prst="rect"/>
                  </pic:spPr>
                </pic:pic>
              </a:graphicData>
            </a:graphic>
          </wp:inline>
        </w:drawing>
      </w:r>
    </w:p>
    <w:p>
      <w:pPr>
        <w:pStyle w:val="MDPI51figurecaption"/>
        <w:spacing w:after="240"/>
      </w:pPr>
      <w:r>
        <w:t>Figure A4. PM25 predictions: Actual vs. Deep Hybrid Baseline vs. Proposed Ensemble (h=1, Box-Cox scale).</w:t>
      </w:r>
    </w:p>
    <w:p>
      <w:pPr>
        <w:spacing w:before="0" w:after="0" w:lineRule="exact" w:line="100"/>
      </w:pPr>
    </w:p>
    <w:p>
      <w:pPr>
        <w:pStyle w:val="MDPI52figure"/>
        <w:keepNext/>
        <w:spacing w:before="200" w:after="80"/>
        <w:jc w:val="center"/>
      </w:pPr>
      <w:r>
        <w:drawing>
          <wp:inline xmlns:a="http://schemas.openxmlformats.org/drawingml/2006/main" xmlns:pic="http://schemas.openxmlformats.org/drawingml/2006/picture">
            <wp:extent cx="6126480" cy="2236651"/>
            <wp:docPr id="11" name="Picture 11"/>
            <wp:cNvGraphicFramePr>
              <a:graphicFrameLocks noChangeAspect="1"/>
            </wp:cNvGraphicFramePr>
            <a:graphic>
              <a:graphicData uri="http://schemas.openxmlformats.org/drawingml/2006/picture">
                <pic:pic>
                  <pic:nvPicPr>
                    <pic:cNvPr id="0" name="figA5_PM25_h7.png"/>
                    <pic:cNvPicPr/>
                  </pic:nvPicPr>
                  <pic:blipFill>
                    <a:blip r:embed="rId28"/>
                    <a:stretch>
                      <a:fillRect/>
                    </a:stretch>
                  </pic:blipFill>
                  <pic:spPr>
                    <a:xfrm>
                      <a:off x="0" y="0"/>
                      <a:ext cx="6126480" cy="2236651"/>
                    </a:xfrm>
                    <a:prstGeom prst="rect"/>
                  </pic:spPr>
                </pic:pic>
              </a:graphicData>
            </a:graphic>
          </wp:inline>
        </w:drawing>
      </w:r>
    </w:p>
    <w:p>
      <w:pPr>
        <w:pStyle w:val="MDPI51figurecaption"/>
        <w:spacing w:after="240"/>
      </w:pPr>
      <w:r>
        <w:t>Figure A5. PM25 predictions: Actual vs. Deep Hybrid Baseline vs. Proposed Ensemble (h=7, Box-Cox scale).</w:t>
      </w:r>
    </w:p>
    <w:p>
      <w:pPr>
        <w:spacing w:before="0" w:after="0" w:lineRule="exact" w:line="100"/>
      </w:pPr>
    </w:p>
    <w:p>
      <w:pPr>
        <w:pStyle w:val="MDPI52figure"/>
        <w:keepNext/>
        <w:spacing w:before="200" w:after="80"/>
        <w:jc w:val="center"/>
      </w:pPr>
      <w:r>
        <w:drawing>
          <wp:inline xmlns:a="http://schemas.openxmlformats.org/drawingml/2006/main" xmlns:pic="http://schemas.openxmlformats.org/drawingml/2006/picture">
            <wp:extent cx="6126480" cy="2266081"/>
            <wp:docPr id="12" name="Picture 12"/>
            <wp:cNvGraphicFramePr>
              <a:graphicFrameLocks noChangeAspect="1"/>
            </wp:cNvGraphicFramePr>
            <a:graphic>
              <a:graphicData uri="http://schemas.openxmlformats.org/drawingml/2006/picture">
                <pic:pic>
                  <pic:nvPicPr>
                    <pic:cNvPr id="0" name="figA6_PM25_h30.png"/>
                    <pic:cNvPicPr/>
                  </pic:nvPicPr>
                  <pic:blipFill>
                    <a:blip r:embed="rId29"/>
                    <a:stretch>
                      <a:fillRect/>
                    </a:stretch>
                  </pic:blipFill>
                  <pic:spPr>
                    <a:xfrm>
                      <a:off x="0" y="0"/>
                      <a:ext cx="6126480" cy="2266081"/>
                    </a:xfrm>
                    <a:prstGeom prst="rect"/>
                  </pic:spPr>
                </pic:pic>
              </a:graphicData>
            </a:graphic>
          </wp:inline>
        </w:drawing>
      </w:r>
    </w:p>
    <w:p>
      <w:pPr>
        <w:pStyle w:val="MDPI51figurecaption"/>
        <w:spacing w:after="240"/>
      </w:pPr>
      <w:r>
        <w:t>Figure A6. PM25 predictions: Actual vs. Deep Hybrid Baseline vs. Proposed Ensemble (h=30, Box-Cox scale).</w:t>
      </w:r>
    </w:p>
    <w:p>
      <w:pPr>
        <w:spacing w:before="0" w:after="0" w:lineRule="exact" w:line="100"/>
      </w:pPr>
    </w:p>
    <w:p>
      <w:pPr>
        <w:pStyle w:val="MDPI52figure"/>
        <w:keepNext/>
        <w:spacing w:before="200" w:after="80"/>
        <w:jc w:val="center"/>
      </w:pPr>
      <w:r>
        <w:drawing>
          <wp:inline xmlns:a="http://schemas.openxmlformats.org/drawingml/2006/main" xmlns:pic="http://schemas.openxmlformats.org/drawingml/2006/picture">
            <wp:extent cx="6126480" cy="2236651"/>
            <wp:docPr id="13" name="Picture 13"/>
            <wp:cNvGraphicFramePr>
              <a:graphicFrameLocks noChangeAspect="1"/>
            </wp:cNvGraphicFramePr>
            <a:graphic>
              <a:graphicData uri="http://schemas.openxmlformats.org/drawingml/2006/picture">
                <pic:pic>
                  <pic:nvPicPr>
                    <pic:cNvPr id="0" name="figA7_NO2_h1.png"/>
                    <pic:cNvPicPr/>
                  </pic:nvPicPr>
                  <pic:blipFill>
                    <a:blip r:embed="rId30"/>
                    <a:stretch>
                      <a:fillRect/>
                    </a:stretch>
                  </pic:blipFill>
                  <pic:spPr>
                    <a:xfrm>
                      <a:off x="0" y="0"/>
                      <a:ext cx="6126480" cy="2236651"/>
                    </a:xfrm>
                    <a:prstGeom prst="rect"/>
                  </pic:spPr>
                </pic:pic>
              </a:graphicData>
            </a:graphic>
          </wp:inline>
        </w:drawing>
      </w:r>
    </w:p>
    <w:p>
      <w:pPr>
        <w:pStyle w:val="MDPI51figurecaption"/>
        <w:spacing w:after="240"/>
      </w:pPr>
      <w:r>
        <w:t>Figure A7. NO2 predictions: Actual vs. Deep Hybrid Baseline vs. Proposed Ensemble (h=1, Box-Cox scale).</w:t>
      </w:r>
    </w:p>
    <w:p>
      <w:pPr>
        <w:spacing w:before="0" w:after="0" w:lineRule="exact" w:line="100"/>
      </w:pPr>
    </w:p>
    <w:p>
      <w:pPr>
        <w:pStyle w:val="MDPI52figure"/>
        <w:keepNext/>
        <w:spacing w:before="200" w:after="80"/>
        <w:jc w:val="center"/>
      </w:pPr>
      <w:r>
        <w:drawing>
          <wp:inline xmlns:a="http://schemas.openxmlformats.org/drawingml/2006/main" xmlns:pic="http://schemas.openxmlformats.org/drawingml/2006/picture">
            <wp:extent cx="6126480" cy="2236651"/>
            <wp:docPr id="14" name="Picture 14"/>
            <wp:cNvGraphicFramePr>
              <a:graphicFrameLocks noChangeAspect="1"/>
            </wp:cNvGraphicFramePr>
            <a:graphic>
              <a:graphicData uri="http://schemas.openxmlformats.org/drawingml/2006/picture">
                <pic:pic>
                  <pic:nvPicPr>
                    <pic:cNvPr id="0" name="figA8_NO2_h7.png"/>
                    <pic:cNvPicPr/>
                  </pic:nvPicPr>
                  <pic:blipFill>
                    <a:blip r:embed="rId31"/>
                    <a:stretch>
                      <a:fillRect/>
                    </a:stretch>
                  </pic:blipFill>
                  <pic:spPr>
                    <a:xfrm>
                      <a:off x="0" y="0"/>
                      <a:ext cx="6126480" cy="2236651"/>
                    </a:xfrm>
                    <a:prstGeom prst="rect"/>
                  </pic:spPr>
                </pic:pic>
              </a:graphicData>
            </a:graphic>
          </wp:inline>
        </w:drawing>
      </w:r>
    </w:p>
    <w:p>
      <w:pPr>
        <w:pStyle w:val="MDPI51figurecaption"/>
        <w:spacing w:after="240"/>
      </w:pPr>
      <w:r>
        <w:t>Figure A8. NO2 predictions: Actual vs. Deep Hybrid Baseline vs. Proposed Ensemble (h=7, Box-Cox scale).</w:t>
      </w:r>
    </w:p>
    <w:p>
      <w:pPr>
        <w:spacing w:before="0" w:after="0" w:lineRule="exact" w:line="100"/>
      </w:pPr>
    </w:p>
    <w:p>
      <w:pPr>
        <w:pStyle w:val="MDPI52figure"/>
        <w:keepNext/>
        <w:spacing w:before="200" w:after="80"/>
        <w:jc w:val="center"/>
      </w:pPr>
      <w:r>
        <w:drawing>
          <wp:inline xmlns:a="http://schemas.openxmlformats.org/drawingml/2006/main" xmlns:pic="http://schemas.openxmlformats.org/drawingml/2006/picture">
            <wp:extent cx="6126480" cy="2240963"/>
            <wp:docPr id="15" name="Picture 15"/>
            <wp:cNvGraphicFramePr>
              <a:graphicFrameLocks noChangeAspect="1"/>
            </wp:cNvGraphicFramePr>
            <a:graphic>
              <a:graphicData uri="http://schemas.openxmlformats.org/drawingml/2006/picture">
                <pic:pic>
                  <pic:nvPicPr>
                    <pic:cNvPr id="0" name="figA9_NO2_h30.png"/>
                    <pic:cNvPicPr/>
                  </pic:nvPicPr>
                  <pic:blipFill>
                    <a:blip r:embed="rId32"/>
                    <a:stretch>
                      <a:fillRect/>
                    </a:stretch>
                  </pic:blipFill>
                  <pic:spPr>
                    <a:xfrm>
                      <a:off x="0" y="0"/>
                      <a:ext cx="6126480" cy="2240963"/>
                    </a:xfrm>
                    <a:prstGeom prst="rect"/>
                  </pic:spPr>
                </pic:pic>
              </a:graphicData>
            </a:graphic>
          </wp:inline>
        </w:drawing>
      </w:r>
    </w:p>
    <w:p>
      <w:pPr>
        <w:pStyle w:val="MDPI51figurecaption"/>
        <w:spacing w:after="240"/>
      </w:pPr>
      <w:r>
        <w:t>Figure A9. NO2 predictions: Actual vs. Deep Hybrid Baseline vs. Proposed Ensemble (h=30, Box-Cox scale).</w:t>
      </w:r>
    </w:p>
    <w:p>
      <w:pPr>
        <w:spacing w:before="0" w:after="0" w:lineRule="exact" w:line="100"/>
      </w:pPr>
    </w:p>
    <w:p>
      <w:pPr>
        <w:pStyle w:val="MDPI21heading1"/>
      </w:pPr>
      <w:r>
        <w:t>References</w:t>
      </w:r>
    </w:p>
    <w:p>
      <w:pPr>
        <w:pStyle w:val="MDPI81references"/>
      </w:pPr>
      <w:r>
        <w:t>1. Cabaneros, S.M.; Calautit, J.K.; Hughes, B.R. A review of artificial neural network models for ambient air pollution prediction. Environ. Model. Softw. 2019, 119, 285-309.</w:t>
      </w:r>
    </w:p>
    <w:p>
      <w:pPr>
        <w:pStyle w:val="MDPI81references"/>
      </w:pPr>
      <w:r>
        <w:t>2. World Health Organization. WHO Global Air Quality Guidelines: Particulate Matter (PM2.5 and PM10), Ozone, Nitrogen Dioxide, Sulfur Dioxide and Carbon Monoxide; WHO: Geneva, Switzerland, 2021.</w:t>
      </w:r>
    </w:p>
    <w:p>
      <w:pPr>
        <w:pStyle w:val="MDPI81references"/>
      </w:pPr>
      <w:r>
        <w:t>3. Zhang, G.P. Time series forecasting using a hybrid ARIMA and neural network model. Neurocomputing 2003, 50, 159-175.</w:t>
      </w:r>
    </w:p>
    <w:p>
      <w:pPr>
        <w:pStyle w:val="MDPI81references"/>
      </w:pPr>
      <w:r>
        <w:t>4. Diaz-Robles, L.A.; Ortega, J.C.; Fu, J.S.; Reed, G.D.; Chow, J.C.; Watson, J.G.; Monada-Herrera, J.A. A hybrid ARIMA and artificial neural networks model to forecast particulate matter in urban areas: The case of Temuco, Chile. Atmos. Environ. 2008, 42, 8331-8340.</w:t>
      </w:r>
    </w:p>
    <w:p>
      <w:pPr>
        <w:pStyle w:val="MDPI81references"/>
      </w:pPr>
      <w:r>
        <w:t>5. Hochreiter, S.; Schmidhuber, J. Long short-term memory. Neural Comput. 1997, 9, 1735-1780.</w:t>
      </w:r>
    </w:p>
    <w:p>
      <w:pPr>
        <w:pStyle w:val="MDPI81references"/>
      </w:pPr>
      <w:r>
        <w:t>6. Freeman, B.S.; Taylor, G.; Gharabaghi, B.; The, J. Forecasting air quality time series using deep learning. J. Air Waste Manag. Assoc. 2018, 68, 866-886.</w:t>
      </w:r>
    </w:p>
    <w:p>
      <w:pPr>
        <w:pStyle w:val="MDPI81references"/>
      </w:pPr>
      <w:r>
        <w:t>7. Necula, S.-C.; Hauer, I.; Fotache, D.; Hurbean, L. Advanced Hybrid Models for Air Pollution Forecasting: Combining SARIMA and BiLSTM Architectures. Electronics 2025, 14, 549. https://doi.org/10.3390/electronics14030549</w:t>
      </w:r>
    </w:p>
    <w:p>
      <w:pPr>
        <w:pStyle w:val="MDPI81references"/>
      </w:pPr>
      <w:r>
        <w:t>8. Makridakis, S.; Spiliotis, E.; Assimakopoulos, V. The M4 Competition: 100,000 time series and 61 forecasting methods. Int. J. Forecast. 2020, 36, 54-74.</w:t>
      </w:r>
    </w:p>
    <w:p>
      <w:pPr>
        <w:pStyle w:val="MDPI81references"/>
      </w:pPr>
      <w:r>
        <w:t>9. Hyndman, R.J.; Athanasopoulos, G. Forecasting: Principles and Practice, 3rd ed.; OTexts: Melbourne, Australia, 2021.</w:t>
      </w:r>
    </w:p>
    <w:p>
      <w:pPr>
        <w:pStyle w:val="MDPI81references"/>
      </w:pPr>
      <w:r>
        <w:t>10. Ke, G.; Meng, Q.; Finley, T.; Wang, T.; Chen, W.; Ma, W.; Ye, Q.; Liu, T.-Y. LightGBM: A highly efficient gradient boosting decision tree. In Advances in Neural Information Processing Systems 30 (NeurIPS 2017); 2017; pp. 3146-3154.</w:t>
      </w:r>
    </w:p>
    <w:p>
      <w:pPr>
        <w:pStyle w:val="MDPI81references"/>
      </w:pPr>
      <w:r>
        <w:t>11. Assimakopoulos, V.; Nikolopoulos, K. The theta model: A decomposition approach to forecasting. Int. J. Forecast. 2000, 16, 521-530.</w:t>
      </w:r>
    </w:p>
    <w:p>
      <w:pPr>
        <w:pStyle w:val="MDPI81references"/>
      </w:pPr>
      <w:r>
        <w:t>12. Diebold, F.X.; Mariano, R.S. Comparing predictive accuracy. J. Bus. Econ. Stat. 1995, 13, 253-263.</w:t>
      </w:r>
    </w:p>
    <w:p>
      <w:pPr>
        <w:pStyle w:val="MDPI81references"/>
      </w:pPr>
      <w:r>
        <w:t>13. Jiang, P.; Dong, Q.; Li, P. A novel hybrid strategy for PM2.5 concentration analysis and prediction. J. Environ. Manag. 2017, 196, 443-457.</w:t>
      </w:r>
    </w:p>
    <w:p>
      <w:pPr>
        <w:pStyle w:val="MDPI81references"/>
      </w:pPr>
      <w:r>
        <w:t>14. Gilik, A.; Ogrenci, A.S.; Ozmen, A. Air quality prediction using CNN+LSTM-based hybrid deep learning architecture. Environ. Sci. Pollut. Res. 2022, 29, 11920-11938.</w:t>
      </w:r>
    </w:p>
    <w:p>
      <w:pPr>
        <w:pStyle w:val="MDPI81references"/>
      </w:pPr>
      <w:r>
        <w:t>15. Nie, Y.; Nguyen, N.H.; Sinthong, P.; Kalagnanam, J. A time series is worth 64 words: Long-term forecasting with transformers. In International Conference on Learning Representations (ICLR 2023); 2023.</w:t>
      </w:r>
    </w:p>
    <w:p>
      <w:pPr>
        <w:pStyle w:val="MDPI81references"/>
      </w:pPr>
      <w:r>
        <w:t>16. Makridakis, S.; Spiliotis, E.; Assimakopoulos, V. Statistical and machine learning forecasting methods: Concerns and ways forward. PLoS ONE 2018, 13, e0194889.</w:t>
      </w:r>
    </w:p>
    <w:p>
      <w:pPr>
        <w:pStyle w:val="MDPI81references"/>
      </w:pPr>
      <w:r>
        <w:t>17. Bates, J.M.; Granger, C.W.J. The combination of forecasts. Oper. Res. Q. 1969, 20, 451-468.</w:t>
      </w:r>
    </w:p>
    <w:p>
      <w:pPr>
        <w:pStyle w:val="MDPI81references"/>
      </w:pPr>
      <w:r>
        <w:t>18. Chen, T.; Guestrin, C. XGBoost: A scalable tree boosting system. In Proceedings of the 22nd ACM SIGKDD International Conference on Knowledge Discovery and Data Mining; 2016; pp. 785-794.</w:t>
      </w:r>
    </w:p>
    <w:p>
      <w:pPr>
        <w:pStyle w:val="MDPI81references"/>
      </w:pPr>
      <w:r>
        <w:t>19. Hong, T.; Pinson, P.; Fan, S.; Zareipour, H.; Troccoli, A.; Hyndman, R.J. Probabilistic energy forecasting: Global Energy Forecasting Competition 2014 and beyond. Int. J. Forecast. 2016, 32, 896-913.</w:t>
      </w:r>
    </w:p>
    <w:p>
      <w:pPr>
        <w:pStyle w:val="MDPI81references"/>
      </w:pPr>
      <w:r>
        <w:t>20. Box, G.E.P.; Cox, D.R. An analysis of transformations. J. R. Stat. Soc. Ser. B 1964, 26, 211-252.</w:t>
      </w:r>
    </w:p>
    <w:p>
      <w:pPr>
        <w:pStyle w:val="MDPI81references"/>
      </w:pPr>
      <w:r>
        <w:t>21. Cleveland, R.B.; Cleveland, W.S.; McRae, J.E.; Terpenning, I. STL: A seasonal-trend decomposition procedure based on loess. J. Off. Stat. 1990, 6, 3-73.</w:t>
      </w:r>
    </w:p>
    <w:p>
      <w:pPr>
        <w:pStyle w:val="MDPI81references"/>
      </w:pPr>
      <w:r>
        <w:t>22. Breiman, L. Random forests. Mach. Learn. 2001, 45, 5-32.</w:t>
      </w:r>
    </w:p>
    <w:p>
      <w:pPr>
        <w:pStyle w:val="MDPI81references"/>
      </w:pPr>
      <w:r>
        <w:t>23. Harvey, D.; Leybourne, S.; Newbold, P. Testing the equality of prediction mean squared errors. Int. J. Forecast. 1997, 13, 281-291.</w:t>
      </w:r>
    </w:p>
    <w:sectPr w:rsidR="00130D6E" w:rsidRPr="00D15DA7" w:rsidSect="009C0D30">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7832" w14:textId="77777777" w:rsidR="00B45CDF" w:rsidRPr="00D10DD3" w:rsidRDefault="00B45CDF">
      <w:pPr>
        <w:spacing w:line="240" w:lineRule="auto"/>
      </w:pPr>
      <w:r w:rsidRPr="00D10DD3">
        <w:separator/>
      </w:r>
    </w:p>
  </w:endnote>
  <w:endnote w:type="continuationSeparator" w:id="0">
    <w:p w14:paraId="3BFEBE48" w14:textId="77777777" w:rsidR="00B45CDF" w:rsidRPr="00D10DD3" w:rsidRDefault="00B45CDF">
      <w:pPr>
        <w:spacing w:line="240" w:lineRule="auto"/>
      </w:pPr>
      <w:r w:rsidRPr="00D10D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D3E0" w14:textId="77777777" w:rsidR="005A49A5" w:rsidRPr="00D10DD3" w:rsidRDefault="005A49A5" w:rsidP="005A49A5">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72A0" w14:textId="77777777" w:rsidR="00A06009" w:rsidRPr="00D10DD3" w:rsidRDefault="00A06009" w:rsidP="003C7674">
    <w:pPr>
      <w:pBdr>
        <w:top w:val="single" w:sz="4" w:space="0" w:color="000000"/>
      </w:pBdr>
      <w:tabs>
        <w:tab w:val="right" w:pos="8844"/>
      </w:tabs>
      <w:adjustRightInd w:val="0"/>
      <w:snapToGrid w:val="0"/>
      <w:spacing w:before="480" w:line="100" w:lineRule="exact"/>
      <w:jc w:val="left"/>
      <w:rPr>
        <w:i/>
        <w:sz w:val="16"/>
        <w:szCs w:val="16"/>
      </w:rPr>
    </w:pPr>
  </w:p>
  <w:p w14:paraId="617B1C9F" w14:textId="558D996F" w:rsidR="005A49A5" w:rsidRPr="00D10DD3" w:rsidRDefault="005A49A5" w:rsidP="00F74FE8">
    <w:pPr>
      <w:tabs>
        <w:tab w:val="right" w:pos="10466"/>
      </w:tabs>
      <w:adjustRightInd w:val="0"/>
      <w:snapToGrid w:val="0"/>
      <w:spacing w:line="240" w:lineRule="auto"/>
      <w:rPr>
        <w:sz w:val="16"/>
        <w:szCs w:val="16"/>
      </w:rPr>
    </w:pPr>
    <w:r w:rsidRPr="00D10DD3">
      <w:rPr>
        <w:i/>
        <w:sz w:val="16"/>
        <w:szCs w:val="16"/>
      </w:rPr>
      <w:t xml:space="preserve">Electronics </w:t>
    </w:r>
    <w:r w:rsidR="009C0D30" w:rsidRPr="00D10DD3">
      <w:rPr>
        <w:b/>
        <w:bCs/>
        <w:iCs/>
        <w:sz w:val="16"/>
        <w:szCs w:val="16"/>
      </w:rPr>
      <w:t>2025</w:t>
    </w:r>
    <w:r w:rsidR="00DD3B93" w:rsidRPr="00D10DD3">
      <w:rPr>
        <w:bCs/>
        <w:iCs/>
        <w:sz w:val="16"/>
        <w:szCs w:val="16"/>
      </w:rPr>
      <w:t>,</w:t>
    </w:r>
    <w:r w:rsidR="009C0D30" w:rsidRPr="00D10DD3">
      <w:rPr>
        <w:bCs/>
        <w:i/>
        <w:iCs/>
        <w:sz w:val="16"/>
        <w:szCs w:val="16"/>
      </w:rPr>
      <w:t xml:space="preserve"> 14</w:t>
    </w:r>
    <w:r w:rsidR="00DD3B93" w:rsidRPr="00D10DD3">
      <w:rPr>
        <w:bCs/>
        <w:iCs/>
        <w:sz w:val="16"/>
        <w:szCs w:val="16"/>
      </w:rPr>
      <w:t xml:space="preserve">, </w:t>
    </w:r>
    <w:r w:rsidR="00C65E6B" w:rsidRPr="00D10DD3">
      <w:rPr>
        <w:bCs/>
        <w:iCs/>
        <w:sz w:val="16"/>
        <w:szCs w:val="16"/>
      </w:rPr>
      <w:t>x</w:t>
    </w:r>
    <w:r w:rsidR="00F74FE8" w:rsidRPr="00D10DD3">
      <w:rPr>
        <w:sz w:val="16"/>
        <w:szCs w:val="16"/>
      </w:rPr>
      <w:tab/>
    </w:r>
    <w:r w:rsidR="009C0D30" w:rsidRPr="00D10DD3">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D465E" w14:textId="77777777" w:rsidR="00B45CDF" w:rsidRPr="00D10DD3" w:rsidRDefault="00B45CDF">
      <w:pPr>
        <w:spacing w:line="240" w:lineRule="auto"/>
      </w:pPr>
      <w:r w:rsidRPr="00D10DD3">
        <w:separator/>
      </w:r>
    </w:p>
  </w:footnote>
  <w:footnote w:type="continuationSeparator" w:id="0">
    <w:p w14:paraId="38B37E52" w14:textId="77777777" w:rsidR="00B45CDF" w:rsidRPr="00D10DD3" w:rsidRDefault="00B45CDF">
      <w:pPr>
        <w:spacing w:line="240" w:lineRule="auto"/>
      </w:pPr>
      <w:r w:rsidRPr="00D10D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B12C" w14:textId="77777777" w:rsidR="005A49A5" w:rsidRPr="00D10DD3" w:rsidRDefault="005A49A5" w:rsidP="005A49A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F296" w14:textId="1C085C10" w:rsidR="00A06009" w:rsidRPr="00D10DD3" w:rsidRDefault="005A49A5" w:rsidP="00F74FE8">
    <w:pPr>
      <w:tabs>
        <w:tab w:val="right" w:pos="10466"/>
      </w:tabs>
      <w:adjustRightInd w:val="0"/>
      <w:snapToGrid w:val="0"/>
      <w:spacing w:line="240" w:lineRule="auto"/>
      <w:rPr>
        <w:sz w:val="16"/>
      </w:rPr>
    </w:pPr>
    <w:r w:rsidRPr="00D10DD3">
      <w:rPr>
        <w:i/>
        <w:sz w:val="16"/>
      </w:rPr>
      <w:t xml:space="preserve">Electronics </w:t>
    </w:r>
    <w:r w:rsidR="009C0D30" w:rsidRPr="00D10DD3">
      <w:rPr>
        <w:b/>
        <w:sz w:val="16"/>
      </w:rPr>
      <w:t>2025</w:t>
    </w:r>
    <w:r w:rsidR="00DD3B93" w:rsidRPr="00D10DD3">
      <w:rPr>
        <w:sz w:val="16"/>
      </w:rPr>
      <w:t>,</w:t>
    </w:r>
    <w:r w:rsidR="009C0D30" w:rsidRPr="00D10DD3">
      <w:rPr>
        <w:i/>
        <w:sz w:val="16"/>
      </w:rPr>
      <w:t xml:space="preserve"> 14</w:t>
    </w:r>
    <w:r w:rsidR="00C65E6B" w:rsidRPr="00D10DD3">
      <w:rPr>
        <w:sz w:val="16"/>
      </w:rPr>
      <w:t xml:space="preserve">, x </w:t>
    </w:r>
    <w:r w:rsidR="009C0D30" w:rsidRPr="00D10DD3">
      <w:rPr>
        <w:sz w:val="16"/>
      </w:rPr>
      <w:t>FOR PEER REVIEW</w:t>
    </w:r>
    <w:r w:rsidR="009C0D30" w:rsidRPr="00D10DD3">
      <w:rPr>
        <w:sz w:val="16"/>
      </w:rPr>
      <w:ptab w:relativeTo="margin" w:alignment="right" w:leader="none"/>
    </w:r>
    <w:r w:rsidR="009C0D30" w:rsidRPr="00D10DD3">
      <w:rPr>
        <w:sz w:val="16"/>
      </w:rPr>
      <w:fldChar w:fldCharType="begin"/>
    </w:r>
    <w:r w:rsidR="009C0D30" w:rsidRPr="00D10DD3">
      <w:rPr>
        <w:sz w:val="16"/>
      </w:rPr>
      <w:instrText xml:space="preserve"> PAGE   \* MERGEFORMAT </w:instrText>
    </w:r>
    <w:r w:rsidR="009C0D30" w:rsidRPr="00D10DD3">
      <w:rPr>
        <w:sz w:val="16"/>
      </w:rPr>
      <w:fldChar w:fldCharType="separate"/>
    </w:r>
    <w:r w:rsidR="009C0D30" w:rsidRPr="00D10DD3">
      <w:rPr>
        <w:sz w:val="16"/>
      </w:rPr>
      <w:t>2</w:t>
    </w:r>
    <w:r w:rsidR="009C0D30" w:rsidRPr="00D10DD3">
      <w:rPr>
        <w:sz w:val="16"/>
      </w:rPr>
      <w:fldChar w:fldCharType="end"/>
    </w:r>
    <w:r w:rsidR="009C0D30" w:rsidRPr="00D10DD3">
      <w:rPr>
        <w:sz w:val="16"/>
      </w:rPr>
      <w:t xml:space="preserve"> of </w:t>
    </w:r>
    <w:r w:rsidR="009C0D30" w:rsidRPr="00D10DD3">
      <w:rPr>
        <w:sz w:val="16"/>
      </w:rPr>
      <w:fldChar w:fldCharType="begin"/>
    </w:r>
    <w:r w:rsidR="009C0D30" w:rsidRPr="00D10DD3">
      <w:rPr>
        <w:sz w:val="16"/>
      </w:rPr>
      <w:instrText xml:space="preserve"> NUMPAGES   \* MERGEFORMAT </w:instrText>
    </w:r>
    <w:r w:rsidR="009C0D30" w:rsidRPr="00D10DD3">
      <w:rPr>
        <w:sz w:val="16"/>
      </w:rPr>
      <w:fldChar w:fldCharType="separate"/>
    </w:r>
    <w:r w:rsidR="009C0D30" w:rsidRPr="00D10DD3">
      <w:rPr>
        <w:sz w:val="16"/>
      </w:rPr>
      <w:t>8</w:t>
    </w:r>
    <w:r w:rsidR="009C0D30" w:rsidRPr="00D10DD3">
      <w:rPr>
        <w:sz w:val="16"/>
      </w:rPr>
      <w:fldChar w:fldCharType="end"/>
    </w:r>
  </w:p>
  <w:p w14:paraId="1BEB667F" w14:textId="77777777" w:rsidR="005A49A5" w:rsidRPr="00D10DD3" w:rsidRDefault="005A49A5" w:rsidP="003C76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06009" w:rsidRPr="00D10DD3" w14:paraId="2B2BA485" w14:textId="77777777" w:rsidTr="00724EBE">
      <w:trPr>
        <w:trHeight w:val="686"/>
      </w:trPr>
      <w:tc>
        <w:tcPr>
          <w:tcW w:w="3679" w:type="dxa"/>
          <w:shd w:val="clear" w:color="auto" w:fill="auto"/>
          <w:vAlign w:val="center"/>
        </w:tcPr>
        <w:p w14:paraId="62A5A326" w14:textId="0A1CA46D" w:rsidR="00A06009" w:rsidRPr="00D10DD3" w:rsidRDefault="00AE2774" w:rsidP="00F74FE8">
          <w:pPr>
            <w:pStyle w:val="Header"/>
            <w:pBdr>
              <w:bottom w:val="none" w:sz="0" w:space="0" w:color="auto"/>
            </w:pBdr>
            <w:jc w:val="left"/>
            <w:rPr>
              <w:rFonts w:eastAsia="等线"/>
              <w:b/>
              <w:bCs/>
            </w:rPr>
          </w:pPr>
          <w:r w:rsidRPr="00D10DD3">
            <w:rPr>
              <w:rFonts w:eastAsia="等线"/>
              <w:b/>
              <w:bCs/>
              <w:noProof/>
            </w:rPr>
            <w:drawing>
              <wp:inline distT="0" distB="0" distL="0" distR="0" wp14:anchorId="07DCAA0A" wp14:editId="6E3AE1F6">
                <wp:extent cx="1502873" cy="432000"/>
                <wp:effectExtent l="0" t="0" r="2540" b="6350"/>
                <wp:docPr id="196057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3704" name=""/>
                        <pic:cNvPicPr/>
                      </pic:nvPicPr>
                      <pic:blipFill>
                        <a:blip r:embed="rId1"/>
                        <a:stretch>
                          <a:fillRect/>
                        </a:stretch>
                      </pic:blipFill>
                      <pic:spPr>
                        <a:xfrm>
                          <a:off x="0" y="0"/>
                          <a:ext cx="1502873" cy="432000"/>
                        </a:xfrm>
                        <a:prstGeom prst="rect">
                          <a:avLst/>
                        </a:prstGeom>
                      </pic:spPr>
                    </pic:pic>
                  </a:graphicData>
                </a:graphic>
              </wp:inline>
            </w:drawing>
          </w:r>
        </w:p>
      </w:tc>
      <w:tc>
        <w:tcPr>
          <w:tcW w:w="4535" w:type="dxa"/>
          <w:shd w:val="clear" w:color="auto" w:fill="auto"/>
          <w:vAlign w:val="center"/>
        </w:tcPr>
        <w:p w14:paraId="0770E2CB" w14:textId="77777777" w:rsidR="00A06009" w:rsidRPr="00D10DD3" w:rsidRDefault="00A06009" w:rsidP="00F74FE8">
          <w:pPr>
            <w:pStyle w:val="Header"/>
            <w:pBdr>
              <w:bottom w:val="none" w:sz="0" w:space="0" w:color="auto"/>
            </w:pBdr>
            <w:rPr>
              <w:rFonts w:eastAsia="等线"/>
              <w:b/>
              <w:bCs/>
            </w:rPr>
          </w:pPr>
        </w:p>
      </w:tc>
      <w:tc>
        <w:tcPr>
          <w:tcW w:w="2273" w:type="dxa"/>
          <w:shd w:val="clear" w:color="auto" w:fill="auto"/>
          <w:vAlign w:val="center"/>
        </w:tcPr>
        <w:p w14:paraId="10B92E23" w14:textId="3C29CD30" w:rsidR="00A06009" w:rsidRPr="00D10DD3" w:rsidRDefault="00724EBE" w:rsidP="00724EBE">
          <w:pPr>
            <w:pStyle w:val="Header"/>
            <w:pBdr>
              <w:bottom w:val="none" w:sz="0" w:space="0" w:color="auto"/>
            </w:pBdr>
            <w:jc w:val="right"/>
            <w:rPr>
              <w:rFonts w:eastAsia="等线"/>
              <w:b/>
              <w:bCs/>
            </w:rPr>
          </w:pPr>
          <w:r w:rsidRPr="00D10DD3">
            <w:rPr>
              <w:rFonts w:eastAsia="等线"/>
              <w:b/>
              <w:bCs/>
              <w:noProof/>
            </w:rPr>
            <w:drawing>
              <wp:inline distT="0" distB="0" distL="0" distR="0" wp14:anchorId="2AB17837" wp14:editId="136A5AC0">
                <wp:extent cx="540000" cy="360000"/>
                <wp:effectExtent l="0" t="0" r="0" b="2540"/>
                <wp:docPr id="498214884" name="Picture 1"/>
                <wp:cNvGraphicFramePr/>
                <a:graphic xmlns:a="http://schemas.openxmlformats.org/drawingml/2006/main">
                  <a:graphicData uri="http://schemas.openxmlformats.org/drawingml/2006/picture">
                    <pic:pic xmlns:pic="http://schemas.openxmlformats.org/drawingml/2006/picture">
                      <pic:nvPicPr>
                        <pic:cNvPr id="498214884" name=""/>
                        <pic:cNvPicPr/>
                      </pic:nvPicPr>
                      <pic:blipFill>
                        <a:blip r:embed="rId2"/>
                        <a:stretch>
                          <a:fillRect/>
                        </a:stretch>
                      </pic:blipFill>
                      <pic:spPr>
                        <a:xfrm>
                          <a:off x="0" y="0"/>
                          <a:ext cx="540000" cy="360000"/>
                        </a:xfrm>
                        <a:prstGeom prst="rect">
                          <a:avLst/>
                        </a:prstGeom>
                      </pic:spPr>
                    </pic:pic>
                  </a:graphicData>
                </a:graphic>
              </wp:inline>
            </w:drawing>
          </w:r>
        </w:p>
      </w:tc>
    </w:tr>
  </w:tbl>
  <w:p w14:paraId="445357CF" w14:textId="77777777" w:rsidR="005A49A5" w:rsidRPr="00D10DD3" w:rsidRDefault="005A49A5" w:rsidP="009C0D3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45B"/>
    <w:multiLevelType w:val="hybridMultilevel"/>
    <w:tmpl w:val="5F049524"/>
    <w:lvl w:ilvl="0" w:tplc="4EA8DC6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25CA1B6"/>
    <w:lvl w:ilvl="0" w:tplc="0FFE045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1A4C1634"/>
    <w:lvl w:ilvl="0" w:tplc="10EA2F8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F7E7624"/>
    <w:multiLevelType w:val="hybridMultilevel"/>
    <w:tmpl w:val="60DE855E"/>
    <w:lvl w:ilvl="0" w:tplc="1B2813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527169">
    <w:abstractNumId w:val="4"/>
  </w:num>
  <w:num w:numId="2" w16cid:durableId="1304964277">
    <w:abstractNumId w:val="6"/>
  </w:num>
  <w:num w:numId="3" w16cid:durableId="894045569">
    <w:abstractNumId w:val="3"/>
  </w:num>
  <w:num w:numId="4" w16cid:durableId="1647934302">
    <w:abstractNumId w:val="5"/>
  </w:num>
  <w:num w:numId="5" w16cid:durableId="1977635431">
    <w:abstractNumId w:val="9"/>
  </w:num>
  <w:num w:numId="6" w16cid:durableId="1188443480">
    <w:abstractNumId w:val="2"/>
  </w:num>
  <w:num w:numId="7" w16cid:durableId="199899074">
    <w:abstractNumId w:val="9"/>
  </w:num>
  <w:num w:numId="8" w16cid:durableId="1268350777">
    <w:abstractNumId w:val="2"/>
  </w:num>
  <w:num w:numId="9" w16cid:durableId="1409812030">
    <w:abstractNumId w:val="9"/>
  </w:num>
  <w:num w:numId="10" w16cid:durableId="363558061">
    <w:abstractNumId w:val="2"/>
  </w:num>
  <w:num w:numId="11" w16cid:durableId="310142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3309852">
    <w:abstractNumId w:val="10"/>
  </w:num>
  <w:num w:numId="13" w16cid:durableId="1518807061">
    <w:abstractNumId w:val="11"/>
  </w:num>
  <w:num w:numId="14" w16cid:durableId="2133550666">
    <w:abstractNumId w:val="9"/>
  </w:num>
  <w:num w:numId="15" w16cid:durableId="659431444">
    <w:abstractNumId w:val="2"/>
  </w:num>
  <w:num w:numId="16" w16cid:durableId="201212443">
    <w:abstractNumId w:val="1"/>
  </w:num>
  <w:num w:numId="17" w16cid:durableId="205408741">
    <w:abstractNumId w:val="8"/>
  </w:num>
  <w:num w:numId="18" w16cid:durableId="478231224">
    <w:abstractNumId w:val="0"/>
  </w:num>
  <w:num w:numId="19" w16cid:durableId="1811438592">
    <w:abstractNumId w:val="9"/>
  </w:num>
  <w:num w:numId="20" w16cid:durableId="1160657370">
    <w:abstractNumId w:val="2"/>
  </w:num>
  <w:num w:numId="21" w16cid:durableId="505637847">
    <w:abstractNumId w:val="1"/>
  </w:num>
  <w:num w:numId="22" w16cid:durableId="2095782718">
    <w:abstractNumId w:val="7"/>
  </w:num>
  <w:num w:numId="23" w16cid:durableId="57667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C09"/>
    <w:rsid w:val="00005452"/>
    <w:rsid w:val="00013E9E"/>
    <w:rsid w:val="00015EAC"/>
    <w:rsid w:val="000315D6"/>
    <w:rsid w:val="00043EE7"/>
    <w:rsid w:val="00057A40"/>
    <w:rsid w:val="00062644"/>
    <w:rsid w:val="00073F38"/>
    <w:rsid w:val="000921E8"/>
    <w:rsid w:val="000A23F8"/>
    <w:rsid w:val="000A6A51"/>
    <w:rsid w:val="000E0787"/>
    <w:rsid w:val="000F2ABA"/>
    <w:rsid w:val="001251A6"/>
    <w:rsid w:val="00130D6E"/>
    <w:rsid w:val="00137179"/>
    <w:rsid w:val="0014708D"/>
    <w:rsid w:val="00167630"/>
    <w:rsid w:val="00171043"/>
    <w:rsid w:val="00183E79"/>
    <w:rsid w:val="001C1236"/>
    <w:rsid w:val="001C6B82"/>
    <w:rsid w:val="001E2AEB"/>
    <w:rsid w:val="001E55CA"/>
    <w:rsid w:val="001E6B90"/>
    <w:rsid w:val="001F295D"/>
    <w:rsid w:val="001F4617"/>
    <w:rsid w:val="0020604E"/>
    <w:rsid w:val="00255DC3"/>
    <w:rsid w:val="0028143A"/>
    <w:rsid w:val="0028429A"/>
    <w:rsid w:val="0029463C"/>
    <w:rsid w:val="00295161"/>
    <w:rsid w:val="002A4850"/>
    <w:rsid w:val="002B1614"/>
    <w:rsid w:val="002B5AC7"/>
    <w:rsid w:val="002B6405"/>
    <w:rsid w:val="002F6319"/>
    <w:rsid w:val="002F7353"/>
    <w:rsid w:val="00322BE8"/>
    <w:rsid w:val="00326141"/>
    <w:rsid w:val="00331BF6"/>
    <w:rsid w:val="00342D84"/>
    <w:rsid w:val="003504D8"/>
    <w:rsid w:val="00353FFD"/>
    <w:rsid w:val="0035560F"/>
    <w:rsid w:val="00375335"/>
    <w:rsid w:val="003935B3"/>
    <w:rsid w:val="003A4C09"/>
    <w:rsid w:val="003C7674"/>
    <w:rsid w:val="003E0515"/>
    <w:rsid w:val="00401D30"/>
    <w:rsid w:val="00405E76"/>
    <w:rsid w:val="00416137"/>
    <w:rsid w:val="004217B5"/>
    <w:rsid w:val="00421BCA"/>
    <w:rsid w:val="00436770"/>
    <w:rsid w:val="004449E9"/>
    <w:rsid w:val="00472C53"/>
    <w:rsid w:val="004863A2"/>
    <w:rsid w:val="00492A6F"/>
    <w:rsid w:val="004A3074"/>
    <w:rsid w:val="004C7D14"/>
    <w:rsid w:val="004D5279"/>
    <w:rsid w:val="004E165B"/>
    <w:rsid w:val="00502A5D"/>
    <w:rsid w:val="00526F65"/>
    <w:rsid w:val="00534ACB"/>
    <w:rsid w:val="00545B32"/>
    <w:rsid w:val="0054654C"/>
    <w:rsid w:val="0055369D"/>
    <w:rsid w:val="00565269"/>
    <w:rsid w:val="00576B2E"/>
    <w:rsid w:val="005A49A5"/>
    <w:rsid w:val="005B346F"/>
    <w:rsid w:val="005B4CDA"/>
    <w:rsid w:val="005E2A08"/>
    <w:rsid w:val="00600248"/>
    <w:rsid w:val="00601DF2"/>
    <w:rsid w:val="00610B82"/>
    <w:rsid w:val="0062579E"/>
    <w:rsid w:val="006259B1"/>
    <w:rsid w:val="006272A4"/>
    <w:rsid w:val="00641261"/>
    <w:rsid w:val="0065742C"/>
    <w:rsid w:val="006734AF"/>
    <w:rsid w:val="00677A03"/>
    <w:rsid w:val="00682B31"/>
    <w:rsid w:val="00683584"/>
    <w:rsid w:val="00692393"/>
    <w:rsid w:val="006B0924"/>
    <w:rsid w:val="006C6938"/>
    <w:rsid w:val="006D09BB"/>
    <w:rsid w:val="006D29BB"/>
    <w:rsid w:val="006D3633"/>
    <w:rsid w:val="006D4267"/>
    <w:rsid w:val="006E6E26"/>
    <w:rsid w:val="00721E71"/>
    <w:rsid w:val="00724EBE"/>
    <w:rsid w:val="00736648"/>
    <w:rsid w:val="0074176F"/>
    <w:rsid w:val="007439C0"/>
    <w:rsid w:val="0076471A"/>
    <w:rsid w:val="007744F9"/>
    <w:rsid w:val="007944FD"/>
    <w:rsid w:val="007A2A63"/>
    <w:rsid w:val="007C2802"/>
    <w:rsid w:val="007E4286"/>
    <w:rsid w:val="007F04AF"/>
    <w:rsid w:val="007F7A48"/>
    <w:rsid w:val="00820843"/>
    <w:rsid w:val="0083650A"/>
    <w:rsid w:val="0084286C"/>
    <w:rsid w:val="008617EC"/>
    <w:rsid w:val="00865AC6"/>
    <w:rsid w:val="0086607F"/>
    <w:rsid w:val="00870AFC"/>
    <w:rsid w:val="00874FCC"/>
    <w:rsid w:val="00896776"/>
    <w:rsid w:val="008A3DA5"/>
    <w:rsid w:val="008A51CD"/>
    <w:rsid w:val="008B271E"/>
    <w:rsid w:val="008C0E8D"/>
    <w:rsid w:val="008C7574"/>
    <w:rsid w:val="00901B13"/>
    <w:rsid w:val="00905263"/>
    <w:rsid w:val="009200BD"/>
    <w:rsid w:val="00931F04"/>
    <w:rsid w:val="00937E9F"/>
    <w:rsid w:val="0094614B"/>
    <w:rsid w:val="009574BF"/>
    <w:rsid w:val="009621D6"/>
    <w:rsid w:val="009661AE"/>
    <w:rsid w:val="00967875"/>
    <w:rsid w:val="009C0D30"/>
    <w:rsid w:val="009D291E"/>
    <w:rsid w:val="009D38B7"/>
    <w:rsid w:val="009E5697"/>
    <w:rsid w:val="009F090C"/>
    <w:rsid w:val="009F5DC2"/>
    <w:rsid w:val="009F70E6"/>
    <w:rsid w:val="00A06009"/>
    <w:rsid w:val="00A26224"/>
    <w:rsid w:val="00A3651E"/>
    <w:rsid w:val="00A46226"/>
    <w:rsid w:val="00A54CF0"/>
    <w:rsid w:val="00A745B9"/>
    <w:rsid w:val="00A93B91"/>
    <w:rsid w:val="00AA6002"/>
    <w:rsid w:val="00AE2774"/>
    <w:rsid w:val="00AE61B9"/>
    <w:rsid w:val="00B12056"/>
    <w:rsid w:val="00B151D6"/>
    <w:rsid w:val="00B17053"/>
    <w:rsid w:val="00B268FA"/>
    <w:rsid w:val="00B34725"/>
    <w:rsid w:val="00B448BA"/>
    <w:rsid w:val="00B45CDF"/>
    <w:rsid w:val="00B51A50"/>
    <w:rsid w:val="00B51D3A"/>
    <w:rsid w:val="00B52B6B"/>
    <w:rsid w:val="00B6357A"/>
    <w:rsid w:val="00B86B0C"/>
    <w:rsid w:val="00B97BE0"/>
    <w:rsid w:val="00BA3172"/>
    <w:rsid w:val="00BA6966"/>
    <w:rsid w:val="00BB0967"/>
    <w:rsid w:val="00BC1763"/>
    <w:rsid w:val="00BC5688"/>
    <w:rsid w:val="00BD1C67"/>
    <w:rsid w:val="00BF03FB"/>
    <w:rsid w:val="00C04AD4"/>
    <w:rsid w:val="00C13472"/>
    <w:rsid w:val="00C14AC6"/>
    <w:rsid w:val="00C20562"/>
    <w:rsid w:val="00C30794"/>
    <w:rsid w:val="00C44917"/>
    <w:rsid w:val="00C52C3A"/>
    <w:rsid w:val="00C53AA8"/>
    <w:rsid w:val="00C6500D"/>
    <w:rsid w:val="00C65E6B"/>
    <w:rsid w:val="00C72CBB"/>
    <w:rsid w:val="00C83CA4"/>
    <w:rsid w:val="00CB04A0"/>
    <w:rsid w:val="00CE2121"/>
    <w:rsid w:val="00CE769D"/>
    <w:rsid w:val="00CF4796"/>
    <w:rsid w:val="00D07EB0"/>
    <w:rsid w:val="00D10DD3"/>
    <w:rsid w:val="00D1254C"/>
    <w:rsid w:val="00D15DA7"/>
    <w:rsid w:val="00D27B93"/>
    <w:rsid w:val="00D5217C"/>
    <w:rsid w:val="00D74042"/>
    <w:rsid w:val="00DC698F"/>
    <w:rsid w:val="00DD3B93"/>
    <w:rsid w:val="00E06B74"/>
    <w:rsid w:val="00E40786"/>
    <w:rsid w:val="00E429AD"/>
    <w:rsid w:val="00E74773"/>
    <w:rsid w:val="00EA6E1B"/>
    <w:rsid w:val="00EB17A0"/>
    <w:rsid w:val="00EB31F6"/>
    <w:rsid w:val="00EC5ECD"/>
    <w:rsid w:val="00EF2806"/>
    <w:rsid w:val="00EF4908"/>
    <w:rsid w:val="00F0100C"/>
    <w:rsid w:val="00F244B5"/>
    <w:rsid w:val="00F259BE"/>
    <w:rsid w:val="00F33DCD"/>
    <w:rsid w:val="00F34FEE"/>
    <w:rsid w:val="00F3525F"/>
    <w:rsid w:val="00F40804"/>
    <w:rsid w:val="00F425B0"/>
    <w:rsid w:val="00F47F2A"/>
    <w:rsid w:val="00F5171F"/>
    <w:rsid w:val="00F564DD"/>
    <w:rsid w:val="00F62328"/>
    <w:rsid w:val="00F74FE8"/>
    <w:rsid w:val="00F754D1"/>
    <w:rsid w:val="00F82E2B"/>
    <w:rsid w:val="00F87FB1"/>
    <w:rsid w:val="00F90748"/>
    <w:rsid w:val="00FA5188"/>
    <w:rsid w:val="00FB12B8"/>
    <w:rsid w:val="00FB559B"/>
    <w:rsid w:val="00FE3E55"/>
    <w:rsid w:val="00FE4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D151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D6E"/>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130D6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130D6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130D6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30D6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30D6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30D6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30D6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30D6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30D6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130D6E"/>
    <w:rPr>
      <w:rFonts w:ascii="Palatino Linotype" w:hAnsi="Palatino Linotype"/>
      <w:noProof/>
      <w:color w:val="000000"/>
      <w:szCs w:val="18"/>
    </w:rPr>
  </w:style>
  <w:style w:type="paragraph" w:styleId="Header">
    <w:name w:val="header"/>
    <w:basedOn w:val="Normal"/>
    <w:link w:val="HeaderChar"/>
    <w:uiPriority w:val="99"/>
    <w:rsid w:val="00130D6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130D6E"/>
    <w:rPr>
      <w:rFonts w:ascii="Palatino Linotype" w:hAnsi="Palatino Linotype"/>
      <w:noProof/>
      <w:color w:val="000000"/>
      <w:szCs w:val="18"/>
    </w:rPr>
  </w:style>
  <w:style w:type="paragraph" w:customStyle="1" w:styleId="MDPI32textnoindent">
    <w:name w:val="MDPI_3.2_text_no_indent"/>
    <w:basedOn w:val="MDPI31text"/>
    <w:qFormat/>
    <w:rsid w:val="00130D6E"/>
    <w:pPr>
      <w:ind w:firstLine="0"/>
    </w:pPr>
  </w:style>
  <w:style w:type="paragraph" w:customStyle="1" w:styleId="MDPI31text">
    <w:name w:val="MDPI_3.1_text"/>
    <w:qFormat/>
    <w:rsid w:val="00F754D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30D6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30D6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30D6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005452"/>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00545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30D6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30D6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30D6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A2A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30D6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30D6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30D6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30D6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30D6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30D6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7533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130D6E"/>
    <w:rPr>
      <w:rFonts w:cs="Tahoma"/>
      <w:szCs w:val="18"/>
    </w:rPr>
  </w:style>
  <w:style w:type="character" w:customStyle="1" w:styleId="BalloonTextChar">
    <w:name w:val="Balloon Text Char"/>
    <w:link w:val="BalloonText"/>
    <w:uiPriority w:val="99"/>
    <w:rsid w:val="00130D6E"/>
    <w:rPr>
      <w:rFonts w:ascii="Palatino Linotype" w:hAnsi="Palatino Linotype" w:cs="Tahoma"/>
      <w:noProof/>
      <w:color w:val="000000"/>
      <w:szCs w:val="18"/>
    </w:rPr>
  </w:style>
  <w:style w:type="character" w:styleId="LineNumber">
    <w:name w:val="line number"/>
    <w:uiPriority w:val="99"/>
    <w:rsid w:val="00683584"/>
    <w:rPr>
      <w:rFonts w:ascii="Palatino Linotype" w:hAnsi="Palatino Linotype"/>
      <w:sz w:val="16"/>
    </w:rPr>
  </w:style>
  <w:style w:type="table" w:customStyle="1" w:styleId="MDPI41threelinetable">
    <w:name w:val="MDPI_4.1_three_line_table"/>
    <w:basedOn w:val="TableNormal"/>
    <w:uiPriority w:val="99"/>
    <w:rsid w:val="00130D6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130D6E"/>
    <w:rPr>
      <w:color w:val="0000FF"/>
      <w:u w:val="single"/>
    </w:rPr>
  </w:style>
  <w:style w:type="character" w:styleId="UnresolvedMention">
    <w:name w:val="Unresolved Mention"/>
    <w:uiPriority w:val="99"/>
    <w:semiHidden/>
    <w:unhideWhenUsed/>
    <w:rsid w:val="00F47F2A"/>
    <w:rPr>
      <w:color w:val="605E5C"/>
      <w:shd w:val="clear" w:color="auto" w:fill="E1DFDD"/>
    </w:rPr>
  </w:style>
  <w:style w:type="table" w:styleId="PlainTable4">
    <w:name w:val="Plain Table 4"/>
    <w:basedOn w:val="TableNormal"/>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30D6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30D6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30D6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30D6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30D6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6357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30D6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30D6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72A4"/>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130D6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30D6E"/>
  </w:style>
  <w:style w:type="paragraph" w:styleId="Bibliography">
    <w:name w:val="Bibliography"/>
    <w:basedOn w:val="Normal"/>
    <w:next w:val="Normal"/>
    <w:uiPriority w:val="37"/>
    <w:semiHidden/>
    <w:unhideWhenUsed/>
    <w:rsid w:val="00130D6E"/>
  </w:style>
  <w:style w:type="paragraph" w:styleId="BodyText">
    <w:name w:val="Body Text"/>
    <w:link w:val="BodyTextChar"/>
    <w:rsid w:val="00130D6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130D6E"/>
    <w:rPr>
      <w:rFonts w:ascii="Palatino Linotype" w:hAnsi="Palatino Linotype"/>
      <w:color w:val="000000"/>
      <w:sz w:val="24"/>
      <w:lang w:eastAsia="de-DE"/>
    </w:rPr>
  </w:style>
  <w:style w:type="character" w:styleId="CommentReference">
    <w:name w:val="annotation reference"/>
    <w:rsid w:val="00130D6E"/>
    <w:rPr>
      <w:sz w:val="21"/>
      <w:szCs w:val="21"/>
    </w:rPr>
  </w:style>
  <w:style w:type="paragraph" w:styleId="CommentText">
    <w:name w:val="annotation text"/>
    <w:basedOn w:val="Normal"/>
    <w:link w:val="CommentTextChar"/>
    <w:rsid w:val="00130D6E"/>
  </w:style>
  <w:style w:type="character" w:customStyle="1" w:styleId="CommentTextChar">
    <w:name w:val="Comment Text Char"/>
    <w:link w:val="CommentText"/>
    <w:rsid w:val="00130D6E"/>
    <w:rPr>
      <w:rFonts w:ascii="Palatino Linotype" w:hAnsi="Palatino Linotype"/>
      <w:noProof/>
      <w:color w:val="000000"/>
    </w:rPr>
  </w:style>
  <w:style w:type="paragraph" w:styleId="CommentSubject">
    <w:name w:val="annotation subject"/>
    <w:basedOn w:val="CommentText"/>
    <w:next w:val="CommentText"/>
    <w:link w:val="CommentSubjectChar"/>
    <w:rsid w:val="00130D6E"/>
    <w:rPr>
      <w:b/>
      <w:bCs/>
    </w:rPr>
  </w:style>
  <w:style w:type="character" w:customStyle="1" w:styleId="CommentSubjectChar">
    <w:name w:val="Comment Subject Char"/>
    <w:link w:val="CommentSubject"/>
    <w:rsid w:val="00130D6E"/>
    <w:rPr>
      <w:rFonts w:ascii="Palatino Linotype" w:hAnsi="Palatino Linotype"/>
      <w:b/>
      <w:bCs/>
      <w:noProof/>
      <w:color w:val="000000"/>
    </w:rPr>
  </w:style>
  <w:style w:type="character" w:styleId="EndnoteReference">
    <w:name w:val="endnote reference"/>
    <w:rsid w:val="00130D6E"/>
    <w:rPr>
      <w:vertAlign w:val="superscript"/>
    </w:rPr>
  </w:style>
  <w:style w:type="paragraph" w:styleId="EndnoteText">
    <w:name w:val="endnote text"/>
    <w:basedOn w:val="Normal"/>
    <w:link w:val="EndnoteTextChar"/>
    <w:semiHidden/>
    <w:unhideWhenUsed/>
    <w:rsid w:val="00130D6E"/>
    <w:pPr>
      <w:spacing w:line="240" w:lineRule="auto"/>
    </w:pPr>
  </w:style>
  <w:style w:type="character" w:customStyle="1" w:styleId="EndnoteTextChar">
    <w:name w:val="Endnote Text Char"/>
    <w:link w:val="EndnoteText"/>
    <w:semiHidden/>
    <w:rsid w:val="00130D6E"/>
    <w:rPr>
      <w:rFonts w:ascii="Palatino Linotype" w:hAnsi="Palatino Linotype"/>
      <w:noProof/>
      <w:color w:val="000000"/>
    </w:rPr>
  </w:style>
  <w:style w:type="character" w:styleId="FollowedHyperlink">
    <w:name w:val="FollowedHyperlink"/>
    <w:rsid w:val="00130D6E"/>
    <w:rPr>
      <w:color w:val="954F72"/>
      <w:u w:val="single"/>
    </w:rPr>
  </w:style>
  <w:style w:type="paragraph" w:styleId="FootnoteText">
    <w:name w:val="footnote text"/>
    <w:basedOn w:val="Normal"/>
    <w:link w:val="FootnoteTextChar"/>
    <w:semiHidden/>
    <w:unhideWhenUsed/>
    <w:rsid w:val="00130D6E"/>
    <w:pPr>
      <w:spacing w:line="240" w:lineRule="auto"/>
    </w:pPr>
  </w:style>
  <w:style w:type="character" w:customStyle="1" w:styleId="FootnoteTextChar">
    <w:name w:val="Footnote Text Char"/>
    <w:link w:val="FootnoteText"/>
    <w:semiHidden/>
    <w:rsid w:val="00130D6E"/>
    <w:rPr>
      <w:rFonts w:ascii="Palatino Linotype" w:hAnsi="Palatino Linotype"/>
      <w:noProof/>
      <w:color w:val="000000"/>
    </w:rPr>
  </w:style>
  <w:style w:type="paragraph" w:styleId="NormalWeb">
    <w:name w:val="Normal (Web)"/>
    <w:basedOn w:val="Normal"/>
    <w:uiPriority w:val="99"/>
    <w:rsid w:val="00130D6E"/>
    <w:rPr>
      <w:szCs w:val="24"/>
    </w:rPr>
  </w:style>
  <w:style w:type="paragraph" w:customStyle="1" w:styleId="MsoFootnoteText0">
    <w:name w:val="MsoFootnoteText"/>
    <w:basedOn w:val="NormalWeb"/>
    <w:qFormat/>
    <w:rsid w:val="00130D6E"/>
    <w:rPr>
      <w:rFonts w:ascii="Times New Roman" w:hAnsi="Times New Roman"/>
    </w:rPr>
  </w:style>
  <w:style w:type="character" w:styleId="PageNumber">
    <w:name w:val="page number"/>
    <w:rsid w:val="00130D6E"/>
  </w:style>
  <w:style w:type="character" w:styleId="PlaceholderText">
    <w:name w:val="Placeholder Text"/>
    <w:uiPriority w:val="99"/>
    <w:semiHidden/>
    <w:rsid w:val="00130D6E"/>
    <w:rPr>
      <w:color w:val="808080"/>
    </w:rPr>
  </w:style>
  <w:style w:type="paragraph" w:customStyle="1" w:styleId="MDPI71footnotes">
    <w:name w:val="MDPI_7.1_footnotes"/>
    <w:qFormat/>
    <w:rsid w:val="0083650A"/>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444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electronics-template.dot</Template>
  <TotalTime>0</TotalTime>
  <Pages>6</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3</cp:revision>
  <dcterms:created xsi:type="dcterms:W3CDTF">2025-06-13T06:09:00Z</dcterms:created>
  <dcterms:modified xsi:type="dcterms:W3CDTF">2025-06-18T06:14:00Z</dcterms:modified>
</cp:coreProperties>
</file>