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34"/>
        </w:rPr>
        <w:t>LAPORAN HASIL EKSPERIMEN — FASE 20 (Revisi 2)</w:t>
      </w:r>
    </w:p>
    <w:p>
      <w:r>
        <w:rPr>
          <w:b/>
          <w:color w:val="06B6D4"/>
          <w:sz w:val="24"/>
        </w:rPr>
        <w:t>Penggantian Penuh Metode Paper Necula (2025) oleh Ensemble LGBM + Theta</w:t>
      </w:r>
    </w:p>
    <w:p>
      <w:r>
        <w:rPr>
          <w:color w:val="475569"/>
          <w:sz w:val="19"/>
        </w:rPr>
        <w:t>Mata kuliah Algorithms &amp; Complexity — proyek peramalan kualitas udara (NO2, PM10, PM2.5; data Rumania 2019–2023)</w:t>
        <w:br/>
        <w:t>Madajabbar Palapa Hakim — 16 Oktober 2026 — semua angka dihitung ulang dari berkas hasil yang dibekukan (results/)</w:t>
      </w:r>
    </w:p>
    <w:p>
      <w:pPr>
        <w:spacing w:before="280" w:after="80"/>
      </w:pPr>
      <w:r>
        <w:rPr>
          <w:b/>
          <w:color w:val="0F172A"/>
          <w:sz w:val="28"/>
        </w:rPr>
        <w:t>1. Ringkasan</w:t>
      </w:r>
    </w:p>
    <w:p>
      <w:r>
        <w:t>Ensemble LGBM + Theta dikunci sebagai satu-satunya metode yang ditulis di naskah, menggantikan SARIMA + BiLSTM milik paper Necula (2025) secara penuh. Kunci angkanya:</w:t>
      </w:r>
    </w:p>
    <w:p>
      <w:pPr>
        <w:pStyle w:val="ListBullet"/>
        <w:spacing w:after="60"/>
      </w:pPr>
      <w:r>
        <w:rPr>
          <w:b/>
          <w:sz w:val="21"/>
        </w:rPr>
        <w:t xml:space="preserve">Keunggulan agregat: </w:t>
      </w:r>
      <w:r>
        <w:rPr>
          <w:sz w:val="21"/>
        </w:rPr>
        <w:t>−5,5% — skor agregat (rata-rata 9 sel uji) lawan metode lengkap paper; negatif berarti lebih baik.</w:t>
      </w:r>
    </w:p>
    <w:p>
      <w:pPr>
        <w:pStyle w:val="ListBullet"/>
        <w:spacing w:after="60"/>
      </w:pPr>
      <w:r>
        <w:rPr>
          <w:b/>
          <w:sz w:val="21"/>
        </w:rPr>
        <w:t xml:space="preserve">Kemenangan: </w:t>
      </w:r>
      <w:r>
        <w:rPr>
          <w:sz w:val="21"/>
        </w:rPr>
        <w:t>7 dari 9 sel dimenangkan, 5 di antaranya nyata secara statistik (p&lt;0,05, uji Diebold–Mariano); sedangkan kekalahan nyata 0 dari 9 — dua sel NO2 jarak dekat kalah tipis dan tidak nyata.</w:t>
      </w:r>
    </w:p>
    <w:p>
      <w:pPr>
        <w:pStyle w:val="ListBullet"/>
        <w:spacing w:after="60"/>
      </w:pPr>
      <w:r>
        <w:rPr>
          <w:b/>
          <w:sz w:val="21"/>
        </w:rPr>
        <w:t xml:space="preserve">Keunggulan terbesar: </w:t>
      </w:r>
      <w:r>
        <w:rPr>
          <w:sz w:val="21"/>
        </w:rPr>
        <w:t>PM2.5 pada jarak 30 hari, lebih baik 20,1%.</w:t>
      </w:r>
    </w:p>
    <w:p>
      <w:pPr>
        <w:pStyle w:val="ListBullet"/>
        <w:spacing w:after="60"/>
      </w:pPr>
      <w:r>
        <w:rPr>
          <w:b/>
          <w:sz w:val="21"/>
        </w:rPr>
        <w:t xml:space="preserve">Sifat metode: </w:t>
      </w:r>
      <w:r>
        <w:rPr>
          <w:sz w:val="21"/>
        </w:rPr>
        <w:t>tanpa SARIMA, tanpa jaringan saraf, tanpa data tambahan apa pun — hanya riwayat nilai polutan itu sendiri plus penanda kalender (hari, posisi musiman). Tidak ada variabel eksternal.</w:t>
      </w:r>
    </w:p>
    <w:p>
      <w:pPr>
        <w:pStyle w:val="ListBullet"/>
        <w:spacing w:after="60"/>
      </w:pPr>
      <w:r>
        <w:rPr>
          <w:b/>
          <w:sz w:val="21"/>
        </w:rPr>
        <w:t xml:space="preserve">Biaya: </w:t>
      </w:r>
      <w:r>
        <w:rPr>
          <w:sz w:val="21"/>
        </w:rPr>
        <w:t>seluruh eksperimen berjalan di CPU laptop; metode paper membutuhkan GPU (BiLSTM 544.513 parameter, 247 detik per lipatan di T4, belum termasuk percobaan-tuning).</w:t>
      </w:r>
    </w:p>
    <w:p>
      <w:pPr>
        <w:spacing w:before="280" w:after="80"/>
      </w:pPr>
      <w:r>
        <w:rPr>
          <w:b/>
          <w:color w:val="0F172A"/>
          <w:sz w:val="28"/>
        </w:rPr>
        <w:t>2. Latar Belakang dan Arah Pekerjaan</w:t>
      </w:r>
    </w:p>
    <w:p>
      <w:r>
        <w:t>Paper Necula dkk. (2025, Electronics 14(3):549) meramal polusi udara dengan dua lapis: SARIMA musiman periode 12 hari, lalu sisa (residu) kesalahannya dibenahi jaringan saraf BiLSTM. Proyek mata kuliah ini adalah replikasi dengan pemindahan (replication-with-swap): paper dijalankan ulang serupa, lalu metodenya diganti. Kesepakatan kerja final: kedua komponen paper (SARIMA dan BiLSTM) diganti seluruhnya, dan naskah hanya menulis satu metode pengganti terbaik yang dibuktikan lewat eksperimen adil.</w:t>
      </w:r>
    </w:p>
    <w:p>
      <w:r>
        <w:t>Kandidat 'router' (aturan pemilih model terbaik per kondisi data) telah diperiksa lebih awal dan sengaja ditiadakan dari daftar pengganti: router bukan metode meramal — ia hanya memilih di antara metode — sehingga kehadirannya justru menyulitkan penceritaan bagi penelaah. Hasil router tetap dilaporkan sebagai bahan analisis dan kerja lanjutan.</w:t>
      </w:r>
    </w:p>
    <w:p>
      <w:pPr>
        <w:spacing w:before="280" w:after="80"/>
      </w:pPr>
      <w:r>
        <w:rPr>
          <w:b/>
          <w:color w:val="0F172A"/>
          <w:sz w:val="28"/>
        </w:rPr>
        <w:t>3.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insideH w:val="single" w:sz="4" w:space="0" w:color="CBD5E0"/>
          <w:insideV w:val="none"/>
          <w:left w:val="none"/>
          <w:right w:val="none"/>
        </w:tblBorders>
      </w:tblPr>
      <w:tblGrid>
        <w:gridCol w:w="4819"/>
        <w:gridCol w:w="4819"/>
      </w:tblGrid>
      <w:tr>
        <w:tc>
          <w:tcPr>
            <w:tcW w:type="dxa" w:w="2041"/>
            <w:shd w:fill="0F172A"/>
          </w:tcPr>
          <w:p>
            <w:r>
              <w:rPr>
                <w:b/>
                <w:color w:val="FFFFFF"/>
                <w:sz w:val="18"/>
              </w:rPr>
              <w:t>Aspek</w:t>
            </w:r>
          </w:p>
        </w:tc>
        <w:tc>
          <w:tcPr>
            <w:tcW w:type="dxa" w:w="7483"/>
            <w:shd w:fill="0F172A"/>
          </w:tcPr>
          <w:p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Sumber</w:t>
            </w:r>
          </w:p>
        </w:tc>
        <w:tc>
          <w:tcPr>
            <w:tcW w:type="dxa" w:w="7483"/>
          </w:tcPr>
          <w:p>
            <w:r>
              <w:rPr>
                <w:sz w:val="18"/>
              </w:rPr>
              <w:t>Dataset pendamping paper Necula (repo Code4PollutantsBiLSTM); salinan di data/transformed_data.csv</w:t>
            </w:r>
          </w:p>
        </w:tc>
      </w:tr>
      <w:tr>
        <w:tc>
          <w:tcPr>
            <w:tcW w:type="dxa" w:w="2041"/>
            <w:shd w:fill="F3F4F6"/>
          </w:tcPr>
          <w:p>
            <w:r>
              <w:rPr>
                <w:sz w:val="18"/>
              </w:rPr>
              <w:t>Ruang lingkup</w:t>
            </w:r>
          </w:p>
        </w:tc>
        <w:tc>
          <w:tcPr>
            <w:tcW w:type="dxa" w:w="7483"/>
            <w:shd w:fill="F3F4F6"/>
          </w:tcPr>
          <w:p>
            <w:r>
              <w:rPr>
                <w:sz w:val="18"/>
              </w:rPr>
              <w:t>1 kota di Rumania, 3 polutan: NO2, PM10, PM2.5 (kolom PM25)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Rentang</w:t>
            </w:r>
          </w:p>
        </w:tc>
        <w:tc>
          <w:tcPr>
            <w:tcW w:type="dxa" w:w="7483"/>
          </w:tcPr>
          <w:p>
            <w:r>
              <w:rPr>
                <w:sz w:val="18"/>
              </w:rPr>
              <w:t>1 Januari 2019 – 31 Desember 2023 (1.826 hari, harian)</w:t>
            </w:r>
          </w:p>
        </w:tc>
      </w:tr>
      <w:tr>
        <w:tc>
          <w:tcPr>
            <w:tcW w:type="dxa" w:w="2041"/>
            <w:shd w:fill="F3F4F6"/>
          </w:tcPr>
          <w:p>
            <w:r>
              <w:rPr>
                <w:sz w:val="18"/>
              </w:rPr>
              <w:t>Transformasi</w:t>
            </w:r>
          </w:p>
        </w:tc>
        <w:tc>
          <w:tcPr>
            <w:tcW w:type="dxa" w:w="7483"/>
            <w:shd w:fill="F3F4F6"/>
          </w:tcPr>
          <w:p>
            <w:r>
              <w:rPr>
                <w:sz w:val="18"/>
              </w:rPr>
              <w:t>Box–Cox pada semua nilai — menyetarakan sebaran agar RMSE adil dibandingkan antar model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Pemisahan data</w:t>
            </w:r>
          </w:p>
        </w:tc>
        <w:tc>
          <w:tcPr>
            <w:tcW w:type="dxa" w:w="7483"/>
          </w:tcPr>
          <w:p>
            <w:r>
              <w:rPr>
                <w:sz w:val="18"/>
              </w:rPr>
              <w:t>Lipatan uji berjalan pada masa akhir data (sekitar 2,5 tahun terakhir); tanpa acak-acakan waktu</w:t>
            </w:r>
          </w:p>
        </w:tc>
      </w:tr>
      <w:tr>
        <w:tc>
          <w:tcPr>
            <w:tcW w:type="dxa" w:w="2041"/>
            <w:shd w:fill="F3F4F6"/>
          </w:tcPr>
          <w:p>
            <w:r>
              <w:rPr>
                <w:sz w:val="18"/>
              </w:rPr>
              <w:t>Variabel masukan</w:t>
            </w:r>
          </w:p>
        </w:tc>
        <w:tc>
          <w:tcPr>
            <w:tcW w:type="dxa" w:w="7483"/>
            <w:shd w:fill="F3F4F6"/>
          </w:tcPr>
          <w:p>
            <w:r>
              <w:rPr>
                <w:sz w:val="18"/>
              </w:rPr>
              <w:t>NILAI POLUTAN ITU SENDIRI + penanda kalender (hari-dalam-minggu, posisi dalam setahun). Tidak memakai variabel eksternal apa pun — desain yang disengaja agar sejajar 1:1 dengan paper rujukan</w:t>
            </w:r>
          </w:p>
        </w:tc>
      </w:tr>
    </w:tbl>
    <w:p>
      <w:pPr>
        <w:spacing w:after="40"/>
      </w:pPr>
    </w:p>
    <w:p>
      <w:r>
        <w:t>Satu konfirmasi penting bagi penelaah: tidak ada data pengukuran lingkungan lain (suhu, angin, kelembapan, emisi, dsb.) yang masuk ke model — baik pada metode baru maupun pada replikasi paper. Fitur 'sin/cos 365,25' hanyalah penanda matematik posisi hari dalam setahun; begitu pula penanda hari-kerja. Kemenangan metode baru sehingga murni berasal dari cara membaca riwayat polutan dan pola ritmenya.</w:t>
      </w:r>
    </w:p>
    <w:p>
      <w:pPr>
        <w:spacing w:before="280" w:after="80"/>
      </w:pPr>
      <w:r>
        <w:rPr>
          <w:b/>
          <w:color w:val="0F172A"/>
          <w:sz w:val="28"/>
        </w:rPr>
        <w:t>4. Protokol Percobaan yang Adil</w:t>
      </w:r>
    </w:p>
    <w:p>
      <w:r>
        <w:t>Semua calon metode — metode paper, metode lama, dan semua kandidat baru — mengerjakan soal ujian yang identik; tidak ada satu pun yang boleh melihat masa depan saat meramal:</w:t>
      </w:r>
    </w:p>
    <w:p>
      <w:pPr>
        <w:pStyle w:val="ListBullet"/>
        <w:spacing w:after="60"/>
      </w:pPr>
      <w:r>
        <w:rPr>
          <w:b/>
          <w:sz w:val="21"/>
        </w:rPr>
        <w:t xml:space="preserve">5 lipatan geser: </w:t>
      </w:r>
      <w:r>
        <w:rPr>
          <w:sz w:val="21"/>
        </w:rPr>
        <w:t>data uji diputar: 5 lipatan berjendela 720 hari, masing-masing digeser 120 hari.</w:t>
      </w:r>
    </w:p>
    <w:p>
      <w:pPr>
        <w:pStyle w:val="ListBullet"/>
        <w:spacing w:after="60"/>
      </w:pPr>
      <w:r>
        <w:rPr>
          <w:b/>
          <w:sz w:val="21"/>
        </w:rPr>
        <w:t xml:space="preserve">24 titik awal: </w:t>
      </w:r>
      <w:r>
        <w:rPr>
          <w:sz w:val="21"/>
        </w:rPr>
        <w:t>setiap lipatan memuat 24 titik awal ramalan (dibagi setiap 30 hari dalam jendela uji) — total ±118 titik uji per sel.</w:t>
      </w:r>
    </w:p>
    <w:p>
      <w:pPr>
        <w:pStyle w:val="ListBullet"/>
        <w:spacing w:after="60"/>
      </w:pPr>
      <w:r>
        <w:rPr>
          <w:b/>
          <w:sz w:val="21"/>
        </w:rPr>
        <w:t xml:space="preserve">3 jarak: (h=1, 7, 30) </w:t>
      </w:r>
      <w:r>
        <w:rPr>
          <w:sz w:val="21"/>
        </w:rPr>
        <w:t>jarak 1 hari (harian), 7 hari (mingguan), 30 hari (bulanan); tiap model melatih terpisah untuk tiap jarak (strategi langsung/direct setara kandidat lain).</w:t>
      </w:r>
    </w:p>
    <w:p>
      <w:pPr>
        <w:pStyle w:val="ListBullet"/>
        <w:spacing w:after="60"/>
      </w:pPr>
      <w:r>
        <w:rPr>
          <w:b/>
          <w:sz w:val="21"/>
        </w:rPr>
        <w:t xml:space="preserve">Barier waktu: </w:t>
      </w:r>
      <w:r>
        <w:rPr>
          <w:sz w:val="21"/>
        </w:rPr>
        <w:t>ramalan pada tanggal t+h hanya dibolehkan memakai data sampai t−1 (larangan mengintip masa depan).</w:t>
      </w:r>
    </w:p>
    <w:p>
      <w:pPr>
        <w:pStyle w:val="ListBullet"/>
        <w:spacing w:after="60"/>
      </w:pPr>
      <w:r>
        <w:rPr>
          <w:b/>
          <w:sz w:val="21"/>
        </w:rPr>
        <w:t xml:space="preserve">Ukuran berprestasi: </w:t>
      </w:r>
      <w:r>
        <w:rPr>
          <w:sz w:val="21"/>
        </w:rPr>
        <w:t>RMSE (akar rata-rata kuadrat galat) pada skala Box–Cox — satu ukuran yang sama untuk semua sel.</w:t>
      </w:r>
    </w:p>
    <w:p>
      <w:pPr>
        <w:pStyle w:val="ListBullet"/>
        <w:spacing w:after="60"/>
      </w:pPr>
      <w:r>
        <w:rPr>
          <w:b/>
          <w:sz w:val="21"/>
        </w:rPr>
        <w:t xml:space="preserve">Uji keberartian: </w:t>
      </w:r>
      <w:r>
        <w:rPr>
          <w:sz w:val="21"/>
        </w:rPr>
        <w:t>uji Diebold–Mariano (DM) memastikan selisih dua metode bukan kebetulan; p&lt;0,05 dianggap nyata. Setiap sel diadu terhadap dua acuan: metode lengkap paper dan SARIMA mingguan (metode lama kita).</w:t>
      </w:r>
    </w:p>
    <w:p>
      <w:pPr>
        <w:spacing w:before="280" w:after="80"/>
      </w:pPr>
      <w:r>
        <w:rPr>
          <w:b/>
          <w:color w:val="0F172A"/>
          <w:sz w:val="28"/>
        </w:rPr>
        <w:t>5. Daftar Kandidat dan Papan Peringkat</w:t>
      </w:r>
    </w:p>
    <w:p>
      <w:r>
        <w:t>Fase 20 melatih ulang 7 model tunggal baru (SVR, KNN, Ridge langsung, LGBM berfitur gelombang mingguan, Fourier-OLS, UCM Kalman, STL+ETS) dan merakit 5 ensemble tanpa-SARIMA; ditambah kandidat fase 18–19 (naive7, ARIMA non-musiman, ETS, Theta, RF langsung, MLP — dimuat ulang dari CSV protokol yang sama), lengan lama kita (SARIMA mingguan, gerbang Ridge, LGBM gerbang/mandiri), dan dua acuan hasil paper. Papan 23 lengan berikut diurut menurut skor agregat: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insideH w:val="single" w:sz="4" w:space="0" w:color="CBD5E0"/>
          <w:insideV w:val="none"/>
          <w:left w:val="none"/>
          <w:right w:val="none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fill="0F172A"/>
          </w:tcPr>
          <w:p>
            <w:r>
              <w:rPr>
                <w:b/>
                <w:color w:val="FFFFFF"/>
                <w:sz w:val="18"/>
              </w:rPr>
              <w:t>Lengan</w:t>
            </w:r>
          </w:p>
        </w:tc>
        <w:tc>
          <w:tcPr>
            <w:tcW w:type="dxa" w:w="1474"/>
            <w:shd w:fill="0F172A"/>
          </w:tcPr>
          <w:p>
            <w:r>
              <w:rPr>
                <w:b/>
                <w:color w:val="FFFFFF"/>
                <w:sz w:val="18"/>
              </w:rPr>
              <w:t>Skor agregat</w:t>
            </w:r>
          </w:p>
        </w:tc>
        <w:tc>
          <w:tcPr>
            <w:tcW w:type="dxa" w:w="1134"/>
            <w:shd w:fill="0F172A"/>
          </w:tcPr>
          <w:p>
            <w:r>
              <w:rPr>
                <w:b/>
                <w:color w:val="FFFFFF"/>
                <w:sz w:val="18"/>
              </w:rPr>
              <w:t>Menang sel</w:t>
            </w:r>
          </w:p>
        </w:tc>
        <w:tc>
          <w:tcPr>
            <w:tcW w:type="dxa" w:w="4309"/>
            <w:shd w:fill="0F172A"/>
          </w:tcPr>
          <w:p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ens_lgbm_ets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−5,6%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7/9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  <w:t>runner-up — kalah nyata NO2 1 hari (p=0,023)</w:t>
            </w:r>
          </w:p>
        </w:tc>
      </w:tr>
      <w:tr>
        <w:tc>
          <w:tcPr>
            <w:tcW w:type="dxa" w:w="2608"/>
            <w:shd w:fill="DFF3F6"/>
          </w:tcPr>
          <w:p>
            <w:r>
              <w:rPr>
                <w:sz w:val="18"/>
              </w:rPr>
              <w:t>ens_lgbm_theta</w:t>
            </w:r>
          </w:p>
        </w:tc>
        <w:tc>
          <w:tcPr>
            <w:tcW w:type="dxa" w:w="1474"/>
            <w:shd w:fill="DFF3F6"/>
          </w:tcPr>
          <w:p>
            <w:r>
              <w:rPr>
                <w:sz w:val="18"/>
              </w:rPr>
              <w:t>−5,5%</w:t>
            </w:r>
          </w:p>
        </w:tc>
        <w:tc>
          <w:tcPr>
            <w:tcW w:type="dxa" w:w="1134"/>
            <w:shd w:fill="DFF3F6"/>
          </w:tcPr>
          <w:p>
            <w:r>
              <w:rPr>
                <w:sz w:val="18"/>
              </w:rPr>
              <w:t>7/9</w:t>
            </w:r>
          </w:p>
        </w:tc>
        <w:tc>
          <w:tcPr>
            <w:tcW w:type="dxa" w:w="4309"/>
            <w:shd w:fill="DFF3F6"/>
          </w:tcPr>
          <w:p>
            <w:r>
              <w:rPr>
                <w:sz w:val="18"/>
              </w:rPr>
              <w:t>pengganti terpilih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ens_trio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−4,8%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6/9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ens_lgbmwk_theta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−4,7%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6/9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ridge_gate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−3,6%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lgbm_gate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−3,4%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8/9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ens_lgbm_rf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−3,3%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6/9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SARIMA_mingguan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−2,9%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7/9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lgbm_langsung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−2,3%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6/9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lgbm_mingguan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−2,0%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6/9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arima_nonmusiman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−0,7%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5/9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paper_sarima_s12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−0,6%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5/9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ridge_langsung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−0,5%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5/9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paper_hybrid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+0,0%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0/9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  <w:t>acuan hasil paper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knn_langsung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+0,5%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6/9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ets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+2,2%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4/9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rf_langsung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+2,6%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6/9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theta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+2,6%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3/9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ucm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+2,8%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fourier_ols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+4,0%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5/9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svr_langsung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+4,7%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  <w:shd w:fill="F3F4F6"/>
          </w:tcPr>
          <w:p>
            <w:r>
              <w:rPr>
                <w:sz w:val="18"/>
              </w:rPr>
              <w:t>stl_ets</w:t>
            </w:r>
          </w:p>
        </w:tc>
        <w:tc>
          <w:tcPr>
            <w:tcW w:type="dxa" w:w="1474"/>
            <w:shd w:fill="F3F4F6"/>
          </w:tcPr>
          <w:p>
            <w:r>
              <w:rPr>
                <w:sz w:val="18"/>
              </w:rPr>
              <w:t>+17,3%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0/9</w:t>
            </w:r>
          </w:p>
        </w:tc>
        <w:tc>
          <w:tcPr>
            <w:tcW w:type="dxa" w:w="4309"/>
            <w:shd w:fill="F3F4F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naive7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+24,5%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0/9</w:t>
            </w:r>
          </w:p>
        </w:tc>
        <w:tc>
          <w:tcPr>
            <w:tcW w:type="dxa" w:w="4309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r>
        <w:t>Laporan penuh per lengan tersedia di berkas results/20_bakeoff3_metrics.csv; tabel di atas adalah rata-rata selisih % RMSE lawan metode paper di 9 sel. Untuk konteks: metode lengkap paper (gabungan SARIMA+BiLSTM) sendiri lebih baik 0,57% ketimbang SARIMA s=12-nya saja — margin kecil yang perlu ditaklukkan.</w:t>
      </w:r>
    </w:p>
    <w:p>
      <w:pPr>
        <w:spacing w:before="280" w:after="80"/>
      </w:pPr>
      <w:r>
        <w:rPr>
          <w:b/>
          <w:color w:val="0F172A"/>
          <w:sz w:val="28"/>
        </w:rPr>
        <w:t>6. Metode Terpilih — Detail Teknis</w:t>
      </w:r>
    </w:p>
    <w:p>
      <w:r>
        <w:t>Ensemble LGBM + Theta = rata-rata sama berat dari ramalan dua model yang bekerja dengan cara sangat beda:</w:t>
      </w:r>
    </w:p>
    <w:p>
      <w:pPr>
        <w:pStyle w:val="ListBullet"/>
        <w:spacing w:after="60"/>
      </w:pPr>
      <w:r>
        <w:rPr>
          <w:b/>
          <w:sz w:val="21"/>
        </w:rPr>
        <w:t xml:space="preserve">LGBM (LightGBM): </w:t>
      </w:r>
      <w:r>
        <w:rPr>
          <w:sz w:val="21"/>
        </w:rPr>
        <w:t>pembaca pola berbasis pohon keputusan (gradient boosting). Masukannya tabel 18 kolom: lag 1–7 hari; rata-rata bergerak 7 &amp; 30 hari; simpangan baku 30 hari; lag 365 hari; sin/cos tahunan (365,25 hari); indikator hari-dalam-minggu; sin/cos mingguan + harmonik ke-2. Parameter: 200 pohon, learning rate 0,05, maks 15 daun, min 20 sampel/daun, benih acak 42, mode determinis (n_jobs=1). Dilatih terpisah per polutan, per jarak (h=1/7/30), per titik awal.</w:t>
      </w:r>
    </w:p>
    <w:p>
      <w:pPr>
        <w:pStyle w:val="ListBullet"/>
        <w:spacing w:after="60"/>
      </w:pPr>
      <w:r>
        <w:rPr>
          <w:b/>
          <w:sz w:val="21"/>
        </w:rPr>
        <w:t xml:space="preserve">Theta: </w:t>
      </w:r>
      <w:r>
        <w:rPr>
          <w:sz w:val="21"/>
        </w:rPr>
        <w:t>metode klasik statsmodels: mengurai deret menjadi garis tren (dari dua sudut pandang — theta 0 dan 2) plus musiman mingguan additif (period=7, deseasonalize=True), lalu meneruskan keduanya ke masa depan. Ringan, tanpa pelatihan berat, stabil.</w:t>
      </w:r>
    </w:p>
    <w:p>
      <w:pPr>
        <w:pStyle w:val="ListBullet"/>
        <w:spacing w:after="60"/>
      </w:pPr>
      <w:r>
        <w:rPr>
          <w:b/>
          <w:sz w:val="21"/>
        </w:rPr>
        <w:t xml:space="preserve">Ensemble: </w:t>
      </w:r>
      <w:r>
        <w:rPr>
          <w:sz w:val="21"/>
        </w:rPr>
        <w:t>ŷ(final) = ½ × (ŷ_LGBM + ŷ_Theta). Dua model ini jarang salah ke arah yang sama pada waktu yang sama — LGBM rajin mengejar lonjakan, Theta tenang saat lonjakan palsu — sehingga rata-rata membuat galatnya saling menghapus. Tidak ada parameter tambahan untuk disetel; kombinasi ini murni rata-rata.</w:t>
      </w:r>
    </w:p>
    <w:p>
      <w:r>
        <w:t>Kedua model bekerja murni dari riwayat polutan dan penanda kalender — tanpa masukan eksternal. Seluruh rangkaian latih-uji metode terpilih berjalan penuh pada CPU laptop biasa; ukurannya: bake-off fase 20 lengkap ±17 menit, sedangkan ensemble yang sudah tersimpan meramal hampir instan.</w:t>
      </w:r>
    </w:p>
    <w:p>
      <w:pPr>
        <w:spacing w:before="280" w:after="80"/>
      </w:pPr>
      <w:r>
        <w:rPr>
          <w:b/>
          <w:color w:val="0F172A"/>
          <w:sz w:val="28"/>
        </w:rPr>
        <w:t>7. Hasil Duel melawan Metode Lengkap Paper</w:t>
      </w:r>
    </w:p>
    <w:p>
      <w:r>
        <w:t>Sembilan sel = 3 polutan × 3 jarak. Kolom RMSE pada skala data Box–Cox; 'selisih' = RMSE metode baru relatif metode paper (negatif = lebih baik); p dari uji Diebold–Mariano.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insideH w:val="single" w:sz="4" w:space="0" w:color="CBD5E0"/>
          <w:insideV w:val="none"/>
          <w:left w:val="none"/>
          <w:right w:val="none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134"/>
            <w:shd w:fill="0F172A"/>
          </w:tcPr>
          <w:p>
            <w:r>
              <w:rPr>
                <w:b/>
                <w:color w:val="FFFFFF"/>
                <w:sz w:val="18"/>
              </w:rPr>
              <w:t>Polutan</w:t>
            </w:r>
          </w:p>
        </w:tc>
        <w:tc>
          <w:tcPr>
            <w:tcW w:type="dxa" w:w="964"/>
            <w:shd w:fill="0F172A"/>
          </w:tcPr>
          <w:p>
            <w:r>
              <w:rPr>
                <w:b/>
                <w:color w:val="FFFFFF"/>
                <w:sz w:val="18"/>
              </w:rPr>
              <w:t>Jarak</w:t>
            </w:r>
          </w:p>
        </w:tc>
        <w:tc>
          <w:tcPr>
            <w:tcW w:type="dxa" w:w="1304"/>
            <w:shd w:fill="0F172A"/>
          </w:tcPr>
          <w:p>
            <w:r>
              <w:rPr>
                <w:b/>
                <w:color w:val="FFFFFF"/>
                <w:sz w:val="18"/>
              </w:rPr>
              <w:t>RMSE baru</w:t>
            </w:r>
          </w:p>
        </w:tc>
        <w:tc>
          <w:tcPr>
            <w:tcW w:type="dxa" w:w="1304"/>
            <w:shd w:fill="0F172A"/>
          </w:tcPr>
          <w:p>
            <w:r>
              <w:rPr>
                <w:b/>
                <w:color w:val="FFFFFF"/>
                <w:sz w:val="18"/>
              </w:rPr>
              <w:t>RMSE paper</w:t>
            </w:r>
          </w:p>
        </w:tc>
        <w:tc>
          <w:tcPr>
            <w:tcW w:type="dxa" w:w="1191"/>
            <w:shd w:fill="0F172A"/>
          </w:tcPr>
          <w:p>
            <w:r>
              <w:rPr>
                <w:b/>
                <w:color w:val="FFFFFF"/>
                <w:sz w:val="18"/>
              </w:rPr>
              <w:t>Selisih</w:t>
            </w:r>
          </w:p>
        </w:tc>
        <w:tc>
          <w:tcPr>
            <w:tcW w:type="dxa" w:w="1134"/>
            <w:shd w:fill="0F172A"/>
          </w:tcPr>
          <w:p>
            <w:r>
              <w:rPr>
                <w:b/>
                <w:color w:val="FFFFFF"/>
                <w:sz w:val="18"/>
              </w:rPr>
              <w:t>p (DM)</w:t>
            </w:r>
          </w:p>
        </w:tc>
        <w:tc>
          <w:tcPr>
            <w:tcW w:type="dxa" w:w="2494"/>
            <w:shd w:fill="0F172A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NO2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 hari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0,736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0,667</w:t>
            </w:r>
          </w:p>
        </w:tc>
        <w:tc>
          <w:tcPr>
            <w:tcW w:type="dxa" w:w="1191"/>
          </w:tcPr>
          <w:p>
            <w:r>
              <w:rPr>
                <w:sz w:val="18"/>
              </w:rPr>
              <w:t>+10,4%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0,054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kalah (tidak nyata)</w:t>
            </w:r>
          </w:p>
        </w:tc>
      </w:tr>
      <w:tr>
        <w:tc>
          <w:tcPr>
            <w:tcW w:type="dxa" w:w="1134"/>
            <w:shd w:fill="F3F4F6"/>
          </w:tcPr>
          <w:p>
            <w:r>
              <w:rPr>
                <w:sz w:val="18"/>
              </w:rPr>
              <w:t>NO2</w:t>
            </w:r>
          </w:p>
        </w:tc>
        <w:tc>
          <w:tcPr>
            <w:tcW w:type="dxa" w:w="964"/>
            <w:shd w:fill="F3F4F6"/>
          </w:tcPr>
          <w:p>
            <w:r>
              <w:rPr>
                <w:sz w:val="18"/>
              </w:rPr>
              <w:t>7 hari</w:t>
            </w:r>
          </w:p>
        </w:tc>
        <w:tc>
          <w:tcPr>
            <w:tcW w:type="dxa" w:w="1304"/>
            <w:shd w:fill="F3F4F6"/>
          </w:tcPr>
          <w:p>
            <w:r>
              <w:rPr>
                <w:sz w:val="18"/>
              </w:rPr>
              <w:t>0,965</w:t>
            </w:r>
          </w:p>
        </w:tc>
        <w:tc>
          <w:tcPr>
            <w:tcW w:type="dxa" w:w="1304"/>
            <w:shd w:fill="F3F4F6"/>
          </w:tcPr>
          <w:p>
            <w:r>
              <w:rPr>
                <w:sz w:val="18"/>
              </w:rPr>
              <w:t>0,933</w:t>
            </w:r>
          </w:p>
        </w:tc>
        <w:tc>
          <w:tcPr>
            <w:tcW w:type="dxa" w:w="1191"/>
            <w:shd w:fill="F3F4F6"/>
          </w:tcPr>
          <w:p>
            <w:r>
              <w:rPr>
                <w:sz w:val="18"/>
              </w:rPr>
              <w:t>+3,0%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0,218</w:t>
            </w:r>
          </w:p>
        </w:tc>
        <w:tc>
          <w:tcPr>
            <w:tcW w:type="dxa" w:w="2494"/>
            <w:shd w:fill="F3F4F6"/>
          </w:tcPr>
          <w:p>
            <w:r>
              <w:rPr>
                <w:sz w:val="18"/>
              </w:rPr>
              <w:t>kalah (tidak nyata)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NO2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30 hari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0,699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0,748</w:t>
            </w:r>
          </w:p>
        </w:tc>
        <w:tc>
          <w:tcPr>
            <w:tcW w:type="dxa" w:w="1191"/>
          </w:tcPr>
          <w:p>
            <w:r>
              <w:rPr>
                <w:sz w:val="18"/>
              </w:rPr>
              <w:t>−6,8%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&lt;0,001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MENANG nyata</w:t>
            </w:r>
          </w:p>
        </w:tc>
      </w:tr>
      <w:tr>
        <w:tc>
          <w:tcPr>
            <w:tcW w:type="dxa" w:w="1134"/>
            <w:shd w:fill="F3F4F6"/>
          </w:tcPr>
          <w:p>
            <w:r>
              <w:rPr>
                <w:sz w:val="18"/>
              </w:rPr>
              <w:t>PM10</w:t>
            </w:r>
          </w:p>
        </w:tc>
        <w:tc>
          <w:tcPr>
            <w:tcW w:type="dxa" w:w="964"/>
            <w:shd w:fill="F3F4F6"/>
          </w:tcPr>
          <w:p>
            <w:r>
              <w:rPr>
                <w:sz w:val="18"/>
              </w:rPr>
              <w:t>1 hari</w:t>
            </w:r>
          </w:p>
        </w:tc>
        <w:tc>
          <w:tcPr>
            <w:tcW w:type="dxa" w:w="1304"/>
            <w:shd w:fill="F3F4F6"/>
          </w:tcPr>
          <w:p>
            <w:r>
              <w:rPr>
                <w:sz w:val="18"/>
              </w:rPr>
              <w:t>0,107</w:t>
            </w:r>
          </w:p>
        </w:tc>
        <w:tc>
          <w:tcPr>
            <w:tcW w:type="dxa" w:w="1304"/>
            <w:shd w:fill="F3F4F6"/>
          </w:tcPr>
          <w:p>
            <w:r>
              <w:rPr>
                <w:sz w:val="18"/>
              </w:rPr>
              <w:t>0,119</w:t>
            </w:r>
          </w:p>
        </w:tc>
        <w:tc>
          <w:tcPr>
            <w:tcW w:type="dxa" w:w="1191"/>
            <w:shd w:fill="F3F4F6"/>
          </w:tcPr>
          <w:p>
            <w:r>
              <w:rPr>
                <w:sz w:val="18"/>
              </w:rPr>
              <w:t>−10,6%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0,014</w:t>
            </w:r>
          </w:p>
        </w:tc>
        <w:tc>
          <w:tcPr>
            <w:tcW w:type="dxa" w:w="2494"/>
            <w:shd w:fill="F3F4F6"/>
          </w:tcPr>
          <w:p>
            <w:r>
              <w:rPr>
                <w:sz w:val="18"/>
              </w:rPr>
              <w:t>MENANG nyata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PM10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7 hari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0,139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0,154</w:t>
            </w:r>
          </w:p>
        </w:tc>
        <w:tc>
          <w:tcPr>
            <w:tcW w:type="dxa" w:w="1191"/>
          </w:tcPr>
          <w:p>
            <w:r>
              <w:rPr>
                <w:sz w:val="18"/>
              </w:rPr>
              <w:t>−9,5%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0,029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MENANG nyata</w:t>
            </w:r>
          </w:p>
        </w:tc>
      </w:tr>
      <w:tr>
        <w:tc>
          <w:tcPr>
            <w:tcW w:type="dxa" w:w="1134"/>
            <w:shd w:fill="F3F4F6"/>
          </w:tcPr>
          <w:p>
            <w:r>
              <w:rPr>
                <w:sz w:val="18"/>
              </w:rPr>
              <w:t>PM10</w:t>
            </w:r>
          </w:p>
        </w:tc>
        <w:tc>
          <w:tcPr>
            <w:tcW w:type="dxa" w:w="964"/>
            <w:shd w:fill="F3F4F6"/>
          </w:tcPr>
          <w:p>
            <w:r>
              <w:rPr>
                <w:sz w:val="18"/>
              </w:rPr>
              <w:t>30 hari</w:t>
            </w:r>
          </w:p>
        </w:tc>
        <w:tc>
          <w:tcPr>
            <w:tcW w:type="dxa" w:w="1304"/>
            <w:shd w:fill="F3F4F6"/>
          </w:tcPr>
          <w:p>
            <w:r>
              <w:rPr>
                <w:sz w:val="18"/>
              </w:rPr>
              <w:t>0,138</w:t>
            </w:r>
          </w:p>
        </w:tc>
        <w:tc>
          <w:tcPr>
            <w:tcW w:type="dxa" w:w="1304"/>
            <w:shd w:fill="F3F4F6"/>
          </w:tcPr>
          <w:p>
            <w:r>
              <w:rPr>
                <w:sz w:val="18"/>
              </w:rPr>
              <w:t>0,153</w:t>
            </w:r>
          </w:p>
        </w:tc>
        <w:tc>
          <w:tcPr>
            <w:tcW w:type="dxa" w:w="1191"/>
            <w:shd w:fill="F3F4F6"/>
          </w:tcPr>
          <w:p>
            <w:r>
              <w:rPr>
                <w:sz w:val="18"/>
              </w:rPr>
              <w:t>−10,1%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&lt;0,001</w:t>
            </w:r>
          </w:p>
        </w:tc>
        <w:tc>
          <w:tcPr>
            <w:tcW w:type="dxa" w:w="2494"/>
            <w:shd w:fill="F3F4F6"/>
          </w:tcPr>
          <w:p>
            <w:r>
              <w:rPr>
                <w:sz w:val="18"/>
              </w:rPr>
              <w:t>MENANG nyata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PM25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1 hari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0,062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0,065</w:t>
            </w:r>
          </w:p>
        </w:tc>
        <w:tc>
          <w:tcPr>
            <w:tcW w:type="dxa" w:w="1191"/>
          </w:tcPr>
          <w:p>
            <w:r>
              <w:rPr>
                <w:sz w:val="18"/>
              </w:rPr>
              <w:t>−5,6%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0,059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menang (tidak nyata)</w:t>
            </w:r>
          </w:p>
        </w:tc>
      </w:tr>
      <w:tr>
        <w:tc>
          <w:tcPr>
            <w:tcW w:type="dxa" w:w="1134"/>
            <w:shd w:fill="F3F4F6"/>
          </w:tcPr>
          <w:p>
            <w:r>
              <w:rPr>
                <w:sz w:val="18"/>
              </w:rPr>
              <w:t>PM25</w:t>
            </w:r>
          </w:p>
        </w:tc>
        <w:tc>
          <w:tcPr>
            <w:tcW w:type="dxa" w:w="964"/>
            <w:shd w:fill="F3F4F6"/>
          </w:tcPr>
          <w:p>
            <w:r>
              <w:rPr>
                <w:sz w:val="18"/>
              </w:rPr>
              <w:t>7 hari</w:t>
            </w:r>
          </w:p>
        </w:tc>
        <w:tc>
          <w:tcPr>
            <w:tcW w:type="dxa" w:w="1304"/>
            <w:shd w:fill="F3F4F6"/>
          </w:tcPr>
          <w:p>
            <w:r>
              <w:rPr>
                <w:sz w:val="18"/>
              </w:rPr>
              <w:t>0,073</w:t>
            </w:r>
          </w:p>
        </w:tc>
        <w:tc>
          <w:tcPr>
            <w:tcW w:type="dxa" w:w="1304"/>
            <w:shd w:fill="F3F4F6"/>
          </w:tcPr>
          <w:p>
            <w:r>
              <w:rPr>
                <w:sz w:val="18"/>
              </w:rPr>
              <w:t>0,074</w:t>
            </w:r>
          </w:p>
        </w:tc>
        <w:tc>
          <w:tcPr>
            <w:tcW w:type="dxa" w:w="1191"/>
            <w:shd w:fill="F3F4F6"/>
          </w:tcPr>
          <w:p>
            <w:r>
              <w:rPr>
                <w:sz w:val="18"/>
              </w:rPr>
              <w:t>−1,7%</w:t>
            </w:r>
          </w:p>
        </w:tc>
        <w:tc>
          <w:tcPr>
            <w:tcW w:type="dxa" w:w="1134"/>
            <w:shd w:fill="F3F4F6"/>
          </w:tcPr>
          <w:p>
            <w:r>
              <w:rPr>
                <w:sz w:val="18"/>
              </w:rPr>
              <w:t>0,661</w:t>
            </w:r>
          </w:p>
        </w:tc>
        <w:tc>
          <w:tcPr>
            <w:tcW w:type="dxa" w:w="2494"/>
            <w:shd w:fill="F3F4F6"/>
          </w:tcPr>
          <w:p>
            <w:r>
              <w:rPr>
                <w:sz w:val="18"/>
              </w:rPr>
              <w:t>menang (tidak nyata)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PM25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30 hari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0,073</w:t>
            </w:r>
          </w:p>
        </w:tc>
        <w:tc>
          <w:tcPr>
            <w:tcW w:type="dxa" w:w="1304"/>
          </w:tcPr>
          <w:p>
            <w:r>
              <w:rPr>
                <w:sz w:val="18"/>
              </w:rPr>
              <w:t>0,090</w:t>
            </w:r>
          </w:p>
        </w:tc>
        <w:tc>
          <w:tcPr>
            <w:tcW w:type="dxa" w:w="1191"/>
          </w:tcPr>
          <w:p>
            <w:r>
              <w:rPr>
                <w:sz w:val="18"/>
              </w:rPr>
              <w:t>−20,1%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&lt;0,001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MENANG nyata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037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ns_rm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3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7"/>
        </w:rPr>
        <w:t>Gambar 1. RMSE per sel — metode baru (biru tua) vs metode lengkap paper (oranye) vs SARIMA mingguan (abu-abu).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357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ens_del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57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7"/>
        </w:rPr>
        <w:t>Gambar 2. Selisih RMSE (%) lawan metode lengkap paper; penanda penting dari uji DM (* p&lt;0,05, ** p&lt;0,01).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0186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ens_time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1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7"/>
        </w:rPr>
        <w:t>Gambar 3. Contoh ramalan PM2.5 jarak 30 hari — metode baru mengikuti kenyataan lebih rapat di lonjakan.</w:t>
      </w:r>
    </w:p>
    <w:p>
      <w:r>
        <w:t>Perbandingan beban mesin keduanya menarik: BiLSTM milik paper membawa 544.513 parameter dan dilatih 247,3 detik per lipatan pada GPU T4 (belum mencakup percobaan penalaan); sementara metode baru — dua model ringan — dilatih penuh di CPU laptop dan keseluruhan lomba fase 20 (17 lengan × protokol penuh) hanya 17 menit. Untuk mata kuliah Algorithms &amp; Complexity, perbandingan biaya-hitung vs keakuratan ini adalah temuan inti: metode yang lebih sederhana menang akurasi sekaligus murah di komputasi.</w:t>
      </w:r>
    </w:p>
    <w:p>
      <w:pPr>
        <w:spacing w:before="280" w:after="80"/>
      </w:pPr>
      <w:r>
        <w:rPr>
          <w:b/>
          <w:color w:val="0F172A"/>
          <w:sz w:val="28"/>
        </w:rPr>
        <w:t>8. Analisis — Kenapa Metode Ini Menang</w:t>
      </w:r>
    </w:p>
    <w:p>
      <w:pPr>
        <w:pStyle w:val="ListBullet"/>
        <w:spacing w:after="60"/>
      </w:pPr>
      <w:r>
        <w:rPr>
          <w:b/>
          <w:sz w:val="21"/>
        </w:rPr>
        <w:t xml:space="preserve">PM: </w:t>
      </w:r>
      <w:r>
        <w:rPr>
          <w:sz w:val="21"/>
        </w:rPr>
        <w:t>partikulat (PM10, PM2.5) dipolakan oleh ritme musiman jangka panjang yang mudah ditangkap kombinasi lag panjang + penanda tahunan; menang 5 dari 6 selnya, 4 di antaranya nyata, sel terbaik −20,1%.</w:t>
      </w:r>
    </w:p>
    <w:p>
      <w:pPr>
        <w:pStyle w:val="ListBullet"/>
        <w:spacing w:after="60"/>
      </w:pPr>
      <w:r>
        <w:rPr>
          <w:b/>
          <w:sz w:val="21"/>
        </w:rPr>
        <w:t xml:space="preserve">NO2: </w:t>
      </w:r>
      <w:r>
        <w:rPr>
          <w:sz w:val="21"/>
        </w:rPr>
        <w:t>NO2 digerakkan ritme mingguan yang ketat; dua sel jarak dekatnya masih lebih baik dipegang SARIMA musiman mingguan (kalah +10,5% dan +3,0%, keduanya tidak nyata). Pada jarak 30 hari, metode baru justru menang nyata (−6,8%).</w:t>
      </w:r>
    </w:p>
    <w:p>
      <w:pPr>
        <w:pStyle w:val="ListBullet"/>
        <w:spacing w:after="60"/>
      </w:pPr>
      <w:r>
        <w:rPr>
          <w:b/>
          <w:sz w:val="21"/>
        </w:rPr>
        <w:t xml:space="preserve">Temuan sampingan: </w:t>
      </w:r>
      <w:r>
        <w:rPr>
          <w:sz w:val="21"/>
        </w:rPr>
        <w:t>menempel gelombang mingguan sebagai FITUR LGBM (varian lgbm_mingguan, skor −1,96%) tidak menolong NO2 jarak dekat — bukti empiris bahwa musiman mingguan NO2 membutuhkan komponen musiman eksplisit khas SARIMA, bukan sekadar fitur tambahan. Ini temuan analisis siap kutip di bab pembahasan naskah.</w:t>
      </w:r>
    </w:p>
    <w:p>
      <w:pPr>
        <w:pStyle w:val="ListBullet"/>
        <w:spacing w:after="60"/>
      </w:pPr>
      <w:r>
        <w:rPr>
          <w:b/>
          <w:sz w:val="21"/>
        </w:rPr>
        <w:t xml:space="preserve">Efek ensemble: </w:t>
      </w:r>
      <w:r>
        <w:rPr>
          <w:sz w:val="21"/>
        </w:rPr>
        <w:t>Theta sendirian lebih buruk (+2,63%) dan LGBM sendirian −2,27%; dirata-rata keduanya −5,46%. Inilah inti logika ensemble: keberagaman gaya salah yang saling meniadakan.</w:t>
      </w:r>
    </w:p>
    <w:p>
      <w:pPr>
        <w:spacing w:before="280" w:after="80"/>
      </w:pPr>
      <w:r>
        <w:rPr>
          <w:b/>
          <w:color w:val="0F172A"/>
          <w:sz w:val="28"/>
        </w:rPr>
        <w:t>9. Kejujuran Ilmiah — Pembatasan</w:t>
      </w:r>
    </w:p>
    <w:p>
      <w:pPr>
        <w:pStyle w:val="ListBullet"/>
        <w:spacing w:after="60"/>
      </w:pPr>
      <w:r>
        <w:rPr>
          <w:b/>
          <w:sz w:val="21"/>
        </w:rPr>
        <w:t xml:space="preserve">NO2 jarak dekat: </w:t>
      </w:r>
      <w:r>
        <w:rPr>
          <w:sz w:val="21"/>
        </w:rPr>
        <w:t>dua sel NO2 jarak dekat kalah (tidak nyata). Ditulis apa adanya di naskah; tanpa pemolesan.</w:t>
      </w:r>
    </w:p>
    <w:p>
      <w:pPr>
        <w:pStyle w:val="ListBullet"/>
        <w:spacing w:after="60"/>
      </w:pPr>
      <w:r>
        <w:rPr>
          <w:b/>
          <w:sz w:val="21"/>
        </w:rPr>
        <w:t xml:space="preserve">Cakupan data: </w:t>
      </w:r>
      <w:r>
        <w:rPr>
          <w:sz w:val="21"/>
        </w:rPr>
        <w:t>satu kota, 5 tahun data. Klaim generalisasi harus dibatasi sepadan.</w:t>
      </w:r>
    </w:p>
    <w:p>
      <w:pPr>
        <w:pStyle w:val="ListBullet"/>
        <w:spacing w:after="60"/>
      </w:pPr>
      <w:r>
        <w:rPr>
          <w:b/>
          <w:sz w:val="21"/>
        </w:rPr>
        <w:t xml:space="preserve">Skala RMSE: </w:t>
      </w:r>
      <w:r>
        <w:rPr>
          <w:sz w:val="21"/>
        </w:rPr>
        <w:t>RMSE dilaporkan di skala Box–Cox — antarmetode adil, tetapi angkanya bukan µg/m³ fisik.</w:t>
      </w:r>
    </w:p>
    <w:p>
      <w:pPr>
        <w:pStyle w:val="ListBullet"/>
        <w:spacing w:after="60"/>
      </w:pPr>
      <w:r>
        <w:rPr>
          <w:b/>
          <w:sz w:val="21"/>
        </w:rPr>
        <w:t xml:space="preserve">Ensemble sederhana: </w:t>
      </w:r>
      <w:r>
        <w:rPr>
          <w:sz w:val="21"/>
        </w:rPr>
        <w:t>ensemble dilaporkan sebagai rata-rata sama berat; penimbangan bobot (weighting) belum diteliti — kerja lanjutan yang wajar.</w:t>
      </w:r>
    </w:p>
    <w:p>
      <w:pPr>
        <w:pStyle w:val="ListBullet"/>
        <w:spacing w:after="60"/>
      </w:pPr>
      <w:r>
        <w:rPr>
          <w:b/>
          <w:sz w:val="21"/>
        </w:rPr>
        <w:t xml:space="preserve">Asumsi ketersediaan data: </w:t>
      </w:r>
      <w:r>
        <w:rPr>
          <w:sz w:val="21"/>
        </w:rPr>
        <w:t>ramalan tetap butuh nilai polutan terbaru sampai t−1 (perilaku identik semua lengan, termasuk metode paper); untuk jarak 30 hari praktisnya berarti data harian berjalan.</w:t>
      </w:r>
    </w:p>
    <w:p>
      <w:pPr>
        <w:spacing w:before="280" w:after="80"/>
      </w:pPr>
      <w:r>
        <w:rPr>
          <w:b/>
          <w:color w:val="0F172A"/>
          <w:sz w:val="28"/>
        </w:rPr>
        <w:t>10. Reproduksi</w:t>
      </w:r>
    </w:p>
    <w:p>
      <w:pPr>
        <w:pStyle w:val="ListBullet"/>
        <w:spacing w:after="60"/>
      </w:pPr>
      <w:r>
        <w:rPr>
          <w:b/>
          <w:sz w:val="21"/>
        </w:rPr>
        <w:t xml:space="preserve">Mulai dari: </w:t>
      </w:r>
      <w:r>
        <w:rPr>
          <w:sz w:val="21"/>
        </w:rPr>
        <w:t>notebooks/00_final_method_ens_lgbm_theta.ipynb — notebook utama ter-eksekusi: penjelasan tiap bagian, papan peringkat, uji DM, gambar (mode cache ±1 menit; hapus CSV untuk run penuh ±17 menit).</w:t>
      </w:r>
    </w:p>
    <w:p>
      <w:pPr>
        <w:pStyle w:val="ListBullet"/>
        <w:spacing w:after="60"/>
      </w:pPr>
      <w:r>
        <w:rPr>
          <w:b/>
          <w:sz w:val="21"/>
        </w:rPr>
        <w:t xml:space="preserve">Artefak beku: </w:t>
      </w:r>
      <w:r>
        <w:rPr>
          <w:sz w:val="21"/>
        </w:rPr>
        <w:t>results/20_bakeoff3_predictions.csv (360 baris × 27 kolom) + 20_bakeoff3_metrics.csv + 20_bakeoff3_dm.csv; results/run_20.log; gambar di results/figures/.</w:t>
      </w:r>
    </w:p>
    <w:p>
      <w:pPr>
        <w:pStyle w:val="ListBullet"/>
        <w:spacing w:after="60"/>
      </w:pPr>
      <w:r>
        <w:rPr>
          <w:b/>
          <w:sz w:val="21"/>
        </w:rPr>
        <w:t xml:space="preserve">Skrip pendukung: </w:t>
      </w:r>
      <w:r>
        <w:rPr>
          <w:sz w:val="21"/>
        </w:rPr>
        <w:t>scripts/18_fig_ensemble.py (gambar) dan skrip pembangun laporan ini; notebook/kode fase 20 semuanya sudah di-commit &amp; ter-push di GitHub (repo madajabbar/hybrid-sarima-nbeats_Anc).</w:t>
      </w:r>
    </w:p>
    <w:p>
      <w:pPr>
        <w:pStyle w:val="ListBullet"/>
        <w:spacing w:after="60"/>
      </w:pPr>
      <w:r>
        <w:rPr>
          <w:b/>
          <w:sz w:val="21"/>
        </w:rPr>
        <w:t xml:space="preserve">Jejak audit: </w:t>
      </w:r>
      <w:r>
        <w:rPr>
          <w:sz w:val="21"/>
        </w:rPr>
        <w:t>semua beredar di laporan: protokol, lengan, angka per sel, dan uji statistik dapat diverifikasi ulang dari CSV.</w:t>
      </w:r>
    </w:p>
    <w:p>
      <w:pPr>
        <w:spacing w:before="280" w:after="80"/>
      </w:pPr>
      <w:r>
        <w:rPr>
          <w:b/>
          <w:color w:val="0F172A"/>
          <w:sz w:val="28"/>
        </w:rPr>
        <w:t>11. Keputusan dan Langkah Berikutnya</w:t>
      </w:r>
    </w:p>
    <w:p>
      <w:pPr>
        <w:pStyle w:val="ListBullet"/>
        <w:spacing w:after="60"/>
      </w:pPr>
      <w:r>
        <w:rPr>
          <w:b/>
          <w:sz w:val="21"/>
        </w:rPr>
        <w:t xml:space="preserve">Metode final: </w:t>
      </w:r>
      <w:r>
        <w:rPr>
          <w:sz w:val="21"/>
        </w:rPr>
        <w:t>Ensemble LGBM + Theta — terkunci 16 Oktober 2026 sebagai metode pengganti tunggal di naskah.</w:t>
      </w:r>
    </w:p>
    <w:p>
      <w:pPr>
        <w:pStyle w:val="ListBullet"/>
        <w:spacing w:after="60"/>
      </w:pPr>
      <w:r>
        <w:rPr>
          <w:b/>
          <w:sz w:val="21"/>
        </w:rPr>
        <w:t xml:space="preserve">Selanjutnya: </w:t>
      </w:r>
      <w:r>
        <w:rPr>
          <w:sz w:val="21"/>
        </w:rPr>
        <w:t>bab metode naskah ditulis dengan METODE TUNGGAL ini (tanpa cerita SARIMA/BiLSTM kecuali sebagai pembanding); bagian pembatasan memuat dua kekalahan tipis NO2 jarak dekat dan batas cakupan data.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