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8"/>
          <w:szCs w:val="48"/>
        </w:rPr>
        <w:t xml:space="preserve">Data Warehouse Implementation Summary</w:t>
      </w:r>
    </w:p>
    <w:p>
      <w:pPr>
        <w:spacing w:before="150"/>
        <w:jc w:val="center"/>
      </w:pPr>
      <w:r>
        <w:rPr>
          <w:color w:val="2E5F8A"/>
          <w:sz w:val="26"/>
          <w:szCs w:val="26"/>
        </w:rPr>
        <w:t xml:space="preserve">AU Property Data Warehouse — Part 2 (Star Schema + SSIS Load)</w:t>
      </w:r>
    </w:p>
    <w:p>
      <w:pPr>
        <w:spacing w:before="400"/>
        <w:jc w:val="center"/>
      </w:pPr>
      <w:r>
        <w:rPr>
          <w:sz w:val="22"/>
          <w:szCs w:val="22"/>
        </w:rPr>
        <w:t xml:space="preserve">BI Developer / Data Analyst Advanced Sprint</w:t>
      </w:r>
    </w:p>
    <w:p>
      <w:r>
        <w:br w:type="page"/>
      </w:r>
    </w:p>
    <w:p>
      <w:pPr>
        <w:pStyle w:val="Heading1"/>
        <w:spacing w:after="180" w:before="380"/>
      </w:pPr>
      <w:r>
        <w:t xml:space="preserve">My Dimensional Modeling Approach</w:t>
      </w:r>
    </w:p>
    <w:p>
      <w:pPr>
        <w:spacing w:after="180" w:line="300"/>
      </w:pPr>
      <w:r>
        <w:t xml:space="preserve">I followed the Kimball approach for this, which is basically: figure out your business processes first, then figure out your grain, then build dimensions and facts around that — not the other way round.</w:t>
      </w:r>
    </w:p>
    <w:p>
      <w:pPr>
        <w:spacing w:after="180" w:line="300"/>
      </w:pPr>
      <w:r>
        <w:t xml:space="preserve">The starting point was a Bus Matrix. I listed my five business processes (house value, rental value, crime, school presence, transport access) down one side and my candidate dimensions across the top, and marked where each process actually needed a dimension. That's what made it obvious Suburb should be the hub of the whole design — it's the only thing every single process needs. Everything else (offence type, rental house type, school, transport stop) only gets used by one fact table each.</w:t>
      </w:r>
    </w:p>
    <w:p>
      <w:pPr>
        <w:spacing w:after="180" w:line="300"/>
      </w:pPr>
      <w:r>
        <w:t xml:space="preserve">Before writing a single CREATE TABLE statement, I also wrote down the grain of each fact table — one sentence describing what a single row actually means (e.g. “one row per suburb” for house value, “one row per suburb + offence category + subcategory” for crime). I did this because it's the easiest thing to get wrong, and if the grain is wrong everything built on top of it is wrong too.</w:t>
      </w:r>
    </w:p>
    <w:p>
      <w:pPr>
        <w:spacing w:after="180" w:line="300"/>
      </w:pPr>
      <w:r>
        <w:t xml:space="preserve">I built everything as a star schema rather than a snowflake schema — meaning I kept each dimension as one flat table instead of splitting it into sub-tables (e.g. I could have split SchoolType out of DimSchool into its own tiny table, but there was no real benefit to it, just an extra join).</w:t>
      </w:r>
    </w:p>
    <w:p>
      <w:pPr>
        <w:pStyle w:val="Heading1"/>
        <w:spacing w:after="180" w:before="380"/>
      </w:pPr>
      <w:r>
        <w:t xml:space="preserve">Key Design Decisions</w:t>
      </w:r>
    </w:p>
    <w:p>
      <w:pPr>
        <w:pStyle w:val="Heading2"/>
        <w:spacing w:after="130" w:before="260"/>
      </w:pPr>
      <w:r>
        <w:t xml:space="preserve">Surrogate keys everywhere</w:t>
      </w:r>
    </w:p>
    <w:p>
      <w:pPr>
        <w:spacing w:after="180" w:line="300"/>
      </w:pPr>
      <w:r>
        <w:t xml:space="preserve">Every dimension gets its own made-up ID number (a surrogate key) instead of using the real-world text value as the key. This is standard practice — it keeps the fact tables smaller, and more importantly it let me add a special “Unknown” row without it looking out of place next to real data.</w:t>
      </w:r>
    </w:p>
    <w:p>
      <w:pPr>
        <w:pStyle w:val="Heading2"/>
        <w:spacing w:after="130" w:before="260"/>
      </w:pPr>
      <w:r>
        <w:t xml:space="preserve">The Unknown member (SuburbKey = -1)</w:t>
      </w:r>
    </w:p>
    <w:p>
      <w:pPr>
        <w:spacing w:after="180" w:line="300"/>
      </w:pPr>
      <w:r>
        <w:t xml:space="preserve">Back in Part 1's validation I already knew a handful of suburbs mentioned in the source files (like a naval base and a federal territory) don't actually exist in the official suburb list. Rather than let those rows crash the load or silently vanish, I added one row to DimSuburb with SuburbKey = -1, and every fact table falls back to that key if it can't find a real match. I can then run a quick query counting how many rows landed on -1 for each fact table, which doubles as a small data-quality report.</w:t>
      </w:r>
    </w:p>
    <w:p>
      <w:pPr>
        <w:pStyle w:val="Heading2"/>
        <w:spacing w:after="130" w:before="260"/>
      </w:pPr>
      <w:r>
        <w:t xml:space="preserve">Factless fact tables for School and Transport</w:t>
      </w:r>
    </w:p>
    <w:p>
      <w:pPr>
        <w:spacing w:after="180" w:line="300"/>
      </w:pPr>
      <w:r>
        <w:t xml:space="preserve">The brief specifically asked me to look into these. A factless fact table just records that a relationship exists, with no number attached — I used this for FactSchoolPresence and FactTransportAccess because the source data for schools and transport stops doesn't give me anything to measure, only a location. You query them with COUNT instead of SUM.</w:t>
      </w:r>
    </w:p>
    <w:p>
      <w:pPr>
        <w:pStyle w:val="Heading2"/>
        <w:spacing w:after="130" w:before="260"/>
      </w:pPr>
      <w:r>
        <w:t xml:space="preserve">Composite natural keys where a single column wasn't safe</w:t>
      </w:r>
    </w:p>
    <w:p>
      <w:pPr>
        <w:spacing w:after="180" w:line="300"/>
      </w:pPr>
      <w:r>
        <w:t xml:space="preserve">School codes and transport stop names both repeat across different states, so I couldn't use SchoolCode or StopName by themselves to uniquely identify a row — I had to combine them with StateCode (and, for transport stops, the coordinates too) to get something actually unique.</w:t>
      </w:r>
    </w:p>
    <w:p>
      <w:pPr>
        <w:pStyle w:val="Heading2"/>
        <w:spacing w:after="130" w:before="260"/>
      </w:pPr>
      <w:r>
        <w:t xml:space="preserve">Filtering out rows with no real measure</w:t>
      </w:r>
    </w:p>
    <w:p>
      <w:pPr>
        <w:spacing w:after="180" w:line="300"/>
      </w:pPr>
      <w:r>
        <w:t xml:space="preserve">While building FactHouseValue I found that 816 of the 5,812 rows in the source table had no price recorded at all. Rather than force a blank/zero value into the fact table, I excluded those rows at the source query — a fact table row should only exist if there's actually something to measure. I noted the exact count (816) so it's documented rather than just silently missing.</w:t>
      </w:r>
    </w:p>
    <w:p>
      <w:r>
        <w:br w:type="page"/>
      </w:r>
    </w:p>
    <w:p>
      <w:pPr>
        <w:pStyle w:val="Heading1"/>
        <w:spacing w:after="180" w:before="380"/>
      </w:pPr>
      <w:r>
        <w:t xml:space="preserve">Challenges I Ran Into (and How I Fixed Them)</w:t>
      </w:r>
    </w:p>
    <w:p>
      <w:pPr>
        <w:spacing w:after="180" w:line="300"/>
      </w:pPr>
      <w:r>
        <w:t xml:space="preserve">This part of the build had a lot more troubleshooting than Part 1, mostly because the Lookup transformation and multi-table joins introduce failure points that a simple straight-load package doesn't have. Here's what actually went wrong and how each one got resolved.</w:t>
      </w:r>
    </w:p>
    <w:p>
      <w:pPr>
        <w:pStyle w:val="Heading2"/>
        <w:spacing w:after="130" w:before="260"/>
      </w:pPr>
      <w:r>
        <w:t xml:space="preserve">1. SSIS won't allow periods in component names</w:t>
      </w:r>
    </w:p>
    <w:p>
      <w:pPr>
        <w:spacing w:after="180" w:line="300"/>
      </w:pPr>
      <w:r>
        <w:t xml:space="preserve">My first attempt at naming a source “SRC - dw.HouseValue” failed outright — SSIS component names can't contain a period, along with a few other characters. Switched to underscores instead (SRC - dw_HouseValue) for every source and destination name.</w:t>
      </w:r>
    </w:p>
    <w:p>
      <w:pPr>
        <w:pStyle w:val="Heading2"/>
        <w:spacing w:after="130" w:before="260"/>
      </w:pPr>
      <w:r>
        <w:t xml:space="preserve">2. Lookup No Match Output vs. the generic Error Output</w:t>
      </w:r>
    </w:p>
    <w:p>
      <w:pPr>
        <w:spacing w:after="180" w:line="300"/>
      </w:pPr>
      <w:r>
        <w:t xml:space="preserve">These look similar but are not the same thing. The generic Error Output only catches genuine data errors (like truncation), it does not catch a suburb simply not being found. I had left the Lookup's General tab on the default “Fail component” setting, so when I dragged a second arrow off it, it offered “Lookup Error Output” instead of “Lookup No Match Output” — meaning unmatched suburbs would have crashed the whole task instead of falling back to the Unknown member. The fix was going back into the Lookup's General tab and explicitly setting it to “Redirect rows to no match output”.</w:t>
      </w:r>
    </w:p>
    <w:p>
      <w:pPr>
        <w:pStyle w:val="Heading2"/>
        <w:spacing w:after="130" w:before="260"/>
      </w:pPr>
      <w:r>
        <w:t xml:space="preserve">3. TRUNCATE TABLE blocked by foreign keys</w:t>
      </w:r>
    </w:p>
    <w:p>
      <w:pPr>
        <w:spacing w:after="180" w:line="300"/>
      </w:pPr>
      <w:r>
        <w:t xml:space="preserve">My original “clear everything before reloading” script truncated the fact tables first and the dimension tables second, assuming that order would avoid foreign key problems. It didn't — SQL Server refuses to TRUNCATE any table that has an incoming foreign key constraint at all, even if the table referencing it is already empty. The fix was to use DELETE instead of TRUNCATE for the five dimension tables, plus a manual DBCC CHECKIDENT RESEED afterwards so the surrogate keys still restart cleanly at 1 each run (DELETE doesn't automatically reset identity columns the way TRUNCATE does).</w:t>
      </w:r>
    </w:p>
    <w:p>
      <w:pPr>
        <w:pStyle w:val="Heading2"/>
        <w:spacing w:after="130" w:before="260"/>
      </w:pPr>
      <w:r>
        <w:t xml:space="preserve">4. A destination can only take one input stream</w:t>
      </w:r>
    </w:p>
    <w:p>
      <w:pPr>
        <w:spacing w:after="180" w:line="300"/>
      </w:pPr>
      <w:r>
        <w:t xml:space="preserve">At one point I ended up with both the Lookup's matched output and the Unknown-suburb branch connected directly into the same OLE DB Destination, without a Union All merging them first. An OLE DB Destination only has one input pin, so this doesn't actually work — both branches have to be combined into a single stream with a Union All before they reach the destination.</w:t>
      </w:r>
    </w:p>
    <w:p>
      <w:pPr>
        <w:pStyle w:val="Heading2"/>
        <w:spacing w:after="130" w:before="260"/>
      </w:pPr>
      <w:r>
        <w:t xml:space="preserve">5. A NOT NULL destination column meeting NULL source data</w:t>
      </w:r>
    </w:p>
    <w:p>
      <w:pPr>
        <w:spacing w:after="180" w:line="300"/>
      </w:pPr>
      <w:r>
        <w:t xml:space="preserve">FactHouseValue's load kept failing at the very last step (the destination), even though everything upstream showed green. Turned out 816 rows in the source had no house price at all, and my destination column was defined as NOT NULL. Fixed by filtering those rows out at the source query rather than loosening the constraint — a measure-less row shouldn't be in a fact table anyway.</w:t>
      </w:r>
    </w:p>
    <w:p>
      <w:pPr>
        <w:pStyle w:val="Heading2"/>
        <w:spacing w:after="130" w:before="260"/>
      </w:pPr>
      <w:r>
        <w:t xml:space="preserve">6. A genuine data type mismatch (SchoolCode)</w:t>
      </w:r>
    </w:p>
    <w:p>
      <w:pPr>
        <w:spacing w:after="180" w:line="300"/>
      </w:pPr>
      <w:r>
        <w:t xml:space="preserve">When building the school Lookup, SSIS refused to even let me draw the join line between the input's SchoolCode and the dimension's SchoolCode, saying the data types didn't match. It turned out SchoolCode was stored as a number in the source table but as text in my dimension table. Fixed by explicitly casting it to text in the source query so both sides matched.</w:t>
      </w:r>
    </w:p>
    <w:p>
      <w:pPr>
        <w:pStyle w:val="Heading2"/>
        <w:spacing w:after="130" w:before="260"/>
      </w:pPr>
      <w:r>
        <w:t xml:space="preserve">7. Stale cached metadata after changing a source query</w:t>
      </w:r>
    </w:p>
    <w:p>
      <w:pPr>
        <w:spacing w:after="180" w:line="300"/>
      </w:pPr>
      <w:r>
        <w:t xml:space="preserve">After fixing the SchoolCode cast, the same error kept appearing even though the SQL was correct — SSIS had cached the old column type from before the fix and wasn't picking up the change automatically. Deleting and rebuilding the affected components from scratch (rather than editing them in place) forced SSIS to re-read the real, current metadata. I hit a version of this same issue more than once, and rebuilding from scratch was the reliable fix every time.</w:t>
      </w:r>
    </w:p>
    <w:p>
      <w:pPr>
        <w:pStyle w:val="Heading2"/>
        <w:spacing w:after="130" w:before="260"/>
      </w:pPr>
      <w:r>
        <w:t xml:space="preserve">8. A no-match error that turned out to be a stale dimension, not bad data</w:t>
      </w:r>
    </w:p>
    <w:p>
      <w:pPr>
        <w:spacing w:after="180" w:line="300"/>
      </w:pPr>
      <w:r>
        <w:t xml:space="preserve">This was the trickiest one. FactCrime kept failing with a “row yielded no match during lookup” error, even after I'd already fixed a genuine trailing-space mismatch between the source and dimension text. I ran a series of increasingly strict checks in SQL — a basic comparison, a comparison in both directions, and finally a byte-exact comparison using COLLATE Latin1_General_BIN2 (which ignores none of the usual case/whitespace leniency SQL Server normally applies). All of them came back clean, proving the data itself was fully consistent. That told me the failure I'd seen wasn't a real data problem — it was from an earlier run where the dimension table hadn't been freshly reloaded yet. Re-running the whole package end-to-end from the top resolved it. The lesson: when every diagnostic query says the data matches but the package still fails, check whether you're actually looking at fresh results rather than assuming the data itself is broken.</w:t>
      </w:r>
    </w:p>
    <w:p>
      <w:r>
        <w:br w:type="page"/>
      </w:r>
    </w:p>
    <w:p>
      <w:pPr>
        <w:pStyle w:val="Heading1"/>
        <w:spacing w:after="180" w:before="380"/>
      </w:pPr>
      <w:r>
        <w:t xml:space="preserve">How the Star Schema Supports the Analysis I'll Actually Need</w:t>
      </w:r>
    </w:p>
    <w:p>
      <w:pPr>
        <w:spacing w:after="180" w:line="300"/>
      </w:pPr>
      <w:r>
        <w:t xml:space="preserve">The whole point of doing all this instead of just leaving the data in the six dw.* tables from Part 1 is that questions spanning multiple domains become a single query instead of several manual lookups. As a concrete example, this one query — joining DimSuburb to all four measure/coverage fact tables — gives average house value, total recorded crime incidents, school count, and transport stop count, all grouped by state, in one go: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600"/>
        <w:gridCol w:w="2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State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AvgHouseValue</w:t>
            </w:r>
          </w:p>
        </w:tc>
        <w:tc>
          <w:tcPr>
            <w:tcW w:type="dxa" w:w="2800"/>
            <w:shd w:fill="1F3864" w:val="clear"/>
            <w:tcMar>
              <w:top w:type="dxa" w:w="80"/>
              <w:left w:type="dxa" w:w="100"/>
              <w:bottom w:type="dxa" w:w="80"/>
              <w:right w:type="dxa" w:w="100"/>
            </w:tcMar>
            <w:vAlign w:val="center"/>
          </w:tcPr>
          <w:p>
            <w:r>
              <w:rPr>
                <w:b/>
                <w:bCs/>
                <w:color w:val="FFFFFF"/>
                <w:sz w:val="20"/>
                <w:szCs w:val="20"/>
              </w:rPr>
              <w:t xml:space="preserve">TotalRecordedIncidents</w:t>
            </w:r>
          </w:p>
        </w:tc>
        <w:tc>
          <w:tcPr>
            <w:tcW w:type="dxa" w:w="1600"/>
            <w:shd w:fill="1F3864" w:val="clear"/>
            <w:tcMar>
              <w:top w:type="dxa" w:w="80"/>
              <w:left w:type="dxa" w:w="100"/>
              <w:bottom w:type="dxa" w:w="80"/>
              <w:right w:type="dxa" w:w="100"/>
            </w:tcMar>
            <w:vAlign w:val="center"/>
          </w:tcPr>
          <w:p>
            <w:r>
              <w:rPr>
                <w:b/>
                <w:bCs/>
                <w:color w:val="FFFFFF"/>
                <w:sz w:val="20"/>
                <w:szCs w:val="20"/>
              </w:rPr>
              <w:t xml:space="preserve">SchoolCount</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TransportStopCount</w:t>
            </w:r>
          </w:p>
        </w:tc>
      </w:tr>
      <w:tr>
        <w:trPr>
          <w:tblHeader w:val="false"/>
        </w:trPr>
        <w:tc>
          <w:tcPr>
            <w:tcW w:type="dxa" w:w="2400"/>
            <w:tcMar>
              <w:top w:type="dxa" w:w="80"/>
              <w:left w:type="dxa" w:w="100"/>
              <w:bottom w:type="dxa" w:w="80"/>
              <w:right w:type="dxa" w:w="100"/>
            </w:tcMar>
            <w:vAlign w:val="center"/>
          </w:tcPr>
          <w:p>
            <w:r>
              <w:rPr>
                <w:b w:val="false"/>
                <w:bCs w:val="false"/>
                <w:color w:val="000000"/>
                <w:sz w:val="20"/>
                <w:szCs w:val="20"/>
              </w:rPr>
              <w:t xml:space="preserve">New South Wales</w:t>
            </w:r>
          </w:p>
        </w:tc>
        <w:tc>
          <w:tcPr>
            <w:tcW w:type="dxa" w:w="2400"/>
            <w:tcMar>
              <w:top w:type="dxa" w:w="80"/>
              <w:left w:type="dxa" w:w="100"/>
              <w:bottom w:type="dxa" w:w="80"/>
              <w:right w:type="dxa" w:w="100"/>
            </w:tcMar>
            <w:vAlign w:val="center"/>
          </w:tcPr>
          <w:p>
            <w:r>
              <w:rPr>
                <w:b w:val="false"/>
                <w:bCs w:val="false"/>
                <w:color w:val="000000"/>
                <w:sz w:val="20"/>
                <w:szCs w:val="20"/>
              </w:rPr>
              <w:t xml:space="preserve">599,485.00</w:t>
            </w:r>
          </w:p>
        </w:tc>
        <w:tc>
          <w:tcPr>
            <w:tcW w:type="dxa" w:w="2800"/>
            <w:tcMar>
              <w:top w:type="dxa" w:w="80"/>
              <w:left w:type="dxa" w:w="100"/>
              <w:bottom w:type="dxa" w:w="80"/>
              <w:right w:type="dxa" w:w="100"/>
            </w:tcMar>
            <w:vAlign w:val="center"/>
          </w:tcPr>
          <w:p>
            <w:r>
              <w:rPr>
                <w:b w:val="false"/>
                <w:bCs w:val="false"/>
                <w:color w:val="000000"/>
                <w:sz w:val="20"/>
                <w:szCs w:val="20"/>
              </w:rPr>
              <w:t xml:space="preserve">17,231,582</w:t>
            </w:r>
          </w:p>
        </w:tc>
        <w:tc>
          <w:tcPr>
            <w:tcW w:type="dxa" w:w="1600"/>
            <w:tcMar>
              <w:top w:type="dxa" w:w="80"/>
              <w:left w:type="dxa" w:w="100"/>
              <w:bottom w:type="dxa" w:w="80"/>
              <w:right w:type="dxa" w:w="100"/>
            </w:tcMar>
            <w:vAlign w:val="center"/>
          </w:tcPr>
          <w:p>
            <w:r>
              <w:rPr>
                <w:b w:val="false"/>
                <w:bCs w:val="false"/>
                <w:color w:val="000000"/>
                <w:sz w:val="20"/>
                <w:szCs w:val="20"/>
              </w:rPr>
              <w:t xml:space="preserve">2,181</w:t>
            </w:r>
          </w:p>
        </w:tc>
        <w:tc>
          <w:tcPr>
            <w:tcW w:type="dxa" w:w="2200"/>
            <w:tcMar>
              <w:top w:type="dxa" w:w="80"/>
              <w:left w:type="dxa" w:w="100"/>
              <w:bottom w:type="dxa" w:w="80"/>
              <w:right w:type="dxa" w:w="100"/>
            </w:tcMar>
            <w:vAlign w:val="center"/>
          </w:tcPr>
          <w:p>
            <w:r>
              <w:rPr>
                <w:b w:val="false"/>
                <w:bCs w:val="false"/>
                <w:color w:val="000000"/>
                <w:sz w:val="20"/>
                <w:szCs w:val="20"/>
              </w:rPr>
              <w:t xml:space="preserve">508</w:t>
            </w:r>
          </w:p>
        </w:tc>
      </w:tr>
      <w:tr>
        <w:trPr>
          <w:tblHeader w:val="false"/>
        </w:trPr>
        <w:tc>
          <w:tcPr>
            <w:tcW w:type="dxa" w:w="2400"/>
            <w:tcMar>
              <w:top w:type="dxa" w:w="80"/>
              <w:left w:type="dxa" w:w="100"/>
              <w:bottom w:type="dxa" w:w="80"/>
              <w:right w:type="dxa" w:w="100"/>
            </w:tcMar>
            <w:vAlign w:val="center"/>
          </w:tcPr>
          <w:p>
            <w:r>
              <w:rPr>
                <w:b w:val="false"/>
                <w:bCs w:val="false"/>
                <w:color w:val="000000"/>
                <w:sz w:val="20"/>
                <w:szCs w:val="20"/>
              </w:rPr>
              <w:t xml:space="preserve">South Australia</w:t>
            </w:r>
          </w:p>
        </w:tc>
        <w:tc>
          <w:tcPr>
            <w:tcW w:type="dxa" w:w="2400"/>
            <w:tcMar>
              <w:top w:type="dxa" w:w="80"/>
              <w:left w:type="dxa" w:w="100"/>
              <w:bottom w:type="dxa" w:w="80"/>
              <w:right w:type="dxa" w:w="100"/>
            </w:tcMar>
            <w:vAlign w:val="center"/>
          </w:tcPr>
          <w:p>
            <w:r>
              <w:rPr>
                <w:b w:val="false"/>
                <w:bCs w:val="false"/>
                <w:color w:val="000000"/>
                <w:sz w:val="20"/>
                <w:szCs w:val="20"/>
              </w:rPr>
              <w:t xml:space="preserve">569,822.47</w:t>
            </w:r>
          </w:p>
        </w:tc>
        <w:tc>
          <w:tcPr>
            <w:tcW w:type="dxa" w:w="2800"/>
            <w:tcMar>
              <w:top w:type="dxa" w:w="80"/>
              <w:left w:type="dxa" w:w="100"/>
              <w:bottom w:type="dxa" w:w="80"/>
              <w:right w:type="dxa" w:w="100"/>
            </w:tcMar>
            <w:vAlign w:val="center"/>
          </w:tcPr>
          <w:p>
            <w:r>
              <w:rPr>
                <w:b w:val="false"/>
                <w:bCs w:val="false"/>
                <w:color w:val="000000"/>
                <w:sz w:val="20"/>
                <w:szCs w:val="20"/>
              </w:rPr>
              <w:t xml:space="preserve">18,343,380</w:t>
            </w:r>
          </w:p>
        </w:tc>
        <w:tc>
          <w:tcPr>
            <w:tcW w:type="dxa" w:w="1600"/>
            <w:tcMar>
              <w:top w:type="dxa" w:w="80"/>
              <w:left w:type="dxa" w:w="100"/>
              <w:bottom w:type="dxa" w:w="80"/>
              <w:right w:type="dxa" w:w="100"/>
            </w:tcMar>
            <w:vAlign w:val="center"/>
          </w:tcPr>
          <w:p>
            <w:r>
              <w:rPr>
                <w:b w:val="false"/>
                <w:bCs w:val="false"/>
                <w:color w:val="000000"/>
                <w:sz w:val="20"/>
                <w:szCs w:val="20"/>
              </w:rPr>
              <w:t xml:space="preserve">2,214</w:t>
            </w:r>
          </w:p>
        </w:tc>
        <w:tc>
          <w:tcPr>
            <w:tcW w:type="dxa" w:w="2200"/>
            <w:tcMar>
              <w:top w:type="dxa" w:w="80"/>
              <w:left w:type="dxa" w:w="100"/>
              <w:bottom w:type="dxa" w:w="80"/>
              <w:right w:type="dxa" w:w="100"/>
            </w:tcMar>
            <w:vAlign w:val="center"/>
          </w:tcPr>
          <w:p>
            <w:r>
              <w:rPr>
                <w:b w:val="false"/>
                <w:bCs w:val="false"/>
                <w:color w:val="000000"/>
                <w:sz w:val="20"/>
                <w:szCs w:val="20"/>
              </w:rPr>
              <w:t xml:space="preserve">3,619</w:t>
            </w:r>
          </w:p>
        </w:tc>
      </w:tr>
      <w:tr>
        <w:trPr>
          <w:tblHeader w:val="false"/>
        </w:trPr>
        <w:tc>
          <w:tcPr>
            <w:tcW w:type="dxa" w:w="2400"/>
            <w:tcMar>
              <w:top w:type="dxa" w:w="80"/>
              <w:left w:type="dxa" w:w="100"/>
              <w:bottom w:type="dxa" w:w="80"/>
              <w:right w:type="dxa" w:w="100"/>
            </w:tcMar>
            <w:vAlign w:val="center"/>
          </w:tcPr>
          <w:p>
            <w:r>
              <w:rPr>
                <w:b w:val="false"/>
                <w:bCs w:val="false"/>
                <w:color w:val="000000"/>
                <w:sz w:val="20"/>
                <w:szCs w:val="20"/>
              </w:rPr>
              <w:t xml:space="preserve">Victoria</w:t>
            </w:r>
          </w:p>
        </w:tc>
        <w:tc>
          <w:tcPr>
            <w:tcW w:type="dxa" w:w="2400"/>
            <w:tcMar>
              <w:top w:type="dxa" w:w="80"/>
              <w:left w:type="dxa" w:w="100"/>
              <w:bottom w:type="dxa" w:w="80"/>
              <w:right w:type="dxa" w:w="100"/>
            </w:tcMar>
            <w:vAlign w:val="center"/>
          </w:tcPr>
          <w:p>
            <w:r>
              <w:rPr>
                <w:b w:val="false"/>
                <w:bCs w:val="false"/>
                <w:color w:val="000000"/>
                <w:sz w:val="20"/>
                <w:szCs w:val="20"/>
              </w:rPr>
              <w:t xml:space="preserve">822,207.33</w:t>
            </w:r>
          </w:p>
        </w:tc>
        <w:tc>
          <w:tcPr>
            <w:tcW w:type="dxa" w:w="2800"/>
            <w:tcMar>
              <w:top w:type="dxa" w:w="80"/>
              <w:left w:type="dxa" w:w="100"/>
              <w:bottom w:type="dxa" w:w="80"/>
              <w:right w:type="dxa" w:w="100"/>
            </w:tcMar>
            <w:vAlign w:val="center"/>
          </w:tcPr>
          <w:p>
            <w:r>
              <w:rPr>
                <w:b w:val="false"/>
                <w:bCs w:val="false"/>
                <w:color w:val="000000"/>
                <w:sz w:val="20"/>
                <w:szCs w:val="20"/>
              </w:rPr>
              <w:t xml:space="preserve">29,042,175</w:t>
            </w:r>
          </w:p>
        </w:tc>
        <w:tc>
          <w:tcPr>
            <w:tcW w:type="dxa" w:w="1600"/>
            <w:tcMar>
              <w:top w:type="dxa" w:w="80"/>
              <w:left w:type="dxa" w:w="100"/>
              <w:bottom w:type="dxa" w:w="80"/>
              <w:right w:type="dxa" w:w="100"/>
            </w:tcMar>
            <w:vAlign w:val="center"/>
          </w:tcPr>
          <w:p>
            <w:r>
              <w:rPr>
                <w:b w:val="false"/>
                <w:bCs w:val="false"/>
                <w:color w:val="000000"/>
                <w:sz w:val="20"/>
                <w:szCs w:val="20"/>
              </w:rPr>
              <w:t xml:space="preserve">2,027</w:t>
            </w:r>
          </w:p>
        </w:tc>
        <w:tc>
          <w:tcPr>
            <w:tcW w:type="dxa" w:w="2200"/>
            <w:tcMar>
              <w:top w:type="dxa" w:w="80"/>
              <w:left w:type="dxa" w:w="100"/>
              <w:bottom w:type="dxa" w:w="80"/>
              <w:right w:type="dxa" w:w="100"/>
            </w:tcMar>
            <w:vAlign w:val="center"/>
          </w:tcPr>
          <w:p>
            <w:r>
              <w:rPr>
                <w:b w:val="false"/>
                <w:bCs w:val="false"/>
                <w:color w:val="000000"/>
                <w:sz w:val="20"/>
                <w:szCs w:val="20"/>
              </w:rPr>
              <w:t xml:space="preserve">5,495</w:t>
            </w:r>
          </w:p>
        </w:tc>
      </w:tr>
    </w:tbl>
    <w:p>
      <w:pPr>
        <w:spacing w:after="180" w:line="300"/>
      </w:pPr>
      <w:r>
        <w:rPr>
          <w:i/>
          <w:iCs/>
          <w:color w:val="595959"/>
        </w:rPr>
        <w:t xml:space="preserve">Before the star schema existed, answering that same question would have meant manually joining 4-5 separate dw.* tables by suburb name every time, handling the inconsistent column names and state-by-state splits myself. Now it's one join through the conformed Suburb dimension. That's the actual payoff of doing the dimensional modeling work rather than just leaving everything in the consolidated dw.* layer.</w:t>
      </w:r>
    </w:p>
    <w:p>
      <w:pPr>
        <w:spacing w:after="180" w:line="300"/>
      </w:pPr>
      <w:r>
        <w:t xml:space="preserve">The design also holds up for the states that don't have any collected data yet (ACT, NT, QLD, Tasmania, WA all show NULL/0 in that same query) — because DimSuburb is built from the full national suburb list, but the fact tables only ever contain data for the states that were actually collected (NSW, SA, VIC), the model naturally shows “no data recorded” rather than silently excluding those states or crashing. If more states get added later, the model doesn't need to change at all — I'd just need new SSIS source flows pointed at the new states'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10" w:before="220"/>
    </w:pPr>
    <w:rPr>
      <w:rFonts w:ascii="Calibri" w:cs="Calibri" w:eastAsia="Calibri" w:hAnsi="Calibri"/>
      <w:b/>
      <w:bCs/>
      <w:color w:val="B56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2026-07-14T21:50:09.806Z</dcterms:created>
  <dcterms:modified xsi:type="dcterms:W3CDTF">2026-07-14T21:50:09.806Z</dcterms:modified>
</cp:coreProperties>
</file>

<file path=docProps/custom.xml><?xml version="1.0" encoding="utf-8"?>
<Properties xmlns="http://schemas.openxmlformats.org/officeDocument/2006/custom-properties" xmlns:vt="http://schemas.openxmlformats.org/officeDocument/2006/docPropsVTypes"/>
</file>