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AU Property Data Warehouse</w:t>
      </w:r>
    </w:p>
    <w:p>
      <w:pPr>
        <w:spacing w:before="200"/>
        <w:jc w:val="center"/>
      </w:pPr>
      <w:r>
        <w:rPr>
          <w:b/>
          <w:bCs/>
          <w:color w:val="2E5F8A"/>
          <w:sz w:val="32"/>
          <w:szCs w:val="32"/>
        </w:rPr>
        <w:t xml:space="preserve">Part 2 — Star Schema Design &amp; SSIS Star-Schema Load</w:t>
      </w:r>
    </w:p>
    <w:p>
      <w:pPr>
        <w:spacing w:before="100"/>
        <w:jc w:val="center"/>
      </w:pPr>
      <w:r>
        <w:rPr>
          <w:i/>
          <w:iCs/>
          <w:color w:val="595959"/>
          <w:sz w:val="24"/>
          <w:szCs w:val="24"/>
        </w:rPr>
        <w:t xml:space="preserve">Step-by-Step Build Guide (screen by screen)</w:t>
      </w:r>
    </w:p>
    <w:p>
      <w:pPr>
        <w:spacing w:before="600"/>
        <w:jc w:val="center"/>
      </w:pPr>
      <w:r>
        <w:rPr>
          <w:sz w:val="22"/>
          <w:szCs w:val="22"/>
        </w:rPr>
        <w:t xml:space="preserve">BI Developer / Data Analyst Advanced Sprint — Part 2</w:t>
      </w:r>
    </w:p>
    <w:p>
      <w:pPr>
        <w:spacing w:before="100"/>
        <w:jc w:val="center"/>
      </w:pPr>
      <w:r>
        <w:rPr>
          <w:sz w:val="22"/>
          <w:szCs w:val="22"/>
        </w:rPr>
        <w:t xml:space="preserve">Project: Property Analysis  |  Database: AUPropertyDW</w:t>
      </w:r>
    </w:p>
    <w:p>
      <w:r>
        <w:br w:type="page"/>
      </w:r>
    </w:p>
    <w:p>
      <w:pPr>
        <w:pStyle w:val="Heading1"/>
        <w:spacing w:after="200" w:before="400"/>
      </w:pPr>
      <w:r>
        <w:t xml:space="preserve">0. Overview &amp; Where This Picks Up</w:t>
      </w:r>
    </w:p>
    <w:p>
      <w:pPr>
        <w:spacing w:after="160" w:line="276"/>
      </w:pPr>
      <w:r>
        <w:t xml:space="preserve">Part 1 (Task 5) built the ETL foundation: 14 staging tables (stg.*) loaded one-to-one from the raw Excel files, and 6 consolidated “clean” tables (dw.Suburb, dw.Crime, dw.HouseValue, dw.RentalValue, dw.School, dw.Transport) that union the three states together, standardise suburb names, and remove duplicates. That work is already done and does not need to be repeated.</w:t>
      </w:r>
    </w:p>
    <w:p>
      <w:pPr>
        <w:spacing w:after="160" w:line="276"/>
      </w:pPr>
      <w:r>
        <w:t xml:space="preserve">Part 2 (this guide) takes those dw.* tables and builds the actual analytical data model on top of them: a Kimball star schema with proper dimension and fact tables, plus a second SSIS package that loads that star schema. The new pieces are:</w:t>
      </w:r>
    </w:p>
    <w:p>
      <w:pPr>
        <w:pStyle w:val="ListParagraph"/>
        <w:numPr>
          <w:ilvl w:val="0"/>
          <w:numId w:val="1"/>
        </w:numPr>
        <w:spacing w:after="80" w:line="276"/>
      </w:pPr>
      <w:r>
        <w:t xml:space="preserve">A star schema of dimension and fact tables in a new star schema (schema name: star), reasoned out using a Bus Matrix.</w:t>
      </w:r>
    </w:p>
    <w:p>
      <w:pPr>
        <w:pStyle w:val="ListParagraph"/>
        <w:numPr>
          <w:ilvl w:val="0"/>
          <w:numId w:val="1"/>
        </w:numPr>
        <w:spacing w:after="80" w:line="276"/>
      </w:pPr>
      <w:r>
        <w:t xml:space="preserve">A factless fact table for School Presence and one for Transport Access (explained in Section 2).</w:t>
      </w:r>
    </w:p>
    <w:p>
      <w:pPr>
        <w:pStyle w:val="ListParagraph"/>
        <w:numPr>
          <w:ilvl w:val="0"/>
          <w:numId w:val="1"/>
        </w:numPr>
        <w:spacing w:after="80" w:line="276"/>
      </w:pPr>
      <w:r>
        <w:t xml:space="preserve">A new SSIS package, AUProperty_StarSchemaLoad.dtsx, added to the same AUProperty_ETL Visual Studio project, that loads dw.* → star.* using Lookup transformations to resolve surrogate keys.</w:t>
      </w:r>
    </w:p>
    <w:p>
      <w:pPr>
        <w:pBdr>
          <w:left w:val="single" w:color="E0A800" w:sz="18" w:space="8"/>
        </w:pBdr>
        <w:shd w:fill="FFF3CD" w:val="clear"/>
        <w:spacing w:after="200" w:before="100"/>
        <w:ind w:left="144"/>
      </w:pPr>
      <w:r>
        <w:rPr>
          <w:b/>
          <w:bCs/>
        </w:rPr>
        <w:t xml:space="preserve">Where the data comes from: </w:t>
      </w:r>
      <w:r>
        <w:t xml:space="preserve">Everything referenced as “dw.*” below already exists in your AUPropertyDW database from Part 1. This guide never touches the raw Excel files or the stg.* tables again — the star schema loads entirely from the dw layer.</w:t>
      </w:r>
    </w:p>
    <w:p>
      <w:pPr>
        <w:pStyle w:val="Heading1"/>
        <w:spacing w:after="200" w:before="400"/>
      </w:pPr>
      <w:r>
        <w:t xml:space="preserve">1. Dimensional Modeling Concepts Used</w:t>
      </w:r>
    </w:p>
    <w:p>
      <w:pPr>
        <w:pStyle w:val="Heading2"/>
        <w:spacing w:after="150" w:before="300"/>
      </w:pPr>
      <w:r>
        <w:t xml:space="preserve">1.1 Star schema, in plain terms</w:t>
      </w:r>
    </w:p>
    <w:p>
      <w:pPr>
        <w:spacing w:after="160" w:line="276"/>
      </w:pPr>
      <w:r>
        <w:t xml:space="preserve">A star schema has one or more fact tables in the middle, each surrounded by the dimension tables it needs — visually it looks like a star, which is where the name comes from. Fact tables hold the numbers you want to measure or count (house prices, rent, crime incidents). Dimension tables hold the descriptive context you slice those numbers by (which suburb, which offence type, which rental house type).</w:t>
      </w:r>
    </w:p>
    <w:p>
      <w:pPr>
        <w:spacing w:after="160" w:line="276"/>
      </w:pPr>
      <w:r>
        <w:t xml:space="preserve">The alternative is a snowflake schema, where dimensions are further normalised into sub-tables (e.g. splitting DimSchool into DimSchool + DimSchoolType). This guide deliberately stays with a star schema (no snowflaking) because the dimensions here are small and simple — normalising them further would only add extra joins for no real benefit.</w:t>
      </w:r>
    </w:p>
    <w:p>
      <w:pPr>
        <w:pStyle w:val="Heading2"/>
        <w:spacing w:after="150" w:before="300"/>
      </w:pPr>
      <w:r>
        <w:t xml:space="preserve">1.2 Grain — the single most important design decision</w:t>
      </w:r>
    </w:p>
    <w:p>
      <w:pPr>
        <w:spacing w:after="160" w:line="276"/>
      </w:pPr>
      <w:r>
        <w:t xml:space="preserve">The “grain” of a fact table is a one-sentence description of what one row means. Getting the grain right before writing any SQL is the standard first step in Kimball's methodology, because every measure and every dimension you attach to a fact table has to be true at that grain. The grain chosen for each fact table in this design is defined in Section 3.</w:t>
      </w:r>
    </w:p>
    <w:p>
      <w:pPr>
        <w:pStyle w:val="Heading2"/>
        <w:spacing w:after="150" w:before="300"/>
      </w:pPr>
      <w:r>
        <w:t xml:space="preserve">1.3 Conformed dimension</w:t>
      </w:r>
    </w:p>
    <w:p>
      <w:pPr>
        <w:spacing w:after="160" w:line="276"/>
      </w:pPr>
      <w:r>
        <w:t xml:space="preserve">DimSuburb is used by all five fact tables — that makes it a “conformed dimension”: the same dimension, with the same surrogate key, meaning the exact same thing, reused across every business process. This is what lets you write one query that joins house value, crime, and school data together by suburb without any translation step. It is the hub of the star (see the diagram in Section 4).</w:t>
      </w:r>
    </w:p>
    <w:p>
      <w:pPr>
        <w:pStyle w:val="Heading2"/>
        <w:spacing w:after="150" w:before="300"/>
      </w:pPr>
      <w:r>
        <w:t xml:space="preserve">1.4 Factless fact tables (researched per the task brief)</w:t>
      </w:r>
    </w:p>
    <w:p>
      <w:pPr>
        <w:spacing w:after="160" w:line="276"/>
      </w:pPr>
      <w:r>
        <w:t xml:space="preserve">A factless fact table is a fact table with no numeric measure column at all — it exists purely to record that an event happened or that a relationship exists between two or more dimensions. Instead of summing a column, you analyse it by counting rows (COUNT(*)) or counting distinct keys. There are two classic uses, and this design needs one of each:</w:t>
      </w:r>
    </w:p>
    <w:p>
      <w:pPr>
        <w:pStyle w:val="ListParagraph"/>
        <w:numPr>
          <w:ilvl w:val="0"/>
          <w:numId w:val="1"/>
        </w:numPr>
        <w:spacing w:after="80" w:line="276"/>
      </w:pPr>
      <w:r>
        <w:t xml:space="preserve">Event tracking (something happened, no amount attached) — not used here, but the classic example is “student attended class on date X”.</w:t>
      </w:r>
    </w:p>
    <w:p>
      <w:pPr>
        <w:pStyle w:val="ListParagraph"/>
        <w:numPr>
          <w:ilvl w:val="0"/>
          <w:numId w:val="1"/>
        </w:numPr>
        <w:spacing w:after="80" w:line="276"/>
      </w:pPr>
      <w:r>
        <w:t xml:space="preserve">Coverage / relationship tables (recording that a relationship exists) — this is what School and Transport need. The raw data never gives you a number to sum for “how good is a school” or “how good is a transport stop” — it just tells you a school (or stop) exists in a suburb. So:</w:t>
      </w:r>
    </w:p>
    <w:p>
      <w:pPr>
        <w:pStyle w:val="ListParagraph"/>
        <w:numPr>
          <w:ilvl w:val="1"/>
          <w:numId w:val="1"/>
        </w:numPr>
        <w:spacing w:after="80" w:line="276"/>
      </w:pPr>
      <w:r>
        <w:t xml:space="preserve">FactSchoolPresence records that a specific school exists in a specific suburb. Query it with COUNT(*) or COUNT(DISTINCT SchoolKey) to answer “how many schools does this suburb have”.</w:t>
      </w:r>
    </w:p>
    <w:p>
      <w:pPr>
        <w:pStyle w:val="ListParagraph"/>
        <w:numPr>
          <w:ilvl w:val="1"/>
          <w:numId w:val="1"/>
        </w:numPr>
        <w:spacing w:after="80" w:line="276"/>
      </w:pPr>
      <w:r>
        <w:t xml:space="preserve">FactTransportAccess records that a specific transport stop exists in a specific suburb. Query it the same way to answer “how many train/bus/tram stops does this suburb have”.</w:t>
      </w:r>
    </w:p>
    <w:p>
      <w:pPr>
        <w:pBdr>
          <w:left w:val="single" w:color="E0A800" w:sz="18" w:space="8"/>
        </w:pBdr>
        <w:shd w:fill="FFF3CD" w:val="clear"/>
        <w:spacing w:after="200" w:before="100"/>
        <w:ind w:left="144"/>
      </w:pPr>
      <w:r>
        <w:rPr>
          <w:b/>
          <w:bCs/>
        </w:rPr>
        <w:t xml:space="preserve">Talking point: </w:t>
      </w:r>
      <w:r>
        <w:t xml:space="preserve">If you're asked in a review why these two are factless: say it's because the source data (School, Transport) describes presence/location, not a measurable amount — there's no dollar value or count column to carry, only a relationship to record.</w:t>
      </w:r>
    </w:p>
    <w:p>
      <w:pPr>
        <w:pStyle w:val="Heading1"/>
        <w:spacing w:after="200" w:before="400"/>
      </w:pPr>
      <w:r>
        <w:t xml:space="preserve">2. Bus Matrix</w:t>
      </w:r>
    </w:p>
    <w:p>
      <w:pPr>
        <w:spacing w:after="160" w:line="276"/>
      </w:pPr>
      <w:r>
        <w:t xml:space="preserve">The Bus Matrix is the planning tool Kimball recommends before drawing any tables: rows are business processes (which become fact tables), columns are dimensions, and an X marks where a process uses a dimension. It's what confirms DimSuburb belongs at the centre — it's the only dimension every row needs.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600"/>
        <w:gridCol w:w="1500"/>
        <w:gridCol w:w="1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Business Process (Fact)</w:t>
            </w:r>
          </w:p>
        </w:tc>
        <w:tc>
          <w:tcPr>
            <w:tcW w:type="dxa" w:w="1500"/>
            <w:shd w:fill="1F3864" w:val="clear"/>
            <w:tcMar>
              <w:top w:type="dxa" w:w="80"/>
              <w:left w:type="dxa" w:w="100"/>
              <w:bottom w:type="dxa" w:w="80"/>
              <w:right w:type="dxa" w:w="100"/>
            </w:tcMar>
            <w:vAlign w:val="center"/>
          </w:tcPr>
          <w:p>
            <w:r>
              <w:rPr>
                <w:b/>
                <w:bCs/>
                <w:color w:val="FFFFFF"/>
                <w:sz w:val="20"/>
                <w:szCs w:val="20"/>
              </w:rPr>
              <w:t xml:space="preserve">DimSuburb</w:t>
            </w:r>
          </w:p>
        </w:tc>
        <w:tc>
          <w:tcPr>
            <w:tcW w:type="dxa" w:w="1500"/>
            <w:shd w:fill="1F3864" w:val="clear"/>
            <w:tcMar>
              <w:top w:type="dxa" w:w="80"/>
              <w:left w:type="dxa" w:w="100"/>
              <w:bottom w:type="dxa" w:w="80"/>
              <w:right w:type="dxa" w:w="100"/>
            </w:tcMar>
            <w:vAlign w:val="center"/>
          </w:tcPr>
          <w:p>
            <w:r>
              <w:rPr>
                <w:b/>
                <w:bCs/>
                <w:color w:val="FFFFFF"/>
                <w:sz w:val="20"/>
                <w:szCs w:val="20"/>
              </w:rPr>
              <w:t xml:space="preserve">DimOffenceType</w:t>
            </w:r>
          </w:p>
        </w:tc>
        <w:tc>
          <w:tcPr>
            <w:tcW w:type="dxa" w:w="1600"/>
            <w:shd w:fill="1F3864" w:val="clear"/>
            <w:tcMar>
              <w:top w:type="dxa" w:w="80"/>
              <w:left w:type="dxa" w:w="100"/>
              <w:bottom w:type="dxa" w:w="80"/>
              <w:right w:type="dxa" w:w="100"/>
            </w:tcMar>
            <w:vAlign w:val="center"/>
          </w:tcPr>
          <w:p>
            <w:r>
              <w:rPr>
                <w:b/>
                <w:bCs/>
                <w:color w:val="FFFFFF"/>
                <w:sz w:val="20"/>
                <w:szCs w:val="20"/>
              </w:rPr>
              <w:t xml:space="preserve">DimRentalHouseType</w:t>
            </w:r>
          </w:p>
        </w:tc>
        <w:tc>
          <w:tcPr>
            <w:tcW w:type="dxa" w:w="1500"/>
            <w:shd w:fill="1F3864" w:val="clear"/>
            <w:tcMar>
              <w:top w:type="dxa" w:w="80"/>
              <w:left w:type="dxa" w:w="100"/>
              <w:bottom w:type="dxa" w:w="80"/>
              <w:right w:type="dxa" w:w="100"/>
            </w:tcMar>
            <w:vAlign w:val="center"/>
          </w:tcPr>
          <w:p>
            <w:r>
              <w:rPr>
                <w:b/>
                <w:bCs/>
                <w:color w:val="FFFFFF"/>
                <w:sz w:val="20"/>
                <w:szCs w:val="20"/>
              </w:rPr>
              <w:t xml:space="preserve">DimSchool</w:t>
            </w:r>
          </w:p>
        </w:tc>
        <w:tc>
          <w:tcPr>
            <w:tcW w:type="dxa" w:w="1600"/>
            <w:shd w:fill="1F3864" w:val="clear"/>
            <w:tcMar>
              <w:top w:type="dxa" w:w="80"/>
              <w:left w:type="dxa" w:w="100"/>
              <w:bottom w:type="dxa" w:w="80"/>
              <w:right w:type="dxa" w:w="100"/>
            </w:tcMar>
            <w:vAlign w:val="center"/>
          </w:tcPr>
          <w:p>
            <w:r>
              <w:rPr>
                <w:b/>
                <w:bCs/>
                <w:color w:val="FFFFFF"/>
                <w:sz w:val="20"/>
                <w:szCs w:val="20"/>
              </w:rPr>
              <w:t xml:space="preserve">DimTransportStop</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House Value</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 Value</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Crime Incidents</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School Presence (factless)</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Transport Access (factless)</w:t>
            </w:r>
          </w:p>
        </w:tc>
        <w:tc>
          <w:tcPr>
            <w:tcW w:type="dxa" w:w="1500"/>
            <w:tcMar>
              <w:top w:type="dxa" w:w="80"/>
              <w:left w:type="dxa" w:w="100"/>
              <w:bottom w:type="dxa" w:w="80"/>
              <w:right w:type="dxa" w:w="100"/>
            </w:tcMar>
            <w:vAlign w:val="center"/>
          </w:tcPr>
          <w:p>
            <w:r>
              <w:rPr>
                <w:b w:val="false"/>
                <w:bCs w:val="false"/>
                <w:color w:val="000000"/>
                <w:sz w:val="20"/>
                <w:szCs w:val="20"/>
              </w:rPr>
              <w:t xml:space="preserve">X</w:t>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
            </w:r>
          </w:p>
        </w:tc>
        <w:tc>
          <w:tcPr>
            <w:tcW w:type="dxa" w:w="1500"/>
            <w:tcMar>
              <w:top w:type="dxa" w:w="80"/>
              <w:left w:type="dxa" w:w="100"/>
              <w:bottom w:type="dxa" w:w="80"/>
              <w:right w:type="dxa" w:w="100"/>
            </w:tcMar>
            <w:vAlign w:val="center"/>
          </w:tcPr>
          <w:p>
            <w:r>
              <w:rPr>
                <w:b w:val="false"/>
                <w:bCs w:val="false"/>
                <w:color w:val="000000"/>
                <w:sz w:val="20"/>
                <w:szCs w:val="20"/>
              </w:rPr>
              <w:t xml:space="preserve"/>
            </w:r>
          </w:p>
        </w:tc>
        <w:tc>
          <w:tcPr>
            <w:tcW w:type="dxa" w:w="1600"/>
            <w:tcMar>
              <w:top w:type="dxa" w:w="80"/>
              <w:left w:type="dxa" w:w="100"/>
              <w:bottom w:type="dxa" w:w="80"/>
              <w:right w:type="dxa" w:w="100"/>
            </w:tcMar>
            <w:vAlign w:val="center"/>
          </w:tcPr>
          <w:p>
            <w:r>
              <w:rPr>
                <w:b w:val="false"/>
                <w:bCs w:val="false"/>
                <w:color w:val="000000"/>
                <w:sz w:val="20"/>
                <w:szCs w:val="20"/>
              </w:rPr>
              <w:t xml:space="preserve">X</w:t>
            </w:r>
          </w:p>
        </w:tc>
      </w:tr>
    </w:tbl>
    <w:p>
      <w:pPr>
        <w:spacing w:before="200"/>
      </w:pPr>
    </w:p>
    <w:p>
      <w:pPr>
        <w:pStyle w:val="Heading1"/>
        <w:spacing w:after="200" w:before="400"/>
      </w:pPr>
      <w:r>
        <w:t xml:space="preserve">3. Star Schema Design</w:t>
      </w:r>
    </w:p>
    <w:p>
      <w:pPr>
        <w:pStyle w:val="Heading2"/>
        <w:spacing w:after="150" w:before="300"/>
      </w:pPr>
      <w:r>
        <w:t xml:space="preserve">3.1 Diagram</w:t>
      </w:r>
    </w:p>
    <w:p>
      <w:pPr>
        <w:spacing w:after="200" w:before="100"/>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19525"/>
                    </a:xfrm>
                    <a:prstGeom prst="rect">
                      <a:avLst/>
                    </a:prstGeom>
                  </pic:spPr>
                </pic:pic>
              </a:graphicData>
            </a:graphic>
          </wp:inline>
        </w:drawing>
      </w:r>
    </w:p>
    <w:p>
      <w:pPr>
        <w:pStyle w:val="Heading2"/>
        <w:spacing w:after="150" w:before="300"/>
      </w:pPr>
      <w:r>
        <w:t xml:space="preserve">3.2 Dimension tables</w:t>
      </w:r>
    </w:p>
    <w:p>
      <w:pPr>
        <w:pStyle w:val="Heading3"/>
        <w:spacing w:after="120" w:before="240"/>
      </w:pPr>
      <w:r>
        <w:t xml:space="preserve">star.DimSuburb  (conformed hub — used by all 5 facts)</w:t>
      </w:r>
    </w:p>
    <w:p>
      <w:pPr>
        <w:spacing w:after="160" w:line="276"/>
      </w:pPr>
      <w:r>
        <w:rPr>
          <w:i/>
          <w:iCs/>
          <w:color w:val="595959"/>
        </w:rPr>
        <w:t xml:space="preserve">Natural key: Suburb + StateCode.  Source: dw.Suburb.</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Surrogate key. -1 reserved for the Unknown member (see Section 6).</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NVARCHAR(100)</w:t>
            </w:r>
          </w:p>
        </w:tc>
        <w:tc>
          <w:tcPr>
            <w:tcW w:type="dxa" w:w="5600"/>
            <w:tcMar>
              <w:top w:type="dxa" w:w="80"/>
              <w:left w:type="dxa" w:w="100"/>
              <w:bottom w:type="dxa" w:w="80"/>
              <w:right w:type="dxa" w:w="100"/>
            </w:tcMar>
            <w:vAlign w:val="center"/>
          </w:tcPr>
          <w:p>
            <w:r>
              <w:rPr>
                <w:b w:val="false"/>
                <w:bCs w:val="false"/>
                <w:color w:val="000000"/>
                <w:sz w:val="20"/>
                <w:szCs w:val="20"/>
              </w:rPr>
              <w:t xml:space="preserve">Standardised, upper-cased suburb name (already cleaned in dw.Suburb).</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City</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NVARCHAR(100)</w:t>
            </w:r>
          </w:p>
        </w:tc>
        <w:tc>
          <w:tcPr>
            <w:tcW w:type="dxa" w:w="5600"/>
            <w:tcMar>
              <w:top w:type="dxa" w:w="80"/>
              <w:left w:type="dxa" w:w="100"/>
              <w:bottom w:type="dxa" w:w="80"/>
              <w:right w:type="dxa" w:w="100"/>
            </w:tcMar>
            <w:vAlign w:val="center"/>
          </w:tcPr>
          <w:p>
            <w:r>
              <w:rPr>
                <w:b w:val="false"/>
                <w:bCs w:val="false"/>
                <w:color w:val="000000"/>
                <w:sz w:val="20"/>
                <w:szCs w:val="20"/>
              </w:rPr>
              <w:t xml:space="preserve">From the AUS Suburb master list.</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State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NVARCHAR(100)</w:t>
            </w:r>
          </w:p>
        </w:tc>
        <w:tc>
          <w:tcPr>
            <w:tcW w:type="dxa" w:w="5600"/>
            <w:tcMar>
              <w:top w:type="dxa" w:w="80"/>
              <w:left w:type="dxa" w:w="100"/>
              <w:bottom w:type="dxa" w:w="80"/>
              <w:right w:type="dxa" w:w="100"/>
            </w:tcMar>
            <w:vAlign w:val="center"/>
          </w:tcPr>
          <w:p>
            <w:r>
              <w:rPr>
                <w:b w:val="false"/>
                <w:bCs w:val="false"/>
                <w:color w:val="000000"/>
                <w:sz w:val="20"/>
                <w:szCs w:val="20"/>
              </w:rPr>
              <w:t xml:space="preserve">Full state name, e.g. “New South Wales”.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StateCode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w:t>
            </w:r>
          </w:p>
        </w:tc>
        <w:tc>
          <w:tcPr>
            <w:tcW w:type="dxa" w:w="5600"/>
            <w:tcMar>
              <w:top w:type="dxa" w:w="80"/>
              <w:left w:type="dxa" w:w="100"/>
              <w:bottom w:type="dxa" w:w="80"/>
              <w:right w:type="dxa" w:w="100"/>
            </w:tcMar>
            <w:vAlign w:val="center"/>
          </w:tcPr>
          <w:p>
            <w:r>
              <w:rPr>
                <w:b w:val="false"/>
                <w:bCs w:val="false"/>
                <w:color w:val="000000"/>
                <w:sz w:val="20"/>
                <w:szCs w:val="20"/>
              </w:rPr>
              <w:t xml:space="preserve">e.g. NSW, SA, VIC — part of the natural key.</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Latitude / Longitude</w:t>
            </w:r>
          </w:p>
        </w:tc>
        <w:tc>
          <w:tcPr>
            <w:tcW w:type="dxa" w:w="2200"/>
            <w:tcMar>
              <w:top w:type="dxa" w:w="80"/>
              <w:left w:type="dxa" w:w="100"/>
              <w:bottom w:type="dxa" w:w="80"/>
              <w:right w:type="dxa" w:w="100"/>
            </w:tcMar>
            <w:vAlign w:val="center"/>
          </w:tcPr>
          <w:p>
            <w:r>
              <w:rPr>
                <w:b w:val="false"/>
                <w:bCs w:val="false"/>
                <w:color w:val="000000"/>
                <w:sz w:val="20"/>
                <w:szCs w:val="20"/>
              </w:rPr>
              <w:t xml:space="preserve">DECIMAL(9,6)</w:t>
            </w:r>
          </w:p>
        </w:tc>
        <w:tc>
          <w:tcPr>
            <w:tcW w:type="dxa" w:w="5600"/>
            <w:tcMar>
              <w:top w:type="dxa" w:w="80"/>
              <w:left w:type="dxa" w:w="100"/>
              <w:bottom w:type="dxa" w:w="80"/>
              <w:right w:type="dxa" w:w="100"/>
            </w:tcMar>
            <w:vAlign w:val="center"/>
          </w:tcPr>
          <w:p>
            <w:r>
              <w:rPr>
                <w:b w:val="false"/>
                <w:bCs w:val="false"/>
                <w:color w:val="000000"/>
                <w:sz w:val="20"/>
                <w:szCs w:val="20"/>
              </w:rPr>
              <w:t xml:space="preserve">Optional, useful for mapping visuals later.</w:t>
            </w:r>
          </w:p>
        </w:tc>
      </w:tr>
    </w:tbl>
    <w:p>
      <w:pPr>
        <w:pStyle w:val="Heading3"/>
        <w:spacing w:after="120" w:before="240"/>
      </w:pPr>
      <w:r>
        <w:t xml:space="preserve">star.DimOffenceType  (used by FactCrime)</w:t>
      </w:r>
    </w:p>
    <w:p>
      <w:pPr>
        <w:spacing w:after="160" w:line="276"/>
      </w:pPr>
      <w:r>
        <w:rPr>
          <w:i/>
          <w:iCs/>
          <w:color w:val="595959"/>
        </w:rPr>
        <w:t xml:space="preserve">Natural key: OffenceCategory + OffenceSubcategory.  Source: dw.Crime (distinct).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OffenceTypeKey</w:t>
            </w:r>
          </w:p>
        </w:tc>
        <w:tc>
          <w:tcPr>
            <w:tcW w:type="dxa" w:w="2200"/>
            <w:tcMar>
              <w:top w:type="dxa" w:w="80"/>
              <w:left w:type="dxa" w:w="100"/>
              <w:bottom w:type="dxa" w:w="80"/>
              <w:right w:type="dxa" w:w="100"/>
            </w:tcMar>
            <w:vAlign w:val="center"/>
          </w:tcPr>
          <w:p>
            <w:r>
              <w:rPr>
                <w:b w:val="false"/>
                <w:bCs w:val="false"/>
                <w:color w:val="000000"/>
                <w:sz w:val="20"/>
                <w:szCs w:val="20"/>
              </w:rPr>
              <w:t xml:space="preserve">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Surrogate key.</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OffenceCategory</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NVARCHAR(200)</w:t>
            </w:r>
          </w:p>
        </w:tc>
        <w:tc>
          <w:tcPr>
            <w:tcW w:type="dxa" w:w="5600"/>
            <w:tcMar>
              <w:top w:type="dxa" w:w="80"/>
              <w:left w:type="dxa" w:w="100"/>
              <w:bottom w:type="dxa" w:w="80"/>
              <w:right w:type="dxa" w:w="100"/>
            </w:tcMar>
            <w:vAlign w:val="center"/>
          </w:tcPr>
          <w:p>
            <w:r>
              <w:rPr>
                <w:b w:val="false"/>
                <w:bCs w:val="false"/>
                <w:color w:val="000000"/>
                <w:sz w:val="20"/>
                <w:szCs w:val="20"/>
              </w:rPr>
              <w:t xml:space="preserve">e.g. “Against justice procedures”.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OffenceSubcategory</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NVARCHAR(200)</w:t>
            </w:r>
          </w:p>
        </w:tc>
        <w:tc>
          <w:tcPr>
            <w:tcW w:type="dxa" w:w="5600"/>
            <w:tcMar>
              <w:top w:type="dxa" w:w="80"/>
              <w:left w:type="dxa" w:w="100"/>
              <w:bottom w:type="dxa" w:w="80"/>
              <w:right w:type="dxa" w:w="100"/>
            </w:tcMar>
            <w:vAlign w:val="center"/>
          </w:tcPr>
          <w:p>
            <w:r>
              <w:rPr>
                <w:b w:val="false"/>
                <w:bCs w:val="false"/>
                <w:color w:val="000000"/>
                <w:sz w:val="20"/>
                <w:szCs w:val="20"/>
              </w:rPr>
              <w:t xml:space="preserve">e.g. “Other offences against justice procedures”.</w:t>
            </w:r>
          </w:p>
        </w:tc>
      </w:tr>
    </w:tbl>
    <w:p>
      <w:pPr>
        <w:pStyle w:val="Heading3"/>
        <w:spacing w:after="120" w:before="240"/>
      </w:pPr>
      <w:r>
        <w:t xml:space="preserve">star.DimRentalHouseType  (used by FactRentalValue)</w:t>
      </w:r>
    </w:p>
    <w:p>
      <w:pPr>
        <w:spacing w:after="160" w:line="276"/>
      </w:pPr>
      <w:r>
        <w:rPr>
          <w:i/>
          <w:iCs/>
          <w:color w:val="595959"/>
        </w:rPr>
        <w:t xml:space="preserve">Natural key: RentalHouseType.  Source: dw.RentalValue (distinct).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RentalHouseTypeKey</w:t>
            </w:r>
          </w:p>
        </w:tc>
        <w:tc>
          <w:tcPr>
            <w:tcW w:type="dxa" w:w="2200"/>
            <w:tcMar>
              <w:top w:type="dxa" w:w="80"/>
              <w:left w:type="dxa" w:w="100"/>
              <w:bottom w:type="dxa" w:w="80"/>
              <w:right w:type="dxa" w:w="100"/>
            </w:tcMar>
            <w:vAlign w:val="center"/>
          </w:tcPr>
          <w:p>
            <w:r>
              <w:rPr>
                <w:b w:val="false"/>
                <w:bCs w:val="false"/>
                <w:color w:val="000000"/>
                <w:sz w:val="20"/>
                <w:szCs w:val="20"/>
              </w:rPr>
              <w:t xml:space="preserve">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Surrogate key.</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RentalHouseType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NVARCHAR(100)</w:t>
            </w:r>
          </w:p>
        </w:tc>
        <w:tc>
          <w:tcPr>
            <w:tcW w:type="dxa" w:w="5600"/>
            <w:tcMar>
              <w:top w:type="dxa" w:w="80"/>
              <w:left w:type="dxa" w:w="100"/>
              <w:bottom w:type="dxa" w:w="80"/>
              <w:right w:type="dxa" w:w="100"/>
            </w:tcMar>
            <w:vAlign w:val="center"/>
          </w:tcPr>
          <w:p>
            <w:r>
              <w:rPr>
                <w:b w:val="false"/>
                <w:bCs w:val="false"/>
                <w:color w:val="000000"/>
                <w:sz w:val="20"/>
                <w:szCs w:val="20"/>
              </w:rPr>
              <w:t xml:space="preserve">e.g. “1 BR Flat”, “3 BR House”.</w:t>
            </w:r>
          </w:p>
        </w:tc>
      </w:tr>
    </w:tbl>
    <w:p>
      <w:pPr>
        <w:pStyle w:val="Heading3"/>
        <w:spacing w:after="120" w:before="240"/>
      </w:pPr>
      <w:r>
        <w:t xml:space="preserve">star.DimSchool  (used by FactSchoolPresence)</w:t>
      </w:r>
    </w:p>
    <w:p>
      <w:pPr>
        <w:spacing w:after="160" w:line="276"/>
      </w:pPr>
      <w:r>
        <w:rPr>
          <w:i/>
          <w:iCs/>
          <w:color w:val="595959"/>
        </w:rPr>
        <w:t xml:space="preserve">Natural key: SchoolCode + StateCode.  Source: dw.School (distinct).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SchoolKey</w:t>
            </w:r>
          </w:p>
        </w:tc>
        <w:tc>
          <w:tcPr>
            <w:tcW w:type="dxa" w:w="2200"/>
            <w:tcMar>
              <w:top w:type="dxa" w:w="80"/>
              <w:left w:type="dxa" w:w="100"/>
              <w:bottom w:type="dxa" w:w="80"/>
              <w:right w:type="dxa" w:w="100"/>
            </w:tcMar>
            <w:vAlign w:val="center"/>
          </w:tcPr>
          <w:p>
            <w:r>
              <w:rPr>
                <w:b w:val="false"/>
                <w:bCs w:val="false"/>
                <w:color w:val="000000"/>
                <w:sz w:val="20"/>
                <w:szCs w:val="20"/>
              </w:rPr>
              <w:t xml:space="preserve">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Surrogate key.</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SchoolCode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NVARCHAR(50)</w:t>
            </w:r>
          </w:p>
        </w:tc>
        <w:tc>
          <w:tcPr>
            <w:tcW w:type="dxa" w:w="5600"/>
            <w:tcMar>
              <w:top w:type="dxa" w:w="80"/>
              <w:left w:type="dxa" w:w="100"/>
              <w:bottom w:type="dxa" w:w="80"/>
              <w:right w:type="dxa" w:w="100"/>
            </w:tcMar>
            <w:vAlign w:val="center"/>
          </w:tcPr>
          <w:p>
            <w:r>
              <w:rPr>
                <w:b w:val="false"/>
                <w:bCs w:val="false"/>
                <w:color w:val="000000"/>
                <w:sz w:val="20"/>
                <w:szCs w:val="20"/>
              </w:rPr>
              <w:t xml:space="preserve">State-issued school code.</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StateCode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w:t>
            </w:r>
          </w:p>
        </w:tc>
        <w:tc>
          <w:tcPr>
            <w:tcW w:type="dxa" w:w="5600"/>
            <w:tcMar>
              <w:top w:type="dxa" w:w="80"/>
              <w:left w:type="dxa" w:w="100"/>
              <w:bottom w:type="dxa" w:w="80"/>
              <w:right w:type="dxa" w:w="100"/>
            </w:tcMar>
            <w:vAlign w:val="center"/>
          </w:tcPr>
          <w:p>
            <w:r>
              <w:rPr>
                <w:b w:val="false"/>
                <w:bCs w:val="false"/>
                <w:color w:val="000000"/>
                <w:sz w:val="20"/>
                <w:szCs w:val="20"/>
              </w:rPr>
              <w:t xml:space="preserve">School codes are only unique within a state, so this is part of the natural key too.</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SchoolName / SchoolType / Address</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w:t>
            </w:r>
          </w:p>
        </w:tc>
        <w:tc>
          <w:tcPr>
            <w:tcW w:type="dxa" w:w="5600"/>
            <w:tcMar>
              <w:top w:type="dxa" w:w="80"/>
              <w:left w:type="dxa" w:w="100"/>
              <w:bottom w:type="dxa" w:w="80"/>
              <w:right w:type="dxa" w:w="100"/>
            </w:tcMar>
            <w:vAlign w:val="center"/>
          </w:tcPr>
          <w:p>
            <w:r>
              <w:rPr>
                <w:b w:val="false"/>
                <w:bCs w:val="false"/>
                <w:color w:val="000000"/>
                <w:sz w:val="20"/>
                <w:szCs w:val="20"/>
              </w:rPr>
              <w:t xml:space="preserve">Descriptive attributes, kept flat (no snowflaking).</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Postcode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w:t>
            </w:r>
          </w:p>
        </w:tc>
        <w:tc>
          <w:tcPr>
            <w:tcW w:type="dxa" w:w="5600"/>
            <w:tcMar>
              <w:top w:type="dxa" w:w="80"/>
              <w:left w:type="dxa" w:w="100"/>
              <w:bottom w:type="dxa" w:w="80"/>
              <w:right w:type="dxa" w:w="100"/>
            </w:tcMar>
            <w:vAlign w:val="center"/>
          </w:tcPr>
          <w:p>
            <w:r>
              <w:rPr>
                <w:b w:val="false"/>
                <w:bCs w:val="false"/>
                <w:color w:val="000000"/>
                <w:sz w:val="20"/>
                <w:szCs w:val="20"/>
              </w:rPr>
              <w:t xml:space="preserve">Carried through from dw.School.</w:t>
            </w:r>
          </w:p>
        </w:tc>
      </w:tr>
    </w:tbl>
    <w:p>
      <w:pPr>
        <w:pStyle w:val="Heading3"/>
        <w:spacing w:after="120" w:before="240"/>
      </w:pPr>
      <w:r>
        <w:t xml:space="preserve">star.DimTransportStop  (used by FactTransportAccess)</w:t>
      </w:r>
    </w:p>
    <w:p>
      <w:pPr>
        <w:spacing w:after="160" w:line="276"/>
      </w:pPr>
      <w:r>
        <w:rPr>
          <w:i/>
          <w:iCs/>
          <w:color w:val="595959"/>
        </w:rPr>
        <w:t xml:space="preserve">Natural key: StopName + Mode + StateCode + StopLat + StopLong.  Source: dw.Transport (distinct).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StopKey</w:t>
            </w:r>
          </w:p>
        </w:tc>
        <w:tc>
          <w:tcPr>
            <w:tcW w:type="dxa" w:w="2200"/>
            <w:tcMar>
              <w:top w:type="dxa" w:w="80"/>
              <w:left w:type="dxa" w:w="100"/>
              <w:bottom w:type="dxa" w:w="80"/>
              <w:right w:type="dxa" w:w="100"/>
            </w:tcMar>
            <w:vAlign w:val="center"/>
          </w:tcPr>
          <w:p>
            <w:r>
              <w:rPr>
                <w:b w:val="false"/>
                <w:bCs w:val="false"/>
                <w:color w:val="000000"/>
                <w:sz w:val="20"/>
                <w:szCs w:val="20"/>
              </w:rPr>
              <w:t xml:space="preserve">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Surrogate key.</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StopName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NVARCHAR(200)</w:t>
            </w:r>
          </w:p>
        </w:tc>
        <w:tc>
          <w:tcPr>
            <w:tcW w:type="dxa" w:w="5600"/>
            <w:tcMar>
              <w:top w:type="dxa" w:w="80"/>
              <w:left w:type="dxa" w:w="100"/>
              <w:bottom w:type="dxa" w:w="80"/>
              <w:right w:type="dxa" w:w="100"/>
            </w:tcMar>
            <w:vAlign w:val="center"/>
          </w:tcPr>
          <w:p>
            <w:r>
              <w:rPr>
                <w:b w:val="false"/>
                <w:bCs w:val="false"/>
                <w:color w:val="000000"/>
                <w:sz w:val="20"/>
                <w:szCs w:val="20"/>
              </w:rPr>
              <w:t xml:space="preserve">e.g. “Albion Park Burroo St Ramp”.</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Mode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NVARCHAR(50)</w:t>
            </w:r>
          </w:p>
        </w:tc>
        <w:tc>
          <w:tcPr>
            <w:tcW w:type="dxa" w:w="5600"/>
            <w:tcMar>
              <w:top w:type="dxa" w:w="80"/>
              <w:left w:type="dxa" w:w="100"/>
              <w:bottom w:type="dxa" w:w="80"/>
              <w:right w:type="dxa" w:w="100"/>
            </w:tcMar>
            <w:vAlign w:val="center"/>
          </w:tcPr>
          <w:p>
            <w:r>
              <w:rPr>
                <w:b w:val="false"/>
                <w:bCs w:val="false"/>
                <w:color w:val="000000"/>
                <w:sz w:val="20"/>
                <w:szCs w:val="20"/>
              </w:rPr>
              <w:t xml:space="preserve">train / bus / tram / ferry.</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StateCode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w:t>
            </w:r>
          </w:p>
        </w:tc>
        <w:tc>
          <w:tcPr>
            <w:tcW w:type="dxa" w:w="5600"/>
            <w:tcMar>
              <w:top w:type="dxa" w:w="80"/>
              <w:left w:type="dxa" w:w="100"/>
              <w:bottom w:type="dxa" w:w="80"/>
              <w:right w:type="dxa" w:w="100"/>
            </w:tcMar>
            <w:vAlign w:val="center"/>
          </w:tcPr>
          <w:p>
            <w:r>
              <w:rPr>
                <w:b w:val="false"/>
                <w:bCs w:val="false"/>
                <w:color w:val="000000"/>
                <w:sz w:val="20"/>
                <w:szCs w:val="20"/>
              </w:rPr>
              <w:t xml:space="preserve">Part of the natural key — stop names are not unique nationally.</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StopLat / StopLong</w:t>
            </w:r>
          </w:p>
        </w:tc>
        <w:tc>
          <w:tcPr>
            <w:tcW w:type="dxa" w:w="2200"/>
            <w:tcMar>
              <w:top w:type="dxa" w:w="80"/>
              <w:left w:type="dxa" w:w="100"/>
              <w:bottom w:type="dxa" w:w="80"/>
              <w:right w:type="dxa" w:w="100"/>
            </w:tcMar>
            <w:vAlign w:val="center"/>
          </w:tcPr>
          <w:p>
            <w:r>
              <w:rPr>
                <w:b w:val="false"/>
                <w:bCs w:val="false"/>
                <w:color w:val="000000"/>
                <w:sz w:val="20"/>
                <w:szCs w:val="20"/>
              </w:rPr>
              <w:t xml:space="preserve">DECIMAL(9,6)</w:t>
            </w:r>
          </w:p>
        </w:tc>
        <w:tc>
          <w:tcPr>
            <w:tcW w:type="dxa" w:w="5600"/>
            <w:tcMar>
              <w:top w:type="dxa" w:w="80"/>
              <w:left w:type="dxa" w:w="100"/>
              <w:bottom w:type="dxa" w:w="80"/>
              <w:right w:type="dxa" w:w="100"/>
            </w:tcMar>
            <w:vAlign w:val="center"/>
          </w:tcPr>
          <w:p>
            <w:r>
              <w:rPr>
                <w:b w:val="false"/>
                <w:bCs w:val="false"/>
                <w:color w:val="000000"/>
                <w:sz w:val="20"/>
                <w:szCs w:val="20"/>
              </w:rPr>
              <w:t xml:space="preserve">Coordinates, also used to disambiguate identical stop names.</w:t>
            </w:r>
          </w:p>
        </w:tc>
      </w:tr>
    </w:tbl>
    <w:p>
      <w:pPr>
        <w:pStyle w:val="Heading2"/>
        <w:spacing w:after="150" w:before="300"/>
      </w:pPr>
      <w:r>
        <w:t xml:space="preserve">3.3 Fact tables</w:t>
      </w:r>
    </w:p>
    <w:p>
      <w:pPr>
        <w:pStyle w:val="Heading3"/>
        <w:spacing w:after="120" w:before="240"/>
      </w:pPr>
      <w:r>
        <w:t xml:space="preserve">star.FactHouseValue</w:t>
      </w:r>
    </w:p>
    <w:p>
      <w:pPr>
        <w:spacing w:after="160" w:line="276"/>
      </w:pPr>
      <w:r>
        <w:rPr>
          <w:i/>
          <w:iCs/>
          <w:color w:val="595959"/>
        </w:rPr>
        <w:t xml:space="preserve">Grain: one row per suburb (a median house value snapshot). Source: dw.HouseValue.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HouseValueKey</w:t>
            </w:r>
          </w:p>
        </w:tc>
        <w:tc>
          <w:tcPr>
            <w:tcW w:type="dxa" w:w="2200"/>
            <w:tcMar>
              <w:top w:type="dxa" w:w="80"/>
              <w:left w:type="dxa" w:w="100"/>
              <w:bottom w:type="dxa" w:w="80"/>
              <w:right w:type="dxa" w:w="100"/>
            </w:tcMar>
            <w:vAlign w:val="center"/>
          </w:tcPr>
          <w:p>
            <w:r>
              <w:rPr>
                <w:b w:val="false"/>
                <w:bCs w:val="false"/>
                <w:color w:val="000000"/>
                <w:sz w:val="20"/>
                <w:szCs w:val="20"/>
              </w:rPr>
              <w:t xml:space="preserve">BIGINT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DimSuburb)</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Postcode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w:t>
            </w:r>
          </w:p>
        </w:tc>
        <w:tc>
          <w:tcPr>
            <w:tcW w:type="dxa" w:w="5600"/>
            <w:tcMar>
              <w:top w:type="dxa" w:w="80"/>
              <w:left w:type="dxa" w:w="100"/>
              <w:bottom w:type="dxa" w:w="80"/>
              <w:right w:type="dxa" w:w="100"/>
            </w:tcMar>
            <w:vAlign w:val="center"/>
          </w:tcPr>
          <w:p>
            <w:r>
              <w:rPr>
                <w:b w:val="false"/>
                <w:bCs w:val="false"/>
                <w:color w:val="000000"/>
                <w:sz w:val="20"/>
                <w:szCs w:val="20"/>
              </w:rPr>
              <w:t xml:space="preserve">Only populated for NSW rows (other states didn't supply a postcode).</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HouseValue</w:t>
            </w:r>
          </w:p>
        </w:tc>
        <w:tc>
          <w:tcPr>
            <w:tcW w:type="dxa" w:w="2200"/>
            <w:tcMar>
              <w:top w:type="dxa" w:w="80"/>
              <w:left w:type="dxa" w:w="100"/>
              <w:bottom w:type="dxa" w:w="80"/>
              <w:right w:type="dxa" w:w="100"/>
            </w:tcMar>
            <w:vAlign w:val="center"/>
          </w:tcPr>
          <w:p>
            <w:r>
              <w:rPr>
                <w:b w:val="false"/>
                <w:bCs w:val="false"/>
                <w:color w:val="000000"/>
                <w:sz w:val="20"/>
                <w:szCs w:val="20"/>
              </w:rPr>
              <w:t xml:space="preserve">DECIMAL(12,2)</w:t>
            </w:r>
          </w:p>
        </w:tc>
        <w:tc>
          <w:tcPr>
            <w:tcW w:type="dxa" w:w="5600"/>
            <w:tcMar>
              <w:top w:type="dxa" w:w="80"/>
              <w:left w:type="dxa" w:w="100"/>
              <w:bottom w:type="dxa" w:w="80"/>
              <w:right w:type="dxa" w:w="100"/>
            </w:tcMar>
            <w:vAlign w:val="center"/>
          </w:tcPr>
          <w:p>
            <w:r>
              <w:rPr>
                <w:b w:val="false"/>
                <w:bCs w:val="false"/>
                <w:color w:val="000000"/>
                <w:sz w:val="20"/>
                <w:szCs w:val="20"/>
              </w:rPr>
              <w:t xml:space="preserve">Median house value — semi-additive: aggregate with AVG, not SUM, across suburbs.</w:t>
            </w:r>
          </w:p>
        </w:tc>
      </w:tr>
    </w:tbl>
    <w:p>
      <w:pPr>
        <w:pStyle w:val="Heading3"/>
        <w:spacing w:after="120" w:before="240"/>
      </w:pPr>
      <w:r>
        <w:t xml:space="preserve">star.FactRentalValue</w:t>
      </w:r>
    </w:p>
    <w:p>
      <w:pPr>
        <w:spacing w:after="160" w:line="276"/>
      </w:pPr>
      <w:r>
        <w:rPr>
          <w:i/>
          <w:iCs/>
          <w:color w:val="595959"/>
        </w:rPr>
        <w:t xml:space="preserve">Grain: one row per suburb + rental house type. Source: dw.RentalValue.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RentalValueKey</w:t>
            </w:r>
          </w:p>
        </w:tc>
        <w:tc>
          <w:tcPr>
            <w:tcW w:type="dxa" w:w="2200"/>
            <w:tcMar>
              <w:top w:type="dxa" w:w="80"/>
              <w:left w:type="dxa" w:w="100"/>
              <w:bottom w:type="dxa" w:w="80"/>
              <w:right w:type="dxa" w:w="100"/>
            </w:tcMar>
            <w:vAlign w:val="center"/>
          </w:tcPr>
          <w:p>
            <w:r>
              <w:rPr>
                <w:b w:val="false"/>
                <w:bCs w:val="false"/>
                <w:color w:val="000000"/>
                <w:sz w:val="20"/>
                <w:szCs w:val="20"/>
              </w:rPr>
              <w:t xml:space="preserve">BIGINT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DimSuburb)</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RentalHouseTypeKey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DimRentalHouseType)</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RentalAmount</w:t>
            </w:r>
          </w:p>
        </w:tc>
        <w:tc>
          <w:tcPr>
            <w:tcW w:type="dxa" w:w="2200"/>
            <w:tcMar>
              <w:top w:type="dxa" w:w="80"/>
              <w:left w:type="dxa" w:w="100"/>
              <w:bottom w:type="dxa" w:w="80"/>
              <w:right w:type="dxa" w:w="100"/>
            </w:tcMar>
            <w:vAlign w:val="center"/>
          </w:tcPr>
          <w:p>
            <w:r>
              <w:rPr>
                <w:b w:val="false"/>
                <w:bCs w:val="false"/>
                <w:color w:val="000000"/>
                <w:sz w:val="20"/>
                <w:szCs w:val="20"/>
              </w:rPr>
              <w:t xml:space="preserve">DECIMAL(10,2)</w:t>
            </w:r>
          </w:p>
        </w:tc>
        <w:tc>
          <w:tcPr>
            <w:tcW w:type="dxa" w:w="5600"/>
            <w:tcMar>
              <w:top w:type="dxa" w:w="80"/>
              <w:left w:type="dxa" w:w="100"/>
              <w:bottom w:type="dxa" w:w="80"/>
              <w:right w:type="dxa" w:w="100"/>
            </w:tcMar>
            <w:vAlign w:val="center"/>
          </w:tcPr>
          <w:p>
            <w:r>
              <w:rPr>
                <w:b w:val="false"/>
                <w:bCs w:val="false"/>
                <w:color w:val="000000"/>
                <w:sz w:val="20"/>
                <w:szCs w:val="20"/>
              </w:rPr>
              <w:t xml:space="preserve">Weekly rent — also semi-additive, use AVG across suburbs.</w:t>
            </w:r>
          </w:p>
        </w:tc>
      </w:tr>
    </w:tbl>
    <w:p>
      <w:pPr>
        <w:pStyle w:val="Heading3"/>
        <w:spacing w:after="120" w:before="240"/>
      </w:pPr>
      <w:r>
        <w:t xml:space="preserve">star.FactCrime</w:t>
      </w:r>
    </w:p>
    <w:p>
      <w:pPr>
        <w:spacing w:after="160" w:line="276"/>
      </w:pPr>
      <w:r>
        <w:rPr>
          <w:i/>
          <w:iCs/>
          <w:color w:val="595959"/>
        </w:rPr>
        <w:t xml:space="preserve">Grain: one row per suburb + postcode + offence category + offence subcategory. Source: dw.Crime.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CrimeKey</w:t>
            </w:r>
          </w:p>
        </w:tc>
        <w:tc>
          <w:tcPr>
            <w:tcW w:type="dxa" w:w="2200"/>
            <w:tcMar>
              <w:top w:type="dxa" w:w="80"/>
              <w:left w:type="dxa" w:w="100"/>
              <w:bottom w:type="dxa" w:w="80"/>
              <w:right w:type="dxa" w:w="100"/>
            </w:tcMar>
            <w:vAlign w:val="center"/>
          </w:tcPr>
          <w:p>
            <w:r>
              <w:rPr>
                <w:b w:val="false"/>
                <w:bCs w:val="false"/>
                <w:color w:val="000000"/>
                <w:sz w:val="20"/>
                <w:szCs w:val="20"/>
              </w:rPr>
              <w:t xml:space="preserve">BIGINT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DimSuburb)</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OffenceTypeKey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DimOffenceType)</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Postcode</w:t>
            </w:r>
          </w:p>
        </w:tc>
        <w:tc>
          <w:tcPr>
            <w:tcW w:type="dxa" w:w="2200"/>
            <w:tcMar>
              <w:top w:type="dxa" w:w="80"/>
              <w:left w:type="dxa" w:w="100"/>
              <w:bottom w:type="dxa" w:w="80"/>
              <w:right w:type="dxa" w:w="100"/>
            </w:tcMar>
            <w:vAlign w:val="center"/>
          </w:tcPr>
          <w:p>
            <w:r>
              <w:rPr>
                <w:b w:val="false"/>
                <w:bCs w:val="false"/>
                <w:color w:val="000000"/>
                <w:sz w:val="20"/>
                <w:szCs w:val="20"/>
              </w:rPr>
              <w:t xml:space="preserve">NVARCHAR(10)</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RecordedIncidents</w:t>
            </w:r>
          </w:p>
        </w:tc>
        <w:tc>
          <w:tcPr>
            <w:tcW w:type="dxa" w:w="2200"/>
            <w:tcMar>
              <w:top w:type="dxa" w:w="80"/>
              <w:left w:type="dxa" w:w="100"/>
              <w:bottom w:type="dxa" w:w="80"/>
              <w:right w:type="dxa" w:w="100"/>
            </w:tcMar>
            <w:vAlign w:val="center"/>
          </w:tcPr>
          <w:p>
            <w:r>
              <w:rPr>
                <w:b w:val="false"/>
                <w:bCs w:val="false"/>
                <w:color w:val="000000"/>
                <w:sz w:val="20"/>
                <w:szCs w:val="20"/>
              </w:rPr>
              <w:t xml:space="preserve">INT</w:t>
            </w:r>
          </w:p>
        </w:tc>
        <w:tc>
          <w:tcPr>
            <w:tcW w:type="dxa" w:w="5600"/>
            <w:tcMar>
              <w:top w:type="dxa" w:w="80"/>
              <w:left w:type="dxa" w:w="100"/>
              <w:bottom w:type="dxa" w:w="80"/>
              <w:right w:type="dxa" w:w="100"/>
            </w:tcMar>
            <w:vAlign w:val="center"/>
          </w:tcPr>
          <w:p>
            <w:r>
              <w:rPr>
                <w:b w:val="false"/>
                <w:bCs w:val="false"/>
                <w:color w:val="000000"/>
                <w:sz w:val="20"/>
                <w:szCs w:val="20"/>
              </w:rPr>
              <w:t xml:space="preserve">Fully additive — safe to SUM across any dimension.</w:t>
            </w:r>
          </w:p>
        </w:tc>
      </w:tr>
    </w:tbl>
    <w:p>
      <w:pPr>
        <w:pStyle w:val="Heading3"/>
        <w:spacing w:after="120" w:before="240"/>
      </w:pPr>
      <w:r>
        <w:t xml:space="preserve">star.FactSchoolPresence  (factless)</w:t>
      </w:r>
    </w:p>
    <w:p>
      <w:pPr>
        <w:spacing w:after="160" w:line="276"/>
      </w:pPr>
      <w:r>
        <w:rPr>
          <w:i/>
          <w:iCs/>
          <w:color w:val="595959"/>
        </w:rPr>
        <w:t xml:space="preserve">Grain: one row per school-located-in-suburb relationship. Source: dw.School.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SchoolPresenceKey</w:t>
            </w:r>
          </w:p>
        </w:tc>
        <w:tc>
          <w:tcPr>
            <w:tcW w:type="dxa" w:w="2200"/>
            <w:tcMar>
              <w:top w:type="dxa" w:w="80"/>
              <w:left w:type="dxa" w:w="100"/>
              <w:bottom w:type="dxa" w:w="80"/>
              <w:right w:type="dxa" w:w="100"/>
            </w:tcMar>
            <w:vAlign w:val="center"/>
          </w:tcPr>
          <w:p>
            <w:r>
              <w:rPr>
                <w:b w:val="false"/>
                <w:bCs w:val="false"/>
                <w:color w:val="000000"/>
                <w:sz w:val="20"/>
                <w:szCs w:val="20"/>
              </w:rPr>
              <w:t xml:space="preserve">BIGINT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DimSuburb)</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SchoolKey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DimSchool)</w:t>
            </w:r>
          </w:p>
        </w:tc>
        <w:tc>
          <w:tcPr>
            <w:tcW w:type="dxa" w:w="5600"/>
            <w:tcMar>
              <w:top w:type="dxa" w:w="80"/>
              <w:left w:type="dxa" w:w="100"/>
              <w:bottom w:type="dxa" w:w="80"/>
              <w:right w:type="dxa" w:w="100"/>
            </w:tcMar>
            <w:vAlign w:val="center"/>
          </w:tcPr>
          <w:p>
            <w:r>
              <w:rPr>
                <w:b w:val="false"/>
                <w:bCs w:val="false"/>
                <w:color w:val="000000"/>
                <w:sz w:val="20"/>
                <w:szCs w:val="20"/>
              </w:rPr>
              <w:t xml:space="preserve">No measure column — use COUNT(*) / COUNT(DISTINCT SchoolKey).</w:t>
            </w:r>
          </w:p>
        </w:tc>
      </w:tr>
    </w:tbl>
    <w:p>
      <w:pPr>
        <w:pStyle w:val="Heading3"/>
        <w:spacing w:after="120" w:before="240"/>
      </w:pPr>
      <w:r>
        <w:t xml:space="preserve">star.FactTransportAccess  (factless)</w:t>
      </w:r>
    </w:p>
    <w:p>
      <w:pPr>
        <w:spacing w:after="160" w:line="276"/>
      </w:pPr>
      <w:r>
        <w:rPr>
          <w:i/>
          <w:iCs/>
          <w:color w:val="595959"/>
        </w:rPr>
        <w:t xml:space="preserve">Grain: one row per transport-stop-located-in-suburb relationship. Source: dw.Transport.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TransportAccessKey</w:t>
            </w:r>
          </w:p>
        </w:tc>
        <w:tc>
          <w:tcPr>
            <w:tcW w:type="dxa" w:w="2200"/>
            <w:tcMar>
              <w:top w:type="dxa" w:w="80"/>
              <w:left w:type="dxa" w:w="100"/>
              <w:bottom w:type="dxa" w:w="80"/>
              <w:right w:type="dxa" w:w="100"/>
            </w:tcMar>
            <w:vAlign w:val="center"/>
          </w:tcPr>
          <w:p>
            <w:r>
              <w:rPr>
                <w:b w:val="false"/>
                <w:bCs w:val="false"/>
                <w:color w:val="000000"/>
                <w:sz w:val="20"/>
                <w:szCs w:val="20"/>
              </w:rPr>
              <w:t xml:space="preserve">BIGINT IDENTITY (PK)</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DimSuburb)</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StopKey</w:t>
            </w:r>
          </w:p>
        </w:tc>
        <w:tc>
          <w:tcPr>
            <w:tcW w:type="dxa" w:w="2200"/>
            <w:tcMar>
              <w:top w:type="dxa" w:w="80"/>
              <w:left w:type="dxa" w:w="100"/>
              <w:bottom w:type="dxa" w:w="80"/>
              <w:right w:type="dxa" w:w="100"/>
            </w:tcMar>
            <w:vAlign w:val="center"/>
          </w:tcPr>
          <w:p>
            <w:r>
              <w:rPr>
                <w:b w:val="false"/>
                <w:bCs w:val="false"/>
                <w:color w:val="000000"/>
                <w:sz w:val="20"/>
                <w:szCs w:val="20"/>
              </w:rPr>
              <w:t xml:space="preserve">INT (FK → DimTransportStop)</w:t>
            </w:r>
          </w:p>
        </w:tc>
        <w:tc>
          <w:tcPr>
            <w:tcW w:type="dxa" w:w="5600"/>
            <w:tcMar>
              <w:top w:type="dxa" w:w="80"/>
              <w:left w:type="dxa" w:w="100"/>
              <w:bottom w:type="dxa" w:w="80"/>
              <w:right w:type="dxa" w:w="100"/>
            </w:tcMar>
            <w:vAlign w:val="center"/>
          </w:tcPr>
          <w:p>
            <w:r>
              <w:rPr>
                <w:b w:val="false"/>
                <w:bCs w:val="false"/>
                <w:color w:val="000000"/>
                <w:sz w:val="20"/>
                <w:szCs w:val="20"/>
              </w:rPr>
              <w:t xml:space="preserve">No measure column — use COUNT(*) / COUNT(DISTINCT StopKey).</w:t>
            </w:r>
          </w:p>
        </w:tc>
      </w:tr>
    </w:tbl>
    <w:p>
      <w:r>
        <w:br w:type="page"/>
      </w:r>
    </w:p>
    <w:p>
      <w:pPr>
        <w:pStyle w:val="Heading1"/>
        <w:spacing w:after="200" w:before="400"/>
      </w:pPr>
      <w:r>
        <w:t xml:space="preserve">4. Build the Star Schema in SQL Server (SSMS)</w:t>
      </w:r>
    </w:p>
    <w:p>
      <w:pPr>
        <w:spacing w:after="160" w:line="276"/>
      </w:pPr>
      <w:r>
        <w:t xml:space="preserve">Do this once, before touching Visual Studio. It creates the 10 empty star.* tables (with proper primary/foreign keys) and seeds the Unknown suburb row.</w:t>
      </w:r>
    </w:p>
    <w:p>
      <w:pPr>
        <w:spacing w:after="100" w:before="260"/>
      </w:pPr>
      <w:r>
        <w:rPr>
          <w:b/>
          <w:bCs/>
          <w:color w:val="1F3864"/>
        </w:rPr>
        <w:t xml:space="preserve">Step 1 — </w:t>
      </w:r>
      <w:r>
        <w:rPr>
          <w:b/>
          <w:bCs/>
        </w:rPr>
        <w:t xml:space="preserve">Open SQL Server Management Studio and connect</w:t>
      </w:r>
      <w:r>
        <w:t xml:space="preserve"> to the same server you used for AUPropertyDW in Part 1 (Object Explorer → Connect → Database Engine).</w:t>
      </w:r>
    </w:p>
    <w:p>
      <w:pPr>
        <w:spacing w:after="100" w:before="260"/>
      </w:pPr>
      <w:r>
        <w:rPr>
          <w:b/>
          <w:bCs/>
          <w:color w:val="1F3864"/>
        </w:rPr>
        <w:t xml:space="preserve">Step 2 — </w:t>
      </w:r>
      <w:r>
        <w:rPr>
          <w:b/>
          <w:bCs/>
        </w:rPr>
        <w:t xml:space="preserve">Open a New Query window</w:t>
      </w:r>
      <w:r>
        <w:t xml:space="preserve"> against the AUPropertyDW database — check the database selector dropdown at the top of the toolbar shows AUPropertyDW, not master.</w:t>
      </w:r>
    </w:p>
    <w:p>
      <w:pPr>
        <w:spacing w:after="100" w:before="260"/>
      </w:pPr>
      <w:r>
        <w:rPr>
          <w:b/>
          <w:bCs/>
          <w:color w:val="1F3864"/>
        </w:rPr>
        <w:t xml:space="preserve">Step 3 — </w:t>
      </w:r>
      <w:r>
        <w:rPr>
          <w:b/>
          <w:bCs/>
        </w:rPr>
        <w:t xml:space="preserve">Open the script file AUProperty_StarSchema_DDL_ETL.sql</w:t>
      </w:r>
      <w:r>
        <w:t xml:space="preserve"> (in this same project folder) — File → Open → File…, or just copy/paste Sections 1–4 of it into the query window.</w:t>
      </w:r>
    </w:p>
    <w:p>
      <w:pPr>
        <w:spacing w:after="100" w:before="260"/>
      </w:pPr>
      <w:r>
        <w:rPr>
          <w:b/>
          <w:bCs/>
          <w:color w:val="1F3864"/>
        </w:rPr>
        <w:t xml:space="preserve">Step 4 — </w:t>
      </w:r>
      <w:r>
        <w:rPr>
          <w:b/>
          <w:bCs/>
        </w:rPr>
        <w:t xml:space="preserve">Execute the script</w:t>
      </w:r>
      <w:r>
        <w:t xml:space="preserve"> (F5, or the Execute button). This will:</w:t>
      </w:r>
    </w:p>
    <w:p>
      <w:pPr>
        <w:pStyle w:val="ListParagraph"/>
        <w:numPr>
          <w:ilvl w:val="0"/>
          <w:numId w:val="1"/>
        </w:numPr>
        <w:spacing w:after="80" w:line="276"/>
      </w:pPr>
      <w:r>
        <w:t xml:space="preserve">Create a new schema called star if it doesn't already exist.</w:t>
      </w:r>
    </w:p>
    <w:p>
      <w:pPr>
        <w:pStyle w:val="ListParagraph"/>
        <w:numPr>
          <w:ilvl w:val="0"/>
          <w:numId w:val="1"/>
        </w:numPr>
        <w:spacing w:after="80" w:line="276"/>
      </w:pPr>
      <w:r>
        <w:t xml:space="preserve">Drop and recreate the 5 star.Dim* and 5 star.Fact* tables, with primary keys, foreign keys, and UNIQUE constraints on each dimension's natural key.</w:t>
      </w:r>
    </w:p>
    <w:p>
      <w:pPr>
        <w:pStyle w:val="ListParagraph"/>
        <w:numPr>
          <w:ilvl w:val="0"/>
          <w:numId w:val="1"/>
        </w:numPr>
        <w:spacing w:after="80" w:line="276"/>
      </w:pPr>
      <w:r>
        <w:t xml:space="preserve">Insert the single “Unknown” row into star.DimSuburb with SuburbKey = -1.</w:t>
      </w:r>
    </w:p>
    <w:p>
      <w:pPr>
        <w:spacing w:after="100" w:before="260"/>
      </w:pPr>
      <w:r>
        <w:rPr>
          <w:b/>
          <w:bCs/>
          <w:color w:val="1F3864"/>
        </w:rPr>
        <w:t xml:space="preserve">Step 5 — </w:t>
      </w:r>
      <w:r>
        <w:rPr>
          <w:b/>
          <w:bCs/>
        </w:rPr>
        <w:t xml:space="preserve">Verify in Object Explorer</w:t>
      </w:r>
      <w:r>
        <w:t xml:space="preserve"> — expand AUPropertyDW → Tables → you should see star.DimSuburb, star.DimOffenceType, star.DimRentalHouseType, star.DimSchool, star.DimTransportStop, star.FactHouseValue, star.FactRentalValue, star.FactCrime, star.FactSchoolPresence, star.FactTransportAccess. If any are missing, check the Messages tab for the error and re-run just that CREATE TABLE block.</w:t>
      </w:r>
    </w:p>
    <w:p>
      <w:pPr>
        <w:spacing w:after="100" w:before="260"/>
      </w:pPr>
      <w:r>
        <w:rPr>
          <w:b/>
          <w:bCs/>
          <w:color w:val="1F3864"/>
        </w:rPr>
        <w:t xml:space="preserve">Step 6 — </w:t>
      </w:r>
      <w:r>
        <w:rPr>
          <w:b/>
          <w:bCs/>
        </w:rPr>
        <w:t xml:space="preserve">Confirm the Unknown row</w:t>
      </w:r>
      <w:r>
        <w:t xml:space="preserve"> with a quick check:</w:t>
      </w:r>
    </w:p>
    <w:p>
      <w:pPr>
        <w:shd w:fill="EDEDED" w:val="clear"/>
        <w:spacing w:after="0"/>
      </w:pPr>
      <w:r>
        <w:rPr>
          <w:rFonts w:ascii="Consolas" w:cs="Consolas" w:eastAsia="Consolas" w:hAnsi="Consolas"/>
          <w:sz w:val="18"/>
          <w:szCs w:val="18"/>
        </w:rPr>
        <w:t xml:space="preserve">SELECT * FROM star.DimSuburb WHERE SuburbKey = -1;</w:t>
      </w:r>
    </w:p>
    <w:p>
      <w:pPr>
        <w:shd w:fill="EDEDED" w:val="clear"/>
        <w:spacing w:after="0"/>
      </w:pPr>
      <w:r>
        <w:rPr>
          <w:rFonts w:ascii="Consolas" w:cs="Consolas" w:eastAsia="Consolas" w:hAnsi="Consolas"/>
          <w:sz w:val="18"/>
          <w:szCs w:val="18"/>
        </w:rPr>
        <w:t xml:space="preserve">-- Expect exactly 1 row: Suburb = 'UNKNOWN', StateCode = 'N/A'</w:t>
      </w:r>
    </w:p>
    <w:p>
      <w:pPr>
        <w:spacing w:after="200"/>
      </w:pPr>
    </w:p>
    <w:p>
      <w:r>
        <w:br w:type="page"/>
      </w:r>
    </w:p>
    <w:p>
      <w:pPr>
        <w:pStyle w:val="Heading1"/>
        <w:spacing w:after="200" w:before="400"/>
      </w:pPr>
      <w:r>
        <w:t xml:space="preserve">5. Open the Project in Visual Studio and Add the New Package</w:t>
      </w:r>
    </w:p>
    <w:p>
      <w:pPr>
        <w:spacing w:after="100" w:before="260"/>
      </w:pPr>
      <w:r>
        <w:rPr>
          <w:b/>
          <w:bCs/>
          <w:color w:val="1F3864"/>
        </w:rPr>
        <w:t xml:space="preserve">Step 1 — </w:t>
      </w:r>
      <w:r>
        <w:rPr>
          <w:b/>
          <w:bCs/>
        </w:rPr>
        <w:t xml:space="preserve">Open Visual Studio 2019</w:t>
      </w:r>
      <w:r>
        <w:t xml:space="preserve"> (or your SSDT version) and open the existing AUProperty_ETL.sln solution you built in Part 1 — File → Open → Project/Solution…, browse to the folder you saved it in back in Part 1 (e.g. Documents\Visual Studio 2019\Projects\AUProperty_ETL).</w:t>
      </w:r>
    </w:p>
    <w:p>
      <w:pPr>
        <w:spacing w:after="100" w:before="260"/>
      </w:pPr>
      <w:r>
        <w:rPr>
          <w:b/>
          <w:bCs/>
          <w:color w:val="1F3864"/>
        </w:rPr>
        <w:t xml:space="preserve">Step 2 — </w:t>
      </w:r>
      <w:r>
        <w:rPr>
          <w:b/>
          <w:bCs/>
        </w:rPr>
        <w:t xml:space="preserve">Confirm Solution Explorer shows the existing package</w:t>
      </w:r>
      <w:r>
        <w:t xml:space="preserve"> — you should see AUProperty_ETL project → SSIS Packages → AUProperty_StagingLoad.dtsx (Part 1's package) and Connection Managers → OLEDB_AUPropertyDW.</w:t>
      </w:r>
    </w:p>
    <w:p>
      <w:pPr>
        <w:spacing w:after="100" w:before="260"/>
      </w:pPr>
      <w:r>
        <w:rPr>
          <w:b/>
          <w:bCs/>
          <w:color w:val="1F3864"/>
        </w:rPr>
        <w:t xml:space="preserve">Step 3 — </w:t>
      </w:r>
      <w:r>
        <w:rPr>
          <w:b/>
          <w:bCs/>
        </w:rPr>
        <w:t xml:space="preserve">Add a new package</w:t>
      </w:r>
      <w:r>
        <w:t xml:space="preserve"> — right-click SSIS Packages in Solution Explorer → New SSIS Package. Rename the new file (right-click it → Rename) to:</w:t>
      </w:r>
    </w:p>
    <w:p>
      <w:pPr>
        <w:shd w:fill="EDEDED" w:val="clear"/>
        <w:spacing w:after="0"/>
      </w:pPr>
      <w:r>
        <w:rPr>
          <w:rFonts w:ascii="Consolas" w:cs="Consolas" w:eastAsia="Consolas" w:hAnsi="Consolas"/>
          <w:sz w:val="18"/>
          <w:szCs w:val="18"/>
        </w:rPr>
        <w:t xml:space="preserve">AUProperty_StarSchemaLoad.dtsx</w:t>
      </w:r>
    </w:p>
    <w:p>
      <w:pPr>
        <w:spacing w:after="160"/>
      </w:pPr>
    </w:p>
    <w:p>
      <w:pPr>
        <w:spacing w:after="100" w:before="260"/>
      </w:pPr>
      <w:r>
        <w:rPr>
          <w:b/>
          <w:bCs/>
          <w:color w:val="1F3864"/>
        </w:rPr>
        <w:t xml:space="preserve">Step 4 — </w:t>
      </w:r>
      <w:r>
        <w:rPr>
          <w:b/>
          <w:bCs/>
        </w:rPr>
        <w:t xml:space="preserve">Reuse the existing connection manager</w:t>
      </w:r>
      <w:r>
        <w:t xml:space="preserve"> — the OLEDB_AUPropertyDW connection manager you built in Part 1 is solution/project-scoped, so it will already be available in this new package's Connection Managers tray at the bottom of the design surface. You do not need to recreate it. If it isn't there, right-click in the Connection Managers tray → New Connection… → OLE DB → point it at the same AUPropertyDW database and name it OLEDB_AUPropertyDW to match.</w:t>
      </w:r>
    </w:p>
    <w:p>
      <w:pPr>
        <w:pBdr>
          <w:left w:val="single" w:color="E0A800" w:sz="18" w:space="8"/>
        </w:pBdr>
        <w:shd w:fill="FFF3CD" w:val="clear"/>
        <w:spacing w:after="200" w:before="100"/>
        <w:ind w:left="144"/>
      </w:pPr>
      <w:r>
        <w:rPr>
          <w:b/>
          <w:bCs/>
        </w:rPr>
        <w:t xml:space="preserve">Order matters: </w:t>
      </w:r>
      <w:r>
        <w:t xml:space="preserve">The star schema DDL from Section 4 must already exist in the database before you run this package — the package only loads data into tables, it doesn't create them.</w:t>
      </w:r>
    </w:p>
    <w:p>
      <w:r>
        <w:br w:type="page"/>
      </w:r>
    </w:p>
    <w:p>
      <w:pPr>
        <w:pStyle w:val="Heading1"/>
        <w:spacing w:after="200" w:before="400"/>
      </w:pPr>
      <w:r>
        <w:t xml:space="preserve">6. Build the Control Flow</w:t>
      </w:r>
    </w:p>
    <w:p>
      <w:pPr>
        <w:spacing w:after="160" w:line="276"/>
      </w:pPr>
      <w:r>
        <w:t xml:space="preserve">The finished Control Flow has 3 tiers: a truncate step, a dimensions container, and a facts container. This mirrors the pattern from Part 1's package (truncate → load → consolidate).</w:t>
      </w:r>
    </w:p>
    <w:p>
      <w:pPr>
        <w:pStyle w:val="Heading2"/>
        <w:spacing w:after="150" w:before="300"/>
      </w:pPr>
      <w:r>
        <w:t xml:space="preserve">6.1 Layout</w:t>
      </w:r>
    </w:p>
    <w:p>
      <w:pPr>
        <w:pStyle w:val="ListParagraph"/>
        <w:numPr>
          <w:ilvl w:val="0"/>
          <w:numId w:val="1"/>
        </w:numPr>
        <w:spacing w:after="80" w:line="276"/>
      </w:pPr>
      <w:r>
        <w:t xml:space="preserve">0 - Truncate Star Schema Tables  (Execute SQL Task)</w:t>
      </w:r>
    </w:p>
    <w:p>
      <w:pPr>
        <w:pStyle w:val="ListParagraph"/>
        <w:numPr>
          <w:ilvl w:val="0"/>
          <w:numId w:val="1"/>
        </w:numPr>
        <w:spacing w:after="80" w:line="276"/>
      </w:pPr>
      <w:r>
        <w:t xml:space="preserve">SEQ - Load Dimensions  (Sequence Container, runs after 0 succeeds)</w:t>
      </w:r>
    </w:p>
    <w:p>
      <w:pPr>
        <w:pStyle w:val="ListParagraph"/>
        <w:numPr>
          <w:ilvl w:val="1"/>
          <w:numId w:val="1"/>
        </w:numPr>
        <w:spacing w:after="80" w:line="276"/>
      </w:pPr>
      <w:r>
        <w:t xml:space="preserve">1 - Load DimSuburb  (Execute SQL Task, inside SEQ - Load Dimensions)</w:t>
      </w:r>
    </w:p>
    <w:p>
      <w:pPr>
        <w:pStyle w:val="ListParagraph"/>
        <w:numPr>
          <w:ilvl w:val="1"/>
          <w:numId w:val="1"/>
        </w:numPr>
        <w:spacing w:after="80" w:line="276"/>
      </w:pPr>
      <w:r>
        <w:t xml:space="preserve">2 - Load DimOffenceType  (Execute SQL Task, inside SEQ - Load Dimensions)</w:t>
      </w:r>
    </w:p>
    <w:p>
      <w:pPr>
        <w:pStyle w:val="ListParagraph"/>
        <w:numPr>
          <w:ilvl w:val="1"/>
          <w:numId w:val="1"/>
        </w:numPr>
        <w:spacing w:after="80" w:line="276"/>
      </w:pPr>
      <w:r>
        <w:t xml:space="preserve">3 - Load DimRentalHouseType  (Execute SQL Task, inside SEQ - Load Dimensions)</w:t>
      </w:r>
    </w:p>
    <w:p>
      <w:pPr>
        <w:pStyle w:val="ListParagraph"/>
        <w:numPr>
          <w:ilvl w:val="1"/>
          <w:numId w:val="1"/>
        </w:numPr>
        <w:spacing w:after="80" w:line="276"/>
      </w:pPr>
      <w:r>
        <w:t xml:space="preserve">4 - Load DimSchool  (Execute SQL Task, inside SEQ - Load Dimensions)</w:t>
      </w:r>
    </w:p>
    <w:p>
      <w:pPr>
        <w:pStyle w:val="ListParagraph"/>
        <w:numPr>
          <w:ilvl w:val="1"/>
          <w:numId w:val="1"/>
        </w:numPr>
        <w:spacing w:after="80" w:line="276"/>
      </w:pPr>
      <w:r>
        <w:t xml:space="preserve">5 - Load DimTransportStop  (Execute SQL Task, inside SEQ - Load Dimensions)</w:t>
      </w:r>
    </w:p>
    <w:p>
      <w:pPr>
        <w:pStyle w:val="ListParagraph"/>
        <w:numPr>
          <w:ilvl w:val="0"/>
          <w:numId w:val="1"/>
        </w:numPr>
        <w:spacing w:after="80" w:line="276"/>
      </w:pPr>
      <w:r>
        <w:t xml:space="preserve">SEQ - Load Facts  (Sequence Container, runs after SEQ - Load Dimensions succeeds)</w:t>
      </w:r>
    </w:p>
    <w:p>
      <w:pPr>
        <w:pStyle w:val="ListParagraph"/>
        <w:numPr>
          <w:ilvl w:val="1"/>
          <w:numId w:val="1"/>
        </w:numPr>
        <w:spacing w:after="80" w:line="276"/>
      </w:pPr>
      <w:r>
        <w:t xml:space="preserve">DFT - FactHouseValue  (Data Flow Task, inside SEQ - Load Facts)</w:t>
      </w:r>
    </w:p>
    <w:p>
      <w:pPr>
        <w:pStyle w:val="ListParagraph"/>
        <w:numPr>
          <w:ilvl w:val="1"/>
          <w:numId w:val="1"/>
        </w:numPr>
        <w:spacing w:after="80" w:line="276"/>
      </w:pPr>
      <w:r>
        <w:t xml:space="preserve">DFT - FactRentalValue  (Data Flow Task, inside SEQ - Load Facts)</w:t>
      </w:r>
    </w:p>
    <w:p>
      <w:pPr>
        <w:pStyle w:val="ListParagraph"/>
        <w:numPr>
          <w:ilvl w:val="1"/>
          <w:numId w:val="1"/>
        </w:numPr>
        <w:spacing w:after="80" w:line="276"/>
      </w:pPr>
      <w:r>
        <w:t xml:space="preserve">DFT - FactCrime  (Data Flow Task, inside SEQ - Load Facts)</w:t>
      </w:r>
    </w:p>
    <w:p>
      <w:pPr>
        <w:pStyle w:val="ListParagraph"/>
        <w:numPr>
          <w:ilvl w:val="1"/>
          <w:numId w:val="1"/>
        </w:numPr>
        <w:spacing w:after="80" w:line="276"/>
      </w:pPr>
      <w:r>
        <w:t xml:space="preserve">DFT - FactSchoolPresence  (Data Flow Task, inside SEQ - Load Facts)</w:t>
      </w:r>
    </w:p>
    <w:p>
      <w:pPr>
        <w:pStyle w:val="ListParagraph"/>
        <w:numPr>
          <w:ilvl w:val="1"/>
          <w:numId w:val="1"/>
        </w:numPr>
        <w:spacing w:after="80" w:line="276"/>
      </w:pPr>
      <w:r>
        <w:t xml:space="preserve">DFT - FactTransportAccess  (Data Flow Task, inside SEQ - Load Facts)</w:t>
      </w:r>
    </w:p>
    <w:p>
      <w:pPr>
        <w:pStyle w:val="Heading2"/>
        <w:spacing w:after="150" w:before="300"/>
      </w:pPr>
      <w:r>
        <w:t xml:space="preserve">6.2 Step-by-step: build the Truncate task</w:t>
      </w:r>
    </w:p>
    <w:p>
      <w:pPr>
        <w:spacing w:after="100" w:before="260"/>
      </w:pPr>
      <w:r>
        <w:rPr>
          <w:b/>
          <w:bCs/>
          <w:color w:val="1F3864"/>
        </w:rPr>
        <w:t xml:space="preserve">Step 1 — </w:t>
      </w:r>
      <w:r>
        <w:rPr>
          <w:b/>
          <w:bCs/>
        </w:rPr>
        <w:t xml:space="preserve">Drag an Execute SQL Task</w:t>
      </w:r>
      <w:r>
        <w:t xml:space="preserve"> from the SSIS Toolbox onto the Control Flow surface. Rename it (click once, then click again on the label, or use F2) to 0 - Truncate Star Schema Tables.</w:t>
      </w:r>
    </w:p>
    <w:p>
      <w:pPr>
        <w:spacing w:after="100" w:before="260"/>
      </w:pPr>
      <w:r>
        <w:rPr>
          <w:b/>
          <w:bCs/>
          <w:color w:val="1F3864"/>
        </w:rPr>
        <w:t xml:space="preserve">Step 2 — </w:t>
      </w:r>
      <w:r>
        <w:rPr>
          <w:b/>
          <w:bCs/>
        </w:rPr>
        <w:t xml:space="preserve">Double-click it</w:t>
      </w:r>
      <w:r>
        <w:t xml:space="preserve"> to open the Execute SQL Task Editor.</w:t>
      </w:r>
    </w:p>
    <w:p>
      <w:pPr>
        <w:spacing w:after="60"/>
        <w:ind w:left="504"/>
      </w:pPr>
      <w:r>
        <w:rPr>
          <w:b/>
          <w:bCs/>
        </w:rPr>
        <w:t xml:space="preserve">• </w:t>
      </w:r>
      <w:r>
        <w:rPr>
          <w:b/>
          <w:bCs/>
        </w:rPr>
        <w:t xml:space="preserve">Connection: </w:t>
      </w:r>
      <w:r>
        <w:rPr>
          <w:rFonts w:ascii="Consolas" w:cs="Consolas" w:eastAsia="Consolas" w:hAnsi="Consolas"/>
          <w:color w:val="1F3864"/>
        </w:rPr>
        <w:t xml:space="preserve">OLEDB_AUPropertyDW</w:t>
      </w:r>
    </w:p>
    <w:p>
      <w:pPr>
        <w:spacing w:after="60"/>
        <w:ind w:left="504"/>
      </w:pPr>
      <w:r>
        <w:rPr>
          <w:b/>
          <w:bCs/>
        </w:rPr>
        <w:t xml:space="preserve">• </w:t>
      </w:r>
      <w:r>
        <w:rPr>
          <w:b/>
          <w:bCs/>
        </w:rPr>
        <w:t xml:space="preserve">SQLSourceType: </w:t>
      </w:r>
      <w:r>
        <w:rPr>
          <w:rFonts w:ascii="Consolas" w:cs="Consolas" w:eastAsia="Consolas" w:hAnsi="Consolas"/>
          <w:color w:val="1F3864"/>
        </w:rPr>
        <w:t xml:space="preserve">Direct input</w:t>
      </w:r>
    </w:p>
    <w:p>
      <w:pPr>
        <w:spacing w:after="60"/>
        <w:ind w:left="504"/>
      </w:pPr>
      <w:r>
        <w:rPr>
          <w:b/>
          <w:bCs/>
        </w:rPr>
        <w:t xml:space="preserve">• </w:t>
      </w:r>
      <w:r>
        <w:rPr>
          <w:b/>
          <w:bCs/>
        </w:rPr>
        <w:t xml:space="preserve">SQLStatement: </w:t>
      </w:r>
      <w:r>
        <w:rPr>
          <w:rFonts w:ascii="Consolas" w:cs="Consolas" w:eastAsia="Consolas" w:hAnsi="Consolas"/>
          <w:color w:val="1F3864"/>
        </w:rPr>
        <w:t xml:space="preserve">paste Section 5.1 from AUProperty_StarSchema_DDL_ETL.sql (the block of TRUNCATE TABLE statements + the Unknown-row re-seed)</w:t>
      </w:r>
    </w:p>
    <w:p>
      <w:pPr>
        <w:spacing w:after="100" w:before="260"/>
      </w:pPr>
      <w:r>
        <w:rPr>
          <w:b/>
          <w:bCs/>
          <w:color w:val="1F3864"/>
        </w:rPr>
        <w:t xml:space="preserve">Step 3 — </w:t>
      </w:r>
      <w:r>
        <w:rPr>
          <w:b/>
          <w:bCs/>
        </w:rPr>
        <w:t xml:space="preserve">Click OK.</w:t>
      </w:r>
      <w:r>
        <w:t xml:space="preserve"> The red icon should clear once Connection and SQLStatement are both filled in.</w:t>
      </w:r>
    </w:p>
    <w:p>
      <w:pPr>
        <w:pStyle w:val="Heading2"/>
        <w:spacing w:after="150" w:before="300"/>
      </w:pPr>
      <w:r>
        <w:t xml:space="preserve">6.3 Step-by-step: build the Sequence Containers</w:t>
      </w:r>
    </w:p>
    <w:p>
      <w:pPr>
        <w:spacing w:after="100" w:before="260"/>
      </w:pPr>
      <w:r>
        <w:rPr>
          <w:b/>
          <w:bCs/>
          <w:color w:val="1F3864"/>
        </w:rPr>
        <w:t xml:space="preserve">Step 1 — </w:t>
      </w:r>
      <w:r>
        <w:rPr>
          <w:b/>
          <w:bCs/>
        </w:rPr>
        <w:t xml:space="preserve">Drag two Sequence Containers</w:t>
      </w:r>
      <w:r>
        <w:t xml:space="preserve"> onto the Control Flow, below the truncate task. Rename them SEQ - Load Dimensions and SEQ - Load Facts.</w:t>
      </w:r>
    </w:p>
    <w:p>
      <w:pPr>
        <w:spacing w:after="100" w:before="260"/>
      </w:pPr>
      <w:r>
        <w:rPr>
          <w:b/>
          <w:bCs/>
          <w:color w:val="1F3864"/>
        </w:rPr>
        <w:t xml:space="preserve">Step 2 — </w:t>
      </w:r>
      <w:r>
        <w:rPr>
          <w:b/>
          <w:bCs/>
        </w:rPr>
        <w:t xml:space="preserve">Connect the precedence constraints</w:t>
      </w:r>
      <w:r>
        <w:t xml:space="preserve"> — drag the green arrow from 0 - Truncate Star Schema Tables to SEQ - Load Dimensions, then from SEQ - Load Dimensions to SEQ - Load Facts. Leave both as the default “Success” constraint (solid green arrow).</w:t>
      </w:r>
    </w:p>
    <w:p>
      <w:pPr>
        <w:pStyle w:val="Heading2"/>
        <w:spacing w:after="150" w:before="300"/>
      </w:pPr>
      <w:r>
        <w:t xml:space="preserve">6.4 Step-by-step: build each dimension load task</w:t>
      </w:r>
    </w:p>
    <w:p>
      <w:pPr>
        <w:spacing w:after="160" w:line="276"/>
      </w:pPr>
      <w:r>
        <w:t xml:space="preserve">Repeat this for all 5 dimension tasks, dragging each new Execute SQL Task inside the SEQ - Load Dimensions container:</w:t>
      </w:r>
    </w:p>
    <w:p>
      <w:pPr>
        <w:spacing w:after="100" w:before="260"/>
      </w:pPr>
      <w:r>
        <w:rPr>
          <w:b/>
          <w:bCs/>
          <w:color w:val="1F3864"/>
        </w:rPr>
        <w:t xml:space="preserve">Step 1 — </w:t>
      </w:r>
      <w:r>
        <w:rPr>
          <w:b/>
          <w:bCs/>
        </w:rPr>
        <w:t xml:space="preserve">Drag an Execute SQL Task</w:t>
      </w:r>
      <w:r>
        <w:t xml:space="preserve"> inside SEQ - Load Dimensions. Name it 1 - Load DimSuburb (then 2 - Load DimOffenceType, 3 - Load DimRentalHouseType, 4 - Load DimSchool, 5 - Load DimTransportStop for the others).</w:t>
      </w:r>
    </w:p>
    <w:p>
      <w:pPr>
        <w:spacing w:after="100" w:before="260"/>
      </w:pPr>
      <w:r>
        <w:rPr>
          <w:b/>
          <w:bCs/>
          <w:color w:val="1F3864"/>
        </w:rPr>
        <w:t xml:space="preserve">Step 2 — </w:t>
      </w:r>
      <w:r>
        <w:rPr>
          <w:b/>
          <w:bCs/>
        </w:rPr>
        <w:t xml:space="preserve">Double-click it → Execute SQL Task Editor:</w:t>
      </w:r>
    </w:p>
    <w:p>
      <w:pPr>
        <w:spacing w:after="60"/>
        <w:ind w:left="504"/>
      </w:pPr>
      <w:r>
        <w:rPr>
          <w:b/>
          <w:bCs/>
        </w:rPr>
        <w:t xml:space="preserve">• </w:t>
      </w:r>
      <w:r>
        <w:rPr>
          <w:b/>
          <w:bCs/>
        </w:rPr>
        <w:t xml:space="preserve">Connection: </w:t>
      </w:r>
      <w:r>
        <w:rPr>
          <w:rFonts w:ascii="Consolas" w:cs="Consolas" w:eastAsia="Consolas" w:hAnsi="Consolas"/>
          <w:color w:val="1F3864"/>
        </w:rPr>
        <w:t xml:space="preserve">OLEDB_AUPropertyDW</w:t>
      </w:r>
    </w:p>
    <w:p>
      <w:pPr>
        <w:spacing w:after="60"/>
        <w:ind w:left="504"/>
      </w:pPr>
      <w:r>
        <w:rPr>
          <w:b/>
          <w:bCs/>
        </w:rPr>
        <w:t xml:space="preserve">• </w:t>
      </w:r>
      <w:r>
        <w:rPr>
          <w:b/>
          <w:bCs/>
        </w:rPr>
        <w:t xml:space="preserve">SQLSourceType: </w:t>
      </w:r>
      <w:r>
        <w:rPr>
          <w:rFonts w:ascii="Consolas" w:cs="Consolas" w:eastAsia="Consolas" w:hAnsi="Consolas"/>
          <w:color w:val="1F3864"/>
        </w:rPr>
        <w:t xml:space="preserve">Direct input</w:t>
      </w:r>
    </w:p>
    <w:p>
      <w:pPr>
        <w:spacing w:after="60"/>
        <w:ind w:left="504"/>
      </w:pPr>
      <w:r>
        <w:rPr>
          <w:b/>
          <w:bCs/>
        </w:rPr>
        <w:t xml:space="preserve">• </w:t>
      </w:r>
      <w:r>
        <w:rPr>
          <w:b/>
          <w:bCs/>
        </w:rPr>
        <w:t xml:space="preserve">SQLStatement: </w:t>
      </w:r>
      <w:r>
        <w:rPr>
          <w:rFonts w:ascii="Consolas" w:cs="Consolas" w:eastAsia="Consolas" w:hAnsi="Consolas"/>
          <w:color w:val="1F3864"/>
        </w:rPr>
        <w:t xml:space="preserve">the matching block from Section 5.2–5.6 of the SQL script (one INSERT INTO star.Dim... statement each)</w:t>
      </w:r>
    </w:p>
    <w:p>
      <w:pPr>
        <w:spacing w:after="100" w:before="260"/>
      </w:pPr>
      <w:r>
        <w:rPr>
          <w:b/>
          <w:bCs/>
          <w:color w:val="1F3864"/>
        </w:rPr>
        <w:t xml:space="preserve">Step 3 — </w:t>
      </w:r>
      <w:r>
        <w:rPr>
          <w:b/>
          <w:bCs/>
        </w:rPr>
        <w:t xml:space="preserve">Click OK.</w:t>
      </w:r>
      <w:r>
        <w:t xml:space="preserve"> Leave all 5 tasks unconnected to each other inside the container — they write to independent tables so they're safe to run in parallel, same as the state-by-state tasks were in Part 1.</w:t>
      </w:r>
    </w:p>
    <w:p>
      <w:pPr>
        <w:pBdr>
          <w:left w:val="single" w:color="E0A800" w:sz="18" w:space="8"/>
        </w:pBdr>
        <w:shd w:fill="FFF3CD" w:val="clear"/>
        <w:spacing w:after="200" w:before="100"/>
        <w:ind w:left="144"/>
      </w:pPr>
      <w:r>
        <w:rPr>
          <w:b/>
          <w:bCs/>
        </w:rPr>
        <w:t xml:space="preserve">Why no arrows between the 5 dimension tasks: </w:t>
      </w:r>
      <w:r>
        <w:t xml:space="preserve">DimSuburb, DimOffenceType, DimRentalHouseType, DimSchool and DimTransportStop don't depend on each other — only the Fact tasks depend on all of them being finished. That's exactly why they're grouped in one Sequence Container with no arrows between them.</w:t>
      </w:r>
    </w:p>
    <w:p>
      <w:r>
        <w:br w:type="page"/>
      </w:r>
    </w:p>
    <w:p>
      <w:pPr>
        <w:pStyle w:val="Heading1"/>
        <w:spacing w:after="200" w:before="400"/>
      </w:pPr>
      <w:r>
        <w:t xml:space="preserve">7. Build the Fact Data Flow Tasks</w:t>
      </w:r>
    </w:p>
    <w:p>
      <w:pPr>
        <w:spacing w:after="160" w:line="276"/>
      </w:pPr>
      <w:r>
        <w:t xml:space="preserve">Each fact Data Flow follows the same shape: read from dw.*, look up the surrogate key(s) from the dimension tables you just loaded, and write into the matching star.Fact* table. The Suburb lookup is the one that needs special handling, because Part 1's validation already showed a handful of suburbs (e.g. HMAS Creswell, Jervis Bay) don't exist in the master suburb list — those rows must not be dropped, they should fall back to the Unknown member (SuburbKey = -1).</w:t>
      </w:r>
    </w:p>
    <w:p>
      <w:pPr>
        <w:pStyle w:val="Heading2"/>
        <w:spacing w:after="150" w:before="300"/>
      </w:pPr>
      <w:r>
        <w:t xml:space="preserve">7.1 The reusable pattern</w:t>
      </w:r>
    </w:p>
    <w:p>
      <w:pPr>
        <w:pStyle w:val="ListParagraph"/>
        <w:numPr>
          <w:ilvl w:val="0"/>
          <w:numId w:val="1"/>
        </w:numPr>
        <w:spacing w:after="80" w:line="276"/>
      </w:pPr>
      <w:r>
        <w:t xml:space="preserve">OLE DB Source — reads the relevant dw.* table.</w:t>
      </w:r>
    </w:p>
    <w:p>
      <w:pPr>
        <w:pStyle w:val="ListParagraph"/>
        <w:numPr>
          <w:ilvl w:val="0"/>
          <w:numId w:val="1"/>
        </w:numPr>
        <w:spacing w:after="80" w:line="276"/>
      </w:pPr>
      <w:r>
        <w:t xml:space="preserve">Lookup transformation for Suburb — matches on Suburb + StateCode against star.DimSuburb. Configured to redirect no-match rows instead of failing.</w:t>
      </w:r>
    </w:p>
    <w:p>
      <w:pPr>
        <w:pStyle w:val="ListParagraph"/>
        <w:numPr>
          <w:ilvl w:val="0"/>
          <w:numId w:val="1"/>
        </w:numPr>
        <w:spacing w:after="80" w:line="276"/>
      </w:pPr>
      <w:r>
        <w:t xml:space="preserve">Derived Column (on the no-match branch only) — adds SuburbKey = -1.</w:t>
      </w:r>
    </w:p>
    <w:p>
      <w:pPr>
        <w:pStyle w:val="ListParagraph"/>
        <w:numPr>
          <w:ilvl w:val="0"/>
          <w:numId w:val="1"/>
        </w:numPr>
        <w:spacing w:after="80" w:line="276"/>
      </w:pPr>
      <w:r>
        <w:t xml:space="preserve">Union All — merges the matched branch and the no-match branch back into a single stream.</w:t>
      </w:r>
    </w:p>
    <w:p>
      <w:pPr>
        <w:pStyle w:val="ListParagraph"/>
        <w:numPr>
          <w:ilvl w:val="0"/>
          <w:numId w:val="1"/>
        </w:numPr>
        <w:spacing w:after="80" w:line="276"/>
      </w:pPr>
      <w:r>
        <w:t xml:space="preserve">Additional Lookup(s) if the fact needs more than one dimension (RentalHouseType, OffenceType, School, TransportStop) — these are guaranteed to match because the dimension was built from the exact same dw.* table, so the default “Fail component” no-match handling is fine here.</w:t>
      </w:r>
    </w:p>
    <w:p>
      <w:pPr>
        <w:pStyle w:val="ListParagraph"/>
        <w:numPr>
          <w:ilvl w:val="0"/>
          <w:numId w:val="1"/>
        </w:numPr>
        <w:spacing w:after="80" w:line="276"/>
      </w:pPr>
      <w:r>
        <w:t xml:space="preserve">OLE DB Destination — writes to the star.Fact* table.</w:t>
      </w:r>
    </w:p>
    <w:p>
      <w:pPr>
        <w:pStyle w:val="Heading2"/>
        <w:spacing w:after="150" w:before="300"/>
      </w:pPr>
      <w:r>
        <w:t xml:space="preserve">7.2 DFT - FactHouseValue</w:t>
      </w:r>
    </w:p>
    <w:p>
      <w:pPr>
        <w:spacing w:after="100" w:before="260"/>
      </w:pPr>
      <w:r>
        <w:rPr>
          <w:b/>
          <w:bCs/>
          <w:color w:val="1F3864"/>
        </w:rPr>
        <w:t xml:space="preserve">Step 1 — </w:t>
      </w:r>
      <w:r>
        <w:rPr>
          <w:b/>
          <w:bCs/>
        </w:rPr>
        <w:t xml:space="preserve">Drag a Data Flow Task</w:t>
      </w:r>
      <w:r>
        <w:t xml:space="preserve"> inside SEQ - Load Facts, rename it DFT - FactHouseValue, then double-click to open its Data Flow tab.</w:t>
      </w:r>
    </w:p>
    <w:p>
      <w:pPr>
        <w:spacing w:after="100" w:before="260"/>
      </w:pPr>
      <w:r>
        <w:rPr>
          <w:b/>
          <w:bCs/>
          <w:color w:val="1F3864"/>
        </w:rPr>
        <w:t xml:space="preserve">Step 2 — </w:t>
      </w:r>
      <w:r>
        <w:rPr>
          <w:b/>
          <w:bCs/>
        </w:rPr>
        <w:t xml:space="preserve">OLE DB Source:</w:t>
      </w:r>
      <w:r>
        <w:t xml:space="preserve"> drag one onto the canvas, name it SRC - dw.HouseValue.</w:t>
      </w:r>
    </w:p>
    <w:p>
      <w:pPr>
        <w:spacing w:after="60"/>
        <w:ind w:left="504"/>
      </w:pPr>
      <w:r>
        <w:rPr>
          <w:b/>
          <w:bCs/>
        </w:rPr>
        <w:t xml:space="preserve">• </w:t>
      </w:r>
      <w:r>
        <w:rPr>
          <w:b/>
          <w:bCs/>
        </w:rPr>
        <w:t xml:space="preserve">OLE DB connection manager: </w:t>
      </w:r>
      <w:r>
        <w:rPr>
          <w:rFonts w:ascii="Consolas" w:cs="Consolas" w:eastAsia="Consolas" w:hAnsi="Consolas"/>
          <w:color w:val="1F3864"/>
        </w:rPr>
        <w:t xml:space="preserve">OLEDB_AUPropertyDW</w:t>
      </w:r>
    </w:p>
    <w:p>
      <w:pPr>
        <w:spacing w:after="60"/>
        <w:ind w:left="504"/>
      </w:pPr>
      <w:r>
        <w:rPr>
          <w:b/>
          <w:bCs/>
        </w:rPr>
        <w:t xml:space="preserve">• </w:t>
      </w:r>
      <w:r>
        <w:rPr>
          <w:b/>
          <w:bCs/>
        </w:rPr>
        <w:t xml:space="preserve">Data access mode: </w:t>
      </w:r>
      <w:r>
        <w:rPr>
          <w:rFonts w:ascii="Consolas" w:cs="Consolas" w:eastAsia="Consolas" w:hAnsi="Consolas"/>
          <w:color w:val="1F3864"/>
        </w:rPr>
        <w:t xml:space="preserve">SQL Command</w:t>
      </w:r>
    </w:p>
    <w:p>
      <w:pPr>
        <w:spacing w:after="60"/>
        <w:ind w:left="504"/>
      </w:pPr>
      <w:r>
        <w:rPr>
          <w:b/>
          <w:bCs/>
        </w:rPr>
        <w:t xml:space="preserve">• </w:t>
      </w:r>
      <w:r>
        <w:rPr>
          <w:b/>
          <w:bCs/>
        </w:rPr>
        <w:t xml:space="preserve">SQL command text: </w:t>
      </w:r>
      <w:r>
        <w:rPr>
          <w:rFonts w:ascii="Consolas" w:cs="Consolas" w:eastAsia="Consolas" w:hAnsi="Consolas"/>
          <w:color w:val="1F3864"/>
        </w:rPr>
        <w:t xml:space="preserve">SELECT StateCode, Suburb, Postcode, HouseValue FROM dw.HouseValue</w:t>
      </w:r>
    </w:p>
    <w:p>
      <w:pPr>
        <w:spacing w:after="100" w:before="260"/>
      </w:pPr>
      <w:r>
        <w:rPr>
          <w:b/>
          <w:bCs/>
          <w:color w:val="1F3864"/>
        </w:rPr>
        <w:t xml:space="preserve">Step 3 — </w:t>
      </w:r>
      <w:r>
        <w:rPr>
          <w:b/>
          <w:bCs/>
        </w:rPr>
        <w:t xml:space="preserve">Lookup transformation:</w:t>
      </w:r>
      <w:r>
        <w:t xml:space="preserve"> drag one below the source, connect the source's output arrow into it, name it LKP - Suburb Key.</w:t>
      </w:r>
    </w:p>
    <w:p>
      <w:pPr>
        <w:spacing w:after="60"/>
        <w:ind w:left="504"/>
      </w:pPr>
      <w:r>
        <w:rPr>
          <w:b/>
          <w:bCs/>
        </w:rPr>
        <w:t xml:space="preserve">• </w:t>
      </w:r>
      <w:r>
        <w:rPr>
          <w:b/>
          <w:bCs/>
        </w:rPr>
        <w:t xml:space="preserve">General tab → Specify how to handle rows with no matching entries: </w:t>
      </w:r>
      <w:r>
        <w:rPr>
          <w:rFonts w:ascii="Consolas" w:cs="Consolas" w:eastAsia="Consolas" w:hAnsi="Consolas"/>
          <w:color w:val="1F3864"/>
        </w:rPr>
        <w:t xml:space="preserve">Redirect rows to no match output</w:t>
      </w:r>
    </w:p>
    <w:p>
      <w:pPr>
        <w:spacing w:after="60"/>
        <w:ind w:left="504"/>
      </w:pPr>
      <w:r>
        <w:rPr>
          <w:b/>
          <w:bCs/>
        </w:rPr>
        <w:t xml:space="preserve">• </w:t>
      </w:r>
      <w:r>
        <w:rPr>
          <w:b/>
          <w:bCs/>
        </w:rPr>
        <w:t xml:space="preserve">Connection tab → OLE DB connection manager: </w:t>
      </w:r>
      <w:r>
        <w:rPr>
          <w:rFonts w:ascii="Consolas" w:cs="Consolas" w:eastAsia="Consolas" w:hAnsi="Consolas"/>
          <w:color w:val="1F3864"/>
        </w:rPr>
        <w:t xml:space="preserve">OLEDB_AUPropertyDW</w:t>
      </w:r>
    </w:p>
    <w:p>
      <w:pPr>
        <w:spacing w:after="60"/>
        <w:ind w:left="504"/>
      </w:pPr>
      <w:r>
        <w:rPr>
          <w:b/>
          <w:bCs/>
        </w:rPr>
        <w:t xml:space="preserve">• </w:t>
      </w:r>
      <w:r>
        <w:rPr>
          <w:b/>
          <w:bCs/>
        </w:rPr>
        <w:t xml:space="preserve">Connection tab → Use results of an SQL query: </w:t>
      </w:r>
      <w:r>
        <w:rPr>
          <w:rFonts w:ascii="Consolas" w:cs="Consolas" w:eastAsia="Consolas" w:hAnsi="Consolas"/>
          <w:color w:val="1F3864"/>
        </w:rPr>
        <w:t xml:space="preserve">SELECT SuburbKey, Suburb, StateCode FROM star.DimSuburb WHERE SuburbKey &lt;&gt; -1</w:t>
      </w:r>
    </w:p>
    <w:p>
      <w:pPr>
        <w:spacing w:after="60"/>
        <w:ind w:left="504"/>
      </w:pPr>
      <w:r>
        <w:rPr>
          <w:b/>
          <w:bCs/>
        </w:rPr>
        <w:t xml:space="preserve">• </w:t>
      </w:r>
      <w:r>
        <w:rPr>
          <w:b/>
          <w:bCs/>
        </w:rPr>
        <w:t xml:space="preserve">Columns tab: </w:t>
      </w:r>
      <w:r>
        <w:rPr>
          <w:rFonts w:ascii="Consolas" w:cs="Consolas" w:eastAsia="Consolas" w:hAnsi="Consolas"/>
          <w:color w:val="1F3864"/>
        </w:rPr>
        <w:t xml:space="preserve">drag Suburb (Available Input Columns) onto Suburb (Available Lookup Columns); drag StateCode onto StateCode; then tick the checkbox next to SuburbKey in Available Lookup Columns so it's added as a new output column</w:t>
      </w:r>
    </w:p>
    <w:p>
      <w:pPr>
        <w:spacing w:after="100" w:before="260"/>
      </w:pPr>
      <w:r>
        <w:rPr>
          <w:b/>
          <w:bCs/>
          <w:color w:val="1F3864"/>
        </w:rPr>
        <w:t xml:space="preserve">Step 4 — </w:t>
      </w:r>
      <w:r>
        <w:rPr>
          <w:b/>
          <w:bCs/>
        </w:rPr>
        <w:t xml:space="preserve">This gives the Lookup two output paths</w:t>
      </w:r>
      <w:r>
        <w:t xml:space="preserve"> — click OK, then drag two separate arrows off the Lookup box: the default green Lookup Match Output, and (when prompted) the Lookup No Match Output (red).</w:t>
      </w:r>
    </w:p>
    <w:p>
      <w:pPr>
        <w:spacing w:after="100" w:before="260"/>
      </w:pPr>
      <w:r>
        <w:rPr>
          <w:b/>
          <w:bCs/>
          <w:color w:val="1F3864"/>
        </w:rPr>
        <w:t xml:space="preserve">Step 5 — </w:t>
      </w:r>
      <w:r>
        <w:rPr>
          <w:b/>
          <w:bCs/>
        </w:rPr>
        <w:t xml:space="preserve">On the No Match branch, add a Derived Column</w:t>
      </w:r>
      <w:r>
        <w:t xml:space="preserve"> transformation, name it DER - Unknown Suburb.</w:t>
      </w:r>
    </w:p>
    <w:p>
      <w:pPr>
        <w:spacing w:after="60"/>
        <w:ind w:left="504"/>
      </w:pPr>
      <w:r>
        <w:rPr>
          <w:b/>
          <w:bCs/>
        </w:rPr>
        <w:t xml:space="preserve">• </w:t>
      </w:r>
      <w:r>
        <w:rPr>
          <w:b/>
          <w:bCs/>
        </w:rPr>
        <w:t xml:space="preserve">Derived Column Name: </w:t>
      </w:r>
      <w:r>
        <w:rPr>
          <w:rFonts w:ascii="Consolas" w:cs="Consolas" w:eastAsia="Consolas" w:hAnsi="Consolas"/>
          <w:color w:val="1F3864"/>
        </w:rPr>
        <w:t xml:space="preserve">SuburbKey  (select &lt;add as new column&gt;)</w:t>
      </w:r>
    </w:p>
    <w:p>
      <w:pPr>
        <w:spacing w:after="60"/>
        <w:ind w:left="504"/>
      </w:pPr>
      <w:r>
        <w:rPr>
          <w:b/>
          <w:bCs/>
        </w:rPr>
        <w:t xml:space="preserve">• </w:t>
      </w:r>
      <w:r>
        <w:rPr>
          <w:b/>
          <w:bCs/>
        </w:rPr>
        <w:t xml:space="preserve">Expression: </w:t>
      </w:r>
      <w:r>
        <w:rPr>
          <w:rFonts w:ascii="Consolas" w:cs="Consolas" w:eastAsia="Consolas" w:hAnsi="Consolas"/>
          <w:color w:val="1F3864"/>
        </w:rPr>
        <w:t xml:space="preserve">-1</w:t>
      </w:r>
    </w:p>
    <w:p>
      <w:pPr>
        <w:spacing w:after="60"/>
        <w:ind w:left="504"/>
      </w:pPr>
      <w:r>
        <w:rPr>
          <w:b/>
          <w:bCs/>
        </w:rPr>
        <w:t xml:space="preserve">• </w:t>
      </w:r>
      <w:r>
        <w:rPr>
          <w:b/>
          <w:bCs/>
        </w:rPr>
        <w:t xml:space="preserve">Data Type: </w:t>
      </w:r>
      <w:r>
        <w:rPr>
          <w:rFonts w:ascii="Consolas" w:cs="Consolas" w:eastAsia="Consolas" w:hAnsi="Consolas"/>
          <w:color w:val="1F3864"/>
        </w:rPr>
        <w:t xml:space="preserve">four-byte signed integer [DT_I4]</w:t>
      </w:r>
    </w:p>
    <w:p>
      <w:pPr>
        <w:spacing w:after="100" w:before="260"/>
      </w:pPr>
      <w:r>
        <w:rPr>
          <w:b/>
          <w:bCs/>
          <w:color w:val="1F3864"/>
        </w:rPr>
        <w:t xml:space="preserve">Step 6 — </w:t>
      </w:r>
      <w:r>
        <w:rPr>
          <w:b/>
          <w:bCs/>
        </w:rPr>
        <w:t xml:space="preserve">Add a Union All</w:t>
      </w:r>
      <w:r>
        <w:t xml:space="preserve"> transformation. Connect both the Lookup Match Output (from step 3) and the Derived Column output (from step 5) into it — this merges the two branches back into one stream, both now carrying a SuburbKey column.</w:t>
      </w:r>
    </w:p>
    <w:p>
      <w:pPr>
        <w:spacing w:after="100" w:before="260"/>
      </w:pPr>
      <w:r>
        <w:rPr>
          <w:b/>
          <w:bCs/>
          <w:color w:val="1F3864"/>
        </w:rPr>
        <w:t xml:space="preserve">Step 7 — </w:t>
      </w:r>
      <w:r>
        <w:rPr>
          <w:b/>
          <w:bCs/>
        </w:rPr>
        <w:t xml:space="preserve">OLE DB Destination:</w:t>
      </w:r>
      <w:r>
        <w:t xml:space="preserve"> connect the Union All output into it, name it DEST - star.FactHouseValue.</w:t>
      </w:r>
    </w:p>
    <w:p>
      <w:pPr>
        <w:spacing w:after="60"/>
        <w:ind w:left="504"/>
      </w:pPr>
      <w:r>
        <w:rPr>
          <w:b/>
          <w:bCs/>
        </w:rPr>
        <w:t xml:space="preserve">• </w:t>
      </w:r>
      <w:r>
        <w:rPr>
          <w:b/>
          <w:bCs/>
        </w:rPr>
        <w:t xml:space="preserve">OLE DB connection manager: </w:t>
      </w:r>
      <w:r>
        <w:rPr>
          <w:rFonts w:ascii="Consolas" w:cs="Consolas" w:eastAsia="Consolas" w:hAnsi="Consolas"/>
          <w:color w:val="1F3864"/>
        </w:rPr>
        <w:t xml:space="preserve">OLEDB_AUPropertyDW</w:t>
      </w:r>
    </w:p>
    <w:p>
      <w:pPr>
        <w:spacing w:after="60"/>
        <w:ind w:left="504"/>
      </w:pPr>
      <w:r>
        <w:rPr>
          <w:b/>
          <w:bCs/>
        </w:rPr>
        <w:t xml:space="preserve">• </w:t>
      </w:r>
      <w:r>
        <w:rPr>
          <w:b/>
          <w:bCs/>
        </w:rPr>
        <w:t xml:space="preserve">Data access mode: </w:t>
      </w:r>
      <w:r>
        <w:rPr>
          <w:rFonts w:ascii="Consolas" w:cs="Consolas" w:eastAsia="Consolas" w:hAnsi="Consolas"/>
          <w:color w:val="1F3864"/>
        </w:rPr>
        <w:t xml:space="preserve">Table or view — fast load</w:t>
      </w:r>
    </w:p>
    <w:p>
      <w:pPr>
        <w:spacing w:after="60"/>
        <w:ind w:left="504"/>
      </w:pPr>
      <w:r>
        <w:rPr>
          <w:b/>
          <w:bCs/>
        </w:rPr>
        <w:t xml:space="preserve">• </w:t>
      </w:r>
      <w:r>
        <w:rPr>
          <w:b/>
          <w:bCs/>
        </w:rPr>
        <w:t xml:space="preserve">Name of the table or the view: </w:t>
      </w:r>
      <w:r>
        <w:rPr>
          <w:rFonts w:ascii="Consolas" w:cs="Consolas" w:eastAsia="Consolas" w:hAnsi="Consolas"/>
          <w:color w:val="1F3864"/>
        </w:rPr>
        <w:t xml:space="preserve">[star].[FactHouseValue]</w:t>
      </w:r>
    </w:p>
    <w:p>
      <w:pPr>
        <w:spacing w:after="160" w:line="276"/>
      </w:pPr>
      <w:r>
        <w:rPr>
          <w:b/>
          <w:bCs/>
        </w:rPr>
        <w:t xml:space="preserve">Mappings tab:</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SuburbKey</w:t>
            </w:r>
          </w:p>
        </w:tc>
        <w:tc>
          <w:tcPr>
            <w:tcW w:type="dxa" w:w="5600"/>
            <w:tcMar>
              <w:top w:type="dxa" w:w="80"/>
              <w:left w:type="dxa" w:w="100"/>
              <w:bottom w:type="dxa" w:w="80"/>
              <w:right w:type="dxa" w:w="100"/>
            </w:tcMar>
            <w:vAlign w:val="center"/>
          </w:tcPr>
          <w:p>
            <w:r>
              <w:rPr>
                <w:b w:val="false"/>
                <w:bCs w:val="false"/>
                <w:color w:val="000000"/>
                <w:sz w:val="20"/>
                <w:szCs w:val="20"/>
              </w:rPr>
              <w:t xml:space="preserve">from the Lookup / Derived Column</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Postcode</w:t>
            </w:r>
          </w:p>
        </w:tc>
        <w:tc>
          <w:tcPr>
            <w:tcW w:type="dxa" w:w="2200"/>
            <w:tcMar>
              <w:top w:type="dxa" w:w="80"/>
              <w:left w:type="dxa" w:w="100"/>
              <w:bottom w:type="dxa" w:w="80"/>
              <w:right w:type="dxa" w:w="100"/>
            </w:tcMar>
            <w:vAlign w:val="center"/>
          </w:tcPr>
          <w:p>
            <w:r>
              <w:rPr>
                <w:b w:val="false"/>
                <w:bCs w:val="false"/>
                <w:color w:val="000000"/>
                <w:sz w:val="20"/>
                <w:szCs w:val="20"/>
              </w:rPr>
              <w:t xml:space="preserve">Postcode</w:t>
            </w:r>
          </w:p>
        </w:tc>
        <w:tc>
          <w:tcPr>
            <w:tcW w:type="dxa" w:w="5600"/>
            <w:tcMar>
              <w:top w:type="dxa" w:w="80"/>
              <w:left w:type="dxa" w:w="100"/>
              <w:bottom w:type="dxa" w:w="80"/>
              <w:right w:type="dxa" w:w="100"/>
            </w:tcMar>
            <w:vAlign w:val="center"/>
          </w:tcPr>
          <w:p>
            <w:r>
              <w:rPr>
                <w:b w:val="false"/>
                <w:bCs w:val="false"/>
                <w:color w:val="000000"/>
                <w:sz w:val="20"/>
                <w:szCs w:val="20"/>
              </w:rPr>
              <w:t xml:space="preserve">straight from the source</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HouseValue</w:t>
            </w:r>
          </w:p>
        </w:tc>
        <w:tc>
          <w:tcPr>
            <w:tcW w:type="dxa" w:w="2200"/>
            <w:tcMar>
              <w:top w:type="dxa" w:w="80"/>
              <w:left w:type="dxa" w:w="100"/>
              <w:bottom w:type="dxa" w:w="80"/>
              <w:right w:type="dxa" w:w="100"/>
            </w:tcMar>
            <w:vAlign w:val="center"/>
          </w:tcPr>
          <w:p>
            <w:r>
              <w:rPr>
                <w:b w:val="false"/>
                <w:bCs w:val="false"/>
                <w:color w:val="000000"/>
                <w:sz w:val="20"/>
                <w:szCs w:val="20"/>
              </w:rPr>
              <w:t xml:space="preserve">HouseValue</w:t>
            </w:r>
          </w:p>
        </w:tc>
        <w:tc>
          <w:tcPr>
            <w:tcW w:type="dxa" w:w="5600"/>
            <w:tcMar>
              <w:top w:type="dxa" w:w="80"/>
              <w:left w:type="dxa" w:w="100"/>
              <w:bottom w:type="dxa" w:w="80"/>
              <w:right w:type="dxa" w:w="100"/>
            </w:tcMar>
            <w:vAlign w:val="center"/>
          </w:tcPr>
          <w:p>
            <w:r>
              <w:rPr>
                <w:b w:val="false"/>
                <w:bCs w:val="false"/>
                <w:color w:val="000000"/>
                <w:sz w:val="20"/>
                <w:szCs w:val="20"/>
              </w:rPr>
              <w:t xml:space="preserve">straight from the source</w:t>
            </w:r>
          </w:p>
        </w:tc>
      </w:tr>
    </w:tbl>
    <w:p>
      <w:pPr>
        <w:pBdr>
          <w:left w:val="single" w:color="E0A800" w:sz="18" w:space="8"/>
        </w:pBdr>
        <w:shd w:fill="FFF3CD" w:val="clear"/>
        <w:spacing w:after="200" w:before="100"/>
        <w:ind w:left="144"/>
      </w:pPr>
      <w:r>
        <w:rPr>
          <w:b/>
          <w:bCs/>
        </w:rPr>
        <w:t xml:space="preserve">Unmapped source columns: </w:t>
      </w:r>
      <w:r>
        <w:t xml:space="preserve">StateCode and Suburb from the source are not mapped to anything — that's expected, they were only needed to drive the Lookup and star.FactHouseValue doesn't have those columns.</w:t>
      </w:r>
    </w:p>
    <w:p>
      <w:pPr>
        <w:pStyle w:val="Heading2"/>
        <w:spacing w:after="150" w:before="300"/>
      </w:pPr>
      <w:r>
        <w:t xml:space="preserve">7.3 DFT - FactRentalValue</w:t>
      </w:r>
    </w:p>
    <w:p>
      <w:pPr>
        <w:spacing w:after="100" w:before="260"/>
      </w:pPr>
      <w:r>
        <w:rPr>
          <w:b/>
          <w:bCs/>
          <w:color w:val="1F3864"/>
        </w:rPr>
        <w:t xml:space="preserve">Step 1 — </w:t>
      </w:r>
      <w:r>
        <w:rPr>
          <w:b/>
          <w:bCs/>
        </w:rPr>
        <w:t xml:space="preserve">Same shape as 7.2</w:t>
      </w:r>
      <w:r>
        <w:t xml:space="preserve">, with one extra Lookup. Source SQL command:</w:t>
      </w:r>
    </w:p>
    <w:p>
      <w:pPr>
        <w:shd w:fill="EDEDED" w:val="clear"/>
        <w:spacing w:after="0"/>
      </w:pPr>
      <w:r>
        <w:rPr>
          <w:rFonts w:ascii="Consolas" w:cs="Consolas" w:eastAsia="Consolas" w:hAnsi="Consolas"/>
          <w:sz w:val="18"/>
          <w:szCs w:val="18"/>
        </w:rPr>
        <w:t xml:space="preserve">SELECT StateCode, Suburb, RentalHouseType, RentalAmount FROM dw.RentalValue</w:t>
      </w:r>
    </w:p>
    <w:p>
      <w:pPr>
        <w:spacing w:after="160"/>
      </w:pPr>
    </w:p>
    <w:p>
      <w:pPr>
        <w:spacing w:after="100" w:before="260"/>
      </w:pPr>
      <w:r>
        <w:rPr>
          <w:b/>
          <w:bCs/>
          <w:color w:val="1F3864"/>
        </w:rPr>
        <w:t xml:space="preserve">Step 2 — </w:t>
      </w:r>
      <w:r>
        <w:rPr>
          <w:b/>
          <w:bCs/>
        </w:rPr>
        <w:t xml:space="preserve">LKP - Suburb Key</w:t>
      </w:r>
      <w:r>
        <w:t xml:space="preserve"> — identical configuration to Section 7.2 step 3 (redirect no-match, Derived Column sets SuburbKey = -1, Union All merges branches).</w:t>
      </w:r>
    </w:p>
    <w:p>
      <w:pPr>
        <w:spacing w:after="100" w:before="260"/>
      </w:pPr>
      <w:r>
        <w:rPr>
          <w:b/>
          <w:bCs/>
          <w:color w:val="1F3864"/>
        </w:rPr>
        <w:t xml:space="preserve">Step 3 — </w:t>
      </w:r>
      <w:r>
        <w:rPr>
          <w:b/>
          <w:bCs/>
        </w:rPr>
        <w:t xml:space="preserve">LKP - RentalHouseType Key</w:t>
      </w:r>
      <w:r>
        <w:t xml:space="preserve"> — add a second Lookup after the Union All, name it LKP - RentalHouseType Key.</w:t>
      </w:r>
    </w:p>
    <w:p>
      <w:pPr>
        <w:spacing w:after="60"/>
        <w:ind w:left="504"/>
      </w:pPr>
      <w:r>
        <w:rPr>
          <w:b/>
          <w:bCs/>
        </w:rPr>
        <w:t xml:space="preserve">• </w:t>
      </w:r>
      <w:r>
        <w:rPr>
          <w:b/>
          <w:bCs/>
        </w:rPr>
        <w:t xml:space="preserve">General tab: </w:t>
      </w:r>
      <w:r>
        <w:rPr>
          <w:rFonts w:ascii="Consolas" w:cs="Consolas" w:eastAsia="Consolas" w:hAnsi="Consolas"/>
          <w:color w:val="1F3864"/>
        </w:rPr>
        <w:t xml:space="preserve">leave the default (Fail component) — every RentalHouseType is guaranteed to already exist in the dimension, since it was built from this same dw.RentalValue table</w:t>
      </w:r>
    </w:p>
    <w:p>
      <w:pPr>
        <w:spacing w:after="60"/>
        <w:ind w:left="504"/>
      </w:pPr>
      <w:r>
        <w:rPr>
          <w:b/>
          <w:bCs/>
        </w:rPr>
        <w:t xml:space="preserve">• </w:t>
      </w:r>
      <w:r>
        <w:rPr>
          <w:b/>
          <w:bCs/>
        </w:rPr>
        <w:t xml:space="preserve">Connection tab → Use results of an SQL query: </w:t>
      </w:r>
      <w:r>
        <w:rPr>
          <w:rFonts w:ascii="Consolas" w:cs="Consolas" w:eastAsia="Consolas" w:hAnsi="Consolas"/>
          <w:color w:val="1F3864"/>
        </w:rPr>
        <w:t xml:space="preserve">SELECT RentalHouseTypeKey, RentalHouseType FROM star.DimRentalHouseType</w:t>
      </w:r>
    </w:p>
    <w:p>
      <w:pPr>
        <w:spacing w:after="60"/>
        <w:ind w:left="504"/>
      </w:pPr>
      <w:r>
        <w:rPr>
          <w:b/>
          <w:bCs/>
        </w:rPr>
        <w:t xml:space="preserve">• </w:t>
      </w:r>
      <w:r>
        <w:rPr>
          <w:b/>
          <w:bCs/>
        </w:rPr>
        <w:t xml:space="preserve">Columns tab: </w:t>
      </w:r>
      <w:r>
        <w:rPr>
          <w:rFonts w:ascii="Consolas" w:cs="Consolas" w:eastAsia="Consolas" w:hAnsi="Consolas"/>
          <w:color w:val="1F3864"/>
        </w:rPr>
        <w:t xml:space="preserve">drag RentalHouseType onto RentalHouseType; tick RentalHouseTypeKey to add it as an output column</w:t>
      </w:r>
    </w:p>
    <w:p>
      <w:pPr>
        <w:spacing w:after="100" w:before="260"/>
      </w:pPr>
      <w:r>
        <w:rPr>
          <w:b/>
          <w:bCs/>
          <w:color w:val="1F3864"/>
        </w:rPr>
        <w:t xml:space="preserve">Step 4 — </w:t>
      </w:r>
      <w:r>
        <w:rPr>
          <w:b/>
          <w:bCs/>
        </w:rPr>
        <w:t xml:space="preserve">OLE DB Destination</w:t>
      </w:r>
      <w:r>
        <w:t xml:space="preserve"> → [star].[FactRentalValue]. Mappings: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SuburbKey</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RentalHouseTypeKey</w:t>
            </w:r>
          </w:p>
        </w:tc>
        <w:tc>
          <w:tcPr>
            <w:tcW w:type="dxa" w:w="2200"/>
            <w:tcMar>
              <w:top w:type="dxa" w:w="80"/>
              <w:left w:type="dxa" w:w="100"/>
              <w:bottom w:type="dxa" w:w="80"/>
              <w:right w:type="dxa" w:w="100"/>
            </w:tcMar>
            <w:vAlign w:val="center"/>
          </w:tcPr>
          <w:p>
            <w:r>
              <w:rPr>
                <w:b w:val="false"/>
                <w:bCs w:val="false"/>
                <w:color w:val="000000"/>
                <w:sz w:val="20"/>
                <w:szCs w:val="20"/>
              </w:rPr>
              <w:t xml:space="preserve">RentalHouseTypeKey</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RentalAmount</w:t>
            </w:r>
          </w:p>
        </w:tc>
        <w:tc>
          <w:tcPr>
            <w:tcW w:type="dxa" w:w="2200"/>
            <w:tcMar>
              <w:top w:type="dxa" w:w="80"/>
              <w:left w:type="dxa" w:w="100"/>
              <w:bottom w:type="dxa" w:w="80"/>
              <w:right w:type="dxa" w:w="100"/>
            </w:tcMar>
            <w:vAlign w:val="center"/>
          </w:tcPr>
          <w:p>
            <w:r>
              <w:rPr>
                <w:b w:val="false"/>
                <w:bCs w:val="false"/>
                <w:color w:val="000000"/>
                <w:sz w:val="20"/>
                <w:szCs w:val="20"/>
              </w:rPr>
              <w:t xml:space="preserve">RentalAmount</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bl>
    <w:p>
      <w:pPr>
        <w:pStyle w:val="Heading2"/>
        <w:spacing w:after="150" w:before="300"/>
      </w:pPr>
      <w:r>
        <w:t xml:space="preserve">7.4 DFT - FactCrime</w:t>
      </w:r>
    </w:p>
    <w:p>
      <w:pPr>
        <w:spacing w:after="100" w:before="260"/>
      </w:pPr>
      <w:r>
        <w:rPr>
          <w:b/>
          <w:bCs/>
          <w:color w:val="1F3864"/>
        </w:rPr>
        <w:t xml:space="preserve">Step 1 — </w:t>
      </w:r>
      <w:r>
        <w:rPr>
          <w:b/>
          <w:bCs/>
        </w:rPr>
        <w:t xml:space="preserve">Source SQL command:</w:t>
      </w:r>
    </w:p>
    <w:p>
      <w:pPr>
        <w:shd w:fill="EDEDED" w:val="clear"/>
        <w:spacing w:after="0"/>
      </w:pPr>
      <w:r>
        <w:rPr>
          <w:rFonts w:ascii="Consolas" w:cs="Consolas" w:eastAsia="Consolas" w:hAnsi="Consolas"/>
          <w:sz w:val="18"/>
          <w:szCs w:val="18"/>
        </w:rPr>
        <w:t xml:space="preserve">SELECT StateCode, Suburb, Postcode, OffenceCategory, OffenceSubcategory, RecordedIncidents</w:t>
      </w:r>
    </w:p>
    <w:p>
      <w:pPr>
        <w:shd w:fill="EDEDED" w:val="clear"/>
        <w:spacing w:after="0"/>
      </w:pPr>
      <w:r>
        <w:rPr>
          <w:rFonts w:ascii="Consolas" w:cs="Consolas" w:eastAsia="Consolas" w:hAnsi="Consolas"/>
          <w:sz w:val="18"/>
          <w:szCs w:val="18"/>
        </w:rPr>
        <w:t xml:space="preserve">FROM dw.Crime</w:t>
      </w:r>
    </w:p>
    <w:p>
      <w:pPr>
        <w:spacing w:after="160"/>
      </w:pPr>
    </w:p>
    <w:p>
      <w:pPr>
        <w:spacing w:after="100" w:before="260"/>
      </w:pPr>
      <w:r>
        <w:rPr>
          <w:b/>
          <w:bCs/>
          <w:color w:val="1F3864"/>
        </w:rPr>
        <w:t xml:space="preserve">Step 2 — </w:t>
      </w:r>
      <w:r>
        <w:rPr>
          <w:b/>
          <w:bCs/>
        </w:rPr>
        <w:t xml:space="preserve">LKP - Suburb Key</w:t>
      </w:r>
      <w:r>
        <w:t xml:space="preserve"> — same pattern as 7.2 (redirect + Derived Column + Union All).</w:t>
      </w:r>
    </w:p>
    <w:p>
      <w:pPr>
        <w:spacing w:after="100" w:before="260"/>
      </w:pPr>
      <w:r>
        <w:rPr>
          <w:b/>
          <w:bCs/>
          <w:color w:val="1F3864"/>
        </w:rPr>
        <w:t xml:space="preserve">Step 3 — </w:t>
      </w:r>
      <w:r>
        <w:rPr>
          <w:b/>
          <w:bCs/>
        </w:rPr>
        <w:t xml:space="preserve">LKP - OffenceType Key</w:t>
      </w:r>
      <w:r>
        <w:t xml:space="preserve"> — add after the Union All.</w:t>
      </w:r>
    </w:p>
    <w:p>
      <w:pPr>
        <w:spacing w:after="60"/>
        <w:ind w:left="504"/>
      </w:pPr>
      <w:r>
        <w:rPr>
          <w:b/>
          <w:bCs/>
        </w:rPr>
        <w:t xml:space="preserve">• </w:t>
      </w:r>
      <w:r>
        <w:rPr>
          <w:b/>
          <w:bCs/>
        </w:rPr>
        <w:t xml:space="preserve">General tab: </w:t>
      </w:r>
      <w:r>
        <w:rPr>
          <w:rFonts w:ascii="Consolas" w:cs="Consolas" w:eastAsia="Consolas" w:hAnsi="Consolas"/>
          <w:color w:val="1F3864"/>
        </w:rPr>
        <w:t xml:space="preserve">leave the default (Fail component)</w:t>
      </w:r>
    </w:p>
    <w:p>
      <w:pPr>
        <w:spacing w:after="60"/>
        <w:ind w:left="504"/>
      </w:pPr>
      <w:r>
        <w:rPr>
          <w:b/>
          <w:bCs/>
        </w:rPr>
        <w:t xml:space="preserve">• </w:t>
      </w:r>
      <w:r>
        <w:rPr>
          <w:b/>
          <w:bCs/>
        </w:rPr>
        <w:t xml:space="preserve">Connection tab → Use results of an SQL query: </w:t>
      </w:r>
      <w:r>
        <w:rPr>
          <w:rFonts w:ascii="Consolas" w:cs="Consolas" w:eastAsia="Consolas" w:hAnsi="Consolas"/>
          <w:color w:val="1F3864"/>
        </w:rPr>
        <w:t xml:space="preserve">SELECT OffenceTypeKey, OffenceCategory, OffenceSubcategory FROM star.DimOffenceType</w:t>
      </w:r>
    </w:p>
    <w:p>
      <w:pPr>
        <w:spacing w:after="60"/>
        <w:ind w:left="504"/>
      </w:pPr>
      <w:r>
        <w:rPr>
          <w:b/>
          <w:bCs/>
        </w:rPr>
        <w:t xml:space="preserve">• </w:t>
      </w:r>
      <w:r>
        <w:rPr>
          <w:b/>
          <w:bCs/>
        </w:rPr>
        <w:t xml:space="preserve">Columns tab: </w:t>
      </w:r>
      <w:r>
        <w:rPr>
          <w:rFonts w:ascii="Consolas" w:cs="Consolas" w:eastAsia="Consolas" w:hAnsi="Consolas"/>
          <w:color w:val="1F3864"/>
        </w:rPr>
        <w:t xml:space="preserve">drag OffenceCategory onto OffenceCategory, OffenceSubcategory onto OffenceSubcategory; tick OffenceTypeKey to add as output column</w:t>
      </w:r>
    </w:p>
    <w:p>
      <w:pPr>
        <w:spacing w:after="100" w:before="260"/>
      </w:pPr>
      <w:r>
        <w:rPr>
          <w:b/>
          <w:bCs/>
          <w:color w:val="1F3864"/>
        </w:rPr>
        <w:t xml:space="preserve">Step 4 — </w:t>
      </w:r>
      <w:r>
        <w:rPr>
          <w:b/>
          <w:bCs/>
        </w:rPr>
        <w:t xml:space="preserve">OLE DB Destination</w:t>
      </w:r>
      <w:r>
        <w:t xml:space="preserve"> → [star].[FactCrime]. Mappings: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SuburbKey</w:t>
            </w:r>
          </w:p>
        </w:tc>
        <w:tc>
          <w:tcPr>
            <w:tcW w:type="dxa" w:w="2200"/>
            <w:tcMar>
              <w:top w:type="dxa" w:w="80"/>
              <w:left w:type="dxa" w:w="100"/>
              <w:bottom w:type="dxa" w:w="80"/>
              <w:right w:type="dxa" w:w="100"/>
            </w:tcMar>
            <w:vAlign w:val="center"/>
          </w:tcPr>
          <w:p>
            <w:r>
              <w:rPr>
                <w:b w:val="false"/>
                <w:bCs w:val="false"/>
                <w:color w:val="000000"/>
                <w:sz w:val="20"/>
                <w:szCs w:val="20"/>
              </w:rPr>
              <w:t xml:space="preserve">SuburbKey</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OffenceTypeKey</w:t>
            </w:r>
          </w:p>
        </w:tc>
        <w:tc>
          <w:tcPr>
            <w:tcW w:type="dxa" w:w="2200"/>
            <w:tcMar>
              <w:top w:type="dxa" w:w="80"/>
              <w:left w:type="dxa" w:w="100"/>
              <w:bottom w:type="dxa" w:w="80"/>
              <w:right w:type="dxa" w:w="100"/>
            </w:tcMar>
            <w:vAlign w:val="center"/>
          </w:tcPr>
          <w:p>
            <w:r>
              <w:rPr>
                <w:b w:val="false"/>
                <w:bCs w:val="false"/>
                <w:color w:val="000000"/>
                <w:sz w:val="20"/>
                <w:szCs w:val="20"/>
              </w:rPr>
              <w:t xml:space="preserve">OffenceTypeKey</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Postcode</w:t>
            </w:r>
          </w:p>
        </w:tc>
        <w:tc>
          <w:tcPr>
            <w:tcW w:type="dxa" w:w="2200"/>
            <w:tcMar>
              <w:top w:type="dxa" w:w="80"/>
              <w:left w:type="dxa" w:w="100"/>
              <w:bottom w:type="dxa" w:w="80"/>
              <w:right w:type="dxa" w:w="100"/>
            </w:tcMar>
            <w:vAlign w:val="center"/>
          </w:tcPr>
          <w:p>
            <w:r>
              <w:rPr>
                <w:b w:val="false"/>
                <w:bCs w:val="false"/>
                <w:color w:val="000000"/>
                <w:sz w:val="20"/>
                <w:szCs w:val="20"/>
              </w:rPr>
              <w:t xml:space="preserve">Postcode</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RecordedIncidents</w:t>
            </w:r>
          </w:p>
        </w:tc>
        <w:tc>
          <w:tcPr>
            <w:tcW w:type="dxa" w:w="2200"/>
            <w:tcMar>
              <w:top w:type="dxa" w:w="80"/>
              <w:left w:type="dxa" w:w="100"/>
              <w:bottom w:type="dxa" w:w="80"/>
              <w:right w:type="dxa" w:w="100"/>
            </w:tcMar>
            <w:vAlign w:val="center"/>
          </w:tcPr>
          <w:p>
            <w:r>
              <w:rPr>
                <w:b w:val="false"/>
                <w:bCs w:val="false"/>
                <w:color w:val="000000"/>
                <w:sz w:val="20"/>
                <w:szCs w:val="20"/>
              </w:rPr>
              <w:t xml:space="preserve">RecordedIncidents</w:t>
            </w:r>
          </w:p>
        </w:tc>
        <w:tc>
          <w:tcPr>
            <w:tcW w:type="dxa" w:w="5600"/>
            <w:tcMar>
              <w:top w:type="dxa" w:w="80"/>
              <w:left w:type="dxa" w:w="100"/>
              <w:bottom w:type="dxa" w:w="80"/>
              <w:right w:type="dxa" w:w="100"/>
            </w:tcMar>
            <w:vAlign w:val="center"/>
          </w:tcPr>
          <w:p>
            <w:r>
              <w:rPr>
                <w:b w:val="false"/>
                <w:bCs w:val="false"/>
                <w:color w:val="000000"/>
                <w:sz w:val="20"/>
                <w:szCs w:val="20"/>
              </w:rPr>
              <w:t xml:space="preserve"/>
            </w:r>
          </w:p>
        </w:tc>
      </w:tr>
    </w:tbl>
    <w:p>
      <w:pPr>
        <w:pStyle w:val="Heading2"/>
        <w:spacing w:after="150" w:before="300"/>
      </w:pPr>
      <w:r>
        <w:t xml:space="preserve">7.5 DFT - FactSchoolPresence  (factless)</w:t>
      </w:r>
    </w:p>
    <w:p>
      <w:pPr>
        <w:spacing w:after="100" w:before="260"/>
      </w:pPr>
      <w:r>
        <w:rPr>
          <w:b/>
          <w:bCs/>
          <w:color w:val="1F3864"/>
        </w:rPr>
        <w:t xml:space="preserve">Step 1 — </w:t>
      </w:r>
      <w:r>
        <w:rPr>
          <w:b/>
          <w:bCs/>
        </w:rPr>
        <w:t xml:space="preserve">Source SQL command:</w:t>
      </w:r>
    </w:p>
    <w:p>
      <w:pPr>
        <w:shd w:fill="EDEDED" w:val="clear"/>
        <w:spacing w:after="0"/>
      </w:pPr>
      <w:r>
        <w:rPr>
          <w:rFonts w:ascii="Consolas" w:cs="Consolas" w:eastAsia="Consolas" w:hAnsi="Consolas"/>
          <w:sz w:val="18"/>
          <w:szCs w:val="18"/>
        </w:rPr>
        <w:t xml:space="preserve">SELECT StateCode, Suburb, SchoolCode FROM dw.School</w:t>
      </w:r>
    </w:p>
    <w:p>
      <w:pPr>
        <w:spacing w:after="160"/>
      </w:pPr>
    </w:p>
    <w:p>
      <w:pPr>
        <w:spacing w:after="100" w:before="260"/>
      </w:pPr>
      <w:r>
        <w:rPr>
          <w:b/>
          <w:bCs/>
          <w:color w:val="1F3864"/>
        </w:rPr>
        <w:t xml:space="preserve">Step 2 — </w:t>
      </w:r>
      <w:r>
        <w:rPr>
          <w:b/>
          <w:bCs/>
        </w:rPr>
        <w:t xml:space="preserve">LKP - Suburb Key</w:t>
      </w:r>
      <w:r>
        <w:t xml:space="preserve"> — same pattern as 7.2 (redirect + Derived Column + Union All).</w:t>
      </w:r>
    </w:p>
    <w:p>
      <w:pPr>
        <w:spacing w:after="100" w:before="260"/>
      </w:pPr>
      <w:r>
        <w:rPr>
          <w:b/>
          <w:bCs/>
          <w:color w:val="1F3864"/>
        </w:rPr>
        <w:t xml:space="preserve">Step 3 — </w:t>
      </w:r>
      <w:r>
        <w:rPr>
          <w:b/>
          <w:bCs/>
        </w:rPr>
        <w:t xml:space="preserve">LKP - School Key</w:t>
      </w:r>
      <w:r>
        <w:t xml:space="preserve"> — add after the Union All.</w:t>
      </w:r>
    </w:p>
    <w:p>
      <w:pPr>
        <w:spacing w:after="60"/>
        <w:ind w:left="504"/>
      </w:pPr>
      <w:r>
        <w:rPr>
          <w:b/>
          <w:bCs/>
        </w:rPr>
        <w:t xml:space="preserve">• </w:t>
      </w:r>
      <w:r>
        <w:rPr>
          <w:b/>
          <w:bCs/>
        </w:rPr>
        <w:t xml:space="preserve">General tab: </w:t>
      </w:r>
      <w:r>
        <w:rPr>
          <w:rFonts w:ascii="Consolas" w:cs="Consolas" w:eastAsia="Consolas" w:hAnsi="Consolas"/>
          <w:color w:val="1F3864"/>
        </w:rPr>
        <w:t xml:space="preserve">leave the default (Fail component)</w:t>
      </w:r>
    </w:p>
    <w:p>
      <w:pPr>
        <w:spacing w:after="60"/>
        <w:ind w:left="504"/>
      </w:pPr>
      <w:r>
        <w:rPr>
          <w:b/>
          <w:bCs/>
        </w:rPr>
        <w:t xml:space="preserve">• </w:t>
      </w:r>
      <w:r>
        <w:rPr>
          <w:b/>
          <w:bCs/>
        </w:rPr>
        <w:t xml:space="preserve">Connection tab → Use results of an SQL query: </w:t>
      </w:r>
      <w:r>
        <w:rPr>
          <w:rFonts w:ascii="Consolas" w:cs="Consolas" w:eastAsia="Consolas" w:hAnsi="Consolas"/>
          <w:color w:val="1F3864"/>
        </w:rPr>
        <w:t xml:space="preserve">SELECT SchoolKey, SchoolCode, StateCode FROM star.DimSchool</w:t>
      </w:r>
    </w:p>
    <w:p>
      <w:pPr>
        <w:spacing w:after="60"/>
        <w:ind w:left="504"/>
      </w:pPr>
      <w:r>
        <w:rPr>
          <w:b/>
          <w:bCs/>
        </w:rPr>
        <w:t xml:space="preserve">• </w:t>
      </w:r>
      <w:r>
        <w:rPr>
          <w:b/>
          <w:bCs/>
        </w:rPr>
        <w:t xml:space="preserve">Columns tab: </w:t>
      </w:r>
      <w:r>
        <w:rPr>
          <w:rFonts w:ascii="Consolas" w:cs="Consolas" w:eastAsia="Consolas" w:hAnsi="Consolas"/>
          <w:color w:val="1F3864"/>
        </w:rPr>
        <w:t xml:space="preserve">drag SchoolCode onto SchoolCode, StateCode onto StateCode; tick SchoolKey to add as output column</w:t>
      </w:r>
    </w:p>
    <w:p>
      <w:pPr>
        <w:spacing w:after="100" w:before="260"/>
      </w:pPr>
      <w:r>
        <w:rPr>
          <w:b/>
          <w:bCs/>
          <w:color w:val="1F3864"/>
        </w:rPr>
        <w:t xml:space="preserve">Step 4 — </w:t>
      </w:r>
      <w:r>
        <w:rPr>
          <w:b/>
          <w:bCs/>
        </w:rPr>
        <w:t xml:space="preserve">OLE DB Destination</w:t>
      </w:r>
      <w:r>
        <w:t xml:space="preserve"> → [star].[FactSchoolPresence]. Mappings: SuburbKey → SuburbKey, SchoolKey → SchoolKey. No measure column — that's expected, this is a factless fact table (Section 1.4).</w:t>
      </w:r>
    </w:p>
    <w:p>
      <w:pPr>
        <w:pStyle w:val="Heading2"/>
        <w:spacing w:after="150" w:before="300"/>
      </w:pPr>
      <w:r>
        <w:t xml:space="preserve">7.6 DFT - FactTransportAccess  (factless)</w:t>
      </w:r>
    </w:p>
    <w:p>
      <w:pPr>
        <w:spacing w:after="100" w:before="260"/>
      </w:pPr>
      <w:r>
        <w:rPr>
          <w:b/>
          <w:bCs/>
          <w:color w:val="1F3864"/>
        </w:rPr>
        <w:t xml:space="preserve">Step 1 — </w:t>
      </w:r>
      <w:r>
        <w:rPr>
          <w:b/>
          <w:bCs/>
        </w:rPr>
        <w:t xml:space="preserve">Source SQL command:</w:t>
      </w:r>
    </w:p>
    <w:p>
      <w:pPr>
        <w:shd w:fill="EDEDED" w:val="clear"/>
        <w:spacing w:after="0"/>
      </w:pPr>
      <w:r>
        <w:rPr>
          <w:rFonts w:ascii="Consolas" w:cs="Consolas" w:eastAsia="Consolas" w:hAnsi="Consolas"/>
          <w:sz w:val="18"/>
          <w:szCs w:val="18"/>
        </w:rPr>
        <w:t xml:space="preserve">SELECT StateCode, Suburb, StopName, Mode, StopLat, StopLong FROM dw.Transport</w:t>
      </w:r>
    </w:p>
    <w:p>
      <w:pPr>
        <w:spacing w:after="160"/>
      </w:pPr>
    </w:p>
    <w:p>
      <w:pPr>
        <w:spacing w:after="100" w:before="260"/>
      </w:pPr>
      <w:r>
        <w:rPr>
          <w:b/>
          <w:bCs/>
          <w:color w:val="1F3864"/>
        </w:rPr>
        <w:t xml:space="preserve">Step 2 — </w:t>
      </w:r>
      <w:r>
        <w:rPr>
          <w:b/>
          <w:bCs/>
        </w:rPr>
        <w:t xml:space="preserve">LKP - Suburb Key</w:t>
      </w:r>
      <w:r>
        <w:t xml:space="preserve"> — same pattern as 7.2 (redirect + Derived Column + Union All).</w:t>
      </w:r>
    </w:p>
    <w:p>
      <w:pPr>
        <w:spacing w:after="100" w:before="260"/>
      </w:pPr>
      <w:r>
        <w:rPr>
          <w:b/>
          <w:bCs/>
          <w:color w:val="1F3864"/>
        </w:rPr>
        <w:t xml:space="preserve">Step 3 — </w:t>
      </w:r>
      <w:r>
        <w:rPr>
          <w:b/>
          <w:bCs/>
        </w:rPr>
        <w:t xml:space="preserve">LKP - TransportStop Key</w:t>
      </w:r>
      <w:r>
        <w:t xml:space="preserve"> — add after the Union All.</w:t>
      </w:r>
    </w:p>
    <w:p>
      <w:pPr>
        <w:spacing w:after="60"/>
        <w:ind w:left="504"/>
      </w:pPr>
      <w:r>
        <w:rPr>
          <w:b/>
          <w:bCs/>
        </w:rPr>
        <w:t xml:space="preserve">• </w:t>
      </w:r>
      <w:r>
        <w:rPr>
          <w:b/>
          <w:bCs/>
        </w:rPr>
        <w:t xml:space="preserve">General tab: </w:t>
      </w:r>
      <w:r>
        <w:rPr>
          <w:rFonts w:ascii="Consolas" w:cs="Consolas" w:eastAsia="Consolas" w:hAnsi="Consolas"/>
          <w:color w:val="1F3864"/>
        </w:rPr>
        <w:t xml:space="preserve">leave the default (Fail component)</w:t>
      </w:r>
    </w:p>
    <w:p>
      <w:pPr>
        <w:spacing w:after="60"/>
        <w:ind w:left="504"/>
      </w:pPr>
      <w:r>
        <w:rPr>
          <w:b/>
          <w:bCs/>
        </w:rPr>
        <w:t xml:space="preserve">• </w:t>
      </w:r>
      <w:r>
        <w:rPr>
          <w:b/>
          <w:bCs/>
        </w:rPr>
        <w:t xml:space="preserve">Connection tab → Use results of an SQL query: </w:t>
      </w:r>
      <w:r>
        <w:rPr>
          <w:rFonts w:ascii="Consolas" w:cs="Consolas" w:eastAsia="Consolas" w:hAnsi="Consolas"/>
          <w:color w:val="1F3864"/>
        </w:rPr>
        <w:t xml:space="preserve">SELECT StopKey, StopName, Mode, StateCode, StopLat, StopLong FROM star.DimTransportStop</w:t>
      </w:r>
    </w:p>
    <w:p>
      <w:pPr>
        <w:spacing w:after="60"/>
        <w:ind w:left="504"/>
      </w:pPr>
      <w:r>
        <w:rPr>
          <w:b/>
          <w:bCs/>
        </w:rPr>
        <w:t xml:space="preserve">• </w:t>
      </w:r>
      <w:r>
        <w:rPr>
          <w:b/>
          <w:bCs/>
        </w:rPr>
        <w:t xml:space="preserve">Columns tab: </w:t>
      </w:r>
      <w:r>
        <w:rPr>
          <w:rFonts w:ascii="Consolas" w:cs="Consolas" w:eastAsia="Consolas" w:hAnsi="Consolas"/>
          <w:color w:val="1F3864"/>
        </w:rPr>
        <w:t xml:space="preserve">drag StopName→StopName, Mode→Mode, StateCode→StateCode, StopLat→StopLat, StopLong→StopLong; tick StopKey to add as output column</w:t>
      </w:r>
    </w:p>
    <w:p>
      <w:pPr>
        <w:spacing w:after="100" w:before="260"/>
      </w:pPr>
      <w:r>
        <w:rPr>
          <w:b/>
          <w:bCs/>
          <w:color w:val="1F3864"/>
        </w:rPr>
        <w:t xml:space="preserve">Step 4 — </w:t>
      </w:r>
      <w:r>
        <w:rPr>
          <w:b/>
          <w:bCs/>
        </w:rPr>
        <w:t xml:space="preserve">OLE DB Destination</w:t>
      </w:r>
      <w:r>
        <w:t xml:space="preserve"> → [star].[FactTransportAccess]. Mappings: SuburbKey → SuburbKey, StopKey → StopKey.</w:t>
      </w:r>
    </w:p>
    <w:p>
      <w:pPr>
        <w:pBdr>
          <w:left w:val="single" w:color="E0A800" w:sz="18" w:space="8"/>
        </w:pBdr>
        <w:shd w:fill="FFF3CD" w:val="clear"/>
        <w:spacing w:after="200" w:before="100"/>
        <w:ind w:left="144"/>
      </w:pPr>
      <w:r>
        <w:rPr>
          <w:b/>
          <w:bCs/>
        </w:rPr>
        <w:t xml:space="preserve">Troubleshooting tip: </w:t>
      </w:r>
      <w:r>
        <w:t xml:space="preserve">If this Lookup throws more no-match errors than expected, it's almost always because StopLat/StopLong picked up extra decimal places or a NULL mismatch between dw.Transport and star.DimTransportStop. Same troubleshooting instinct as Part 1's stale-column issue: delete and re-drag the Lookup so it re-reads fresh metadata, and double check the Columns tab lines up exactly.</w:t>
      </w:r>
    </w:p>
    <w:p>
      <w:r>
        <w:br w:type="page"/>
      </w:r>
    </w:p>
    <w:p>
      <w:pPr>
        <w:pStyle w:val="Heading1"/>
        <w:spacing w:after="200" w:before="400"/>
      </w:pPr>
      <w:r>
        <w:t xml:space="preserve">8. Precedence Constraints &amp; Running the Package</w:t>
      </w:r>
    </w:p>
    <w:p>
      <w:pPr>
        <w:spacing w:after="100" w:before="260"/>
      </w:pPr>
      <w:r>
        <w:rPr>
          <w:b/>
          <w:bCs/>
          <w:color w:val="1F3864"/>
        </w:rPr>
        <w:t xml:space="preserve">Step 1 — </w:t>
      </w:r>
      <w:r>
        <w:rPr>
          <w:b/>
          <w:bCs/>
        </w:rPr>
        <w:t xml:space="preserve">Check the Control Flow arrows:</w:t>
      </w:r>
      <w:r>
        <w:t xml:space="preserve"> 0 - Truncate → SEQ - Load Dimensions → SEQ - Load Facts, each a plain green Success arrow. No arrows needed between the 5 dimension tasks, or between the 5 fact Data Flow Tasks — each writes to an independent table.</w:t>
      </w:r>
    </w:p>
    <w:p>
      <w:pPr>
        <w:spacing w:after="100" w:before="260"/>
      </w:pPr>
      <w:r>
        <w:rPr>
          <w:b/>
          <w:bCs/>
          <w:color w:val="1F3864"/>
        </w:rPr>
        <w:t xml:space="preserve">Step 2 — </w:t>
      </w:r>
      <w:r>
        <w:rPr>
          <w:b/>
          <w:bCs/>
        </w:rPr>
        <w:t xml:space="preserve">Save everything</w:t>
      </w:r>
      <w:r>
        <w:t xml:space="preserve"> — File → Save All.</w:t>
      </w:r>
    </w:p>
    <w:p>
      <w:pPr>
        <w:spacing w:after="100" w:before="260"/>
      </w:pPr>
      <w:r>
        <w:rPr>
          <w:b/>
          <w:bCs/>
          <w:color w:val="1F3864"/>
        </w:rPr>
        <w:t xml:space="preserve">Step 3 — </w:t>
      </w:r>
      <w:r>
        <w:rPr>
          <w:b/>
          <w:bCs/>
        </w:rPr>
        <w:t xml:space="preserve">Run the package</w:t>
      </w:r>
      <w:r>
        <w:t xml:space="preserve"> — press F5, or right-click AUProperty_StarSchemaLoad.dtsx in Solution Explorer → Execute Package.</w:t>
      </w:r>
    </w:p>
    <w:p>
      <w:pPr>
        <w:spacing w:after="100" w:before="260"/>
      </w:pPr>
      <w:r>
        <w:rPr>
          <w:b/>
          <w:bCs/>
          <w:color w:val="1F3864"/>
        </w:rPr>
        <w:t xml:space="preserve">Step 4 — </w:t>
      </w:r>
      <w:r>
        <w:rPr>
          <w:b/>
          <w:bCs/>
        </w:rPr>
        <w:t xml:space="preserve">Watch the Control Flow tab</w:t>
      </w:r>
      <w:r>
        <w:t xml:space="preserve"> while it runs — each task turns yellow (running) then green (success) or red (failed). All three tiers (Truncate, SEQ - Load Dimensions, SEQ - Load Facts) should end up green.</w:t>
      </w:r>
    </w:p>
    <w:p>
      <w:pPr>
        <w:spacing w:after="100" w:before="260"/>
      </w:pPr>
      <w:r>
        <w:rPr>
          <w:b/>
          <w:bCs/>
          <w:color w:val="1F3864"/>
        </w:rPr>
        <w:t xml:space="preserve">Step 5 — </w:t>
      </w:r>
      <w:r>
        <w:rPr>
          <w:b/>
          <w:bCs/>
        </w:rPr>
        <w:t xml:space="preserve">If a fact Data Flow fails,</w:t>
      </w:r>
      <w:r>
        <w:t xml:space="preserve"> open its Progress tab (or Execution Results after stopping debug) and read the exact red error line — same troubleshooting approach as Part 1: check the failing component's Connection Manager, SQL command text, and Columns/Mappings tabs for anything stale or mismatched before assuming it's a bigger problem.</w:t>
      </w:r>
    </w:p>
    <w:p>
      <w:pPr>
        <w:spacing w:after="100" w:before="260"/>
      </w:pPr>
      <w:r>
        <w:rPr>
          <w:b/>
          <w:bCs/>
          <w:color w:val="1F3864"/>
        </w:rPr>
        <w:t xml:space="preserve">Step 6 — </w:t>
      </w:r>
      <w:r>
        <w:rPr>
          <w:b/>
          <w:bCs/>
        </w:rPr>
        <w:t xml:space="preserve">Stop debugging</w:t>
      </w:r>
      <w:r>
        <w:t xml:space="preserve"> (Shift+F5) once everything is green.</w:t>
      </w:r>
    </w:p>
    <w:p>
      <w:r>
        <w:br w:type="page"/>
      </w:r>
    </w:p>
    <w:p>
      <w:pPr>
        <w:pStyle w:val="Heading1"/>
        <w:spacing w:after="200" w:before="400"/>
      </w:pPr>
      <w:r>
        <w:t xml:space="preserve">9. Validate the Load (in SSMS)</w:t>
      </w:r>
    </w:p>
    <w:p>
      <w:pPr>
        <w:spacing w:after="160" w:line="276"/>
      </w:pPr>
      <w:r>
        <w:t xml:space="preserve">Run Section 7 of AUProperty_StarSchema_DDL_ETL.sql in a new SSMS query window against AUPropertyDW. It gives you three result sets:</w:t>
      </w:r>
    </w:p>
    <w:p>
      <w:pPr>
        <w:pStyle w:val="Heading3"/>
        <w:spacing w:after="120" w:before="240"/>
      </w:pPr>
      <w:r>
        <w:t xml:space="preserve">9.1 Row counts</w:t>
      </w:r>
    </w:p>
    <w:p>
      <w:pPr>
        <w:spacing w:after="160" w:line="276"/>
      </w:pPr>
      <w:r>
        <w:t xml:space="preserve">Every star.Dim*/Fact* table should show a non-zero row count. Compare fact row counts against the equivalent dw.* table's row count from your Part 1 notes — they should match exactly (facts don't drop rows, they only attach keys).</w:t>
      </w:r>
    </w:p>
    <w:p>
      <w:pPr>
        <w:pStyle w:val="Heading3"/>
        <w:spacing w:after="120" w:before="240"/>
      </w:pPr>
      <w:r>
        <w:t xml:space="preserve">9.2 Unknown-suburb fallback counts</w:t>
      </w:r>
    </w:p>
    <w:p>
      <w:pPr>
        <w:spacing w:after="160" w:line="276"/>
      </w:pPr>
      <w:r>
        <w:t xml:space="preserve">Shows how many rows in each fact table fell back to SuburbKey = -1. This should be a small number and should roughly line up with the orphan-suburb counts you already found during Part 1's validation (HMAS Creswell, Jervis Bay, Kowen Forest, and similar edge cases). A count of 0 across the board is also fine — it just means every suburb in this particular fact table happened to exist in the master list.</w:t>
      </w:r>
    </w:p>
    <w:p>
      <w:pPr>
        <w:pStyle w:val="Heading3"/>
        <w:spacing w:after="120" w:before="240"/>
      </w:pPr>
      <w:r>
        <w:t xml:space="preserve">9.3 Sample BI query</w:t>
      </w:r>
    </w:p>
    <w:p>
      <w:pPr>
        <w:spacing w:after="160" w:line="276"/>
      </w:pPr>
      <w:r>
        <w:t xml:space="preserve">Runs one join across DimSuburb + all 4 measure/coverage fact tables, grouped by state — average house value, total recorded crime incidents, school count, and transport stop count, all in a single result set. This is the payoff of building the star schema: that query would have needed 5 separate manual lookups against the dw.* layer, and now it's one join.</w:t>
      </w:r>
    </w:p>
    <w:p>
      <w:r>
        <w:br w:type="page"/>
      </w:r>
    </w:p>
    <w:p>
      <w:pPr>
        <w:pStyle w:val="Heading1"/>
        <w:spacing w:after="200" w:before="400"/>
      </w:pPr>
      <w:r>
        <w:t xml:space="preserve">10. Save &amp; Document Your Work</w:t>
      </w:r>
    </w:p>
    <w:p>
      <w:pPr>
        <w:spacing w:after="100" w:before="260"/>
      </w:pPr>
      <w:r>
        <w:rPr>
          <w:b/>
          <w:bCs/>
          <w:color w:val="1F3864"/>
        </w:rPr>
        <w:t xml:space="preserve">Step 1 — </w:t>
      </w:r>
      <w:r>
        <w:rPr>
          <w:b/>
          <w:bCs/>
        </w:rPr>
        <w:t xml:space="preserve">File → Save All</w:t>
      </w:r>
      <w:r>
        <w:t xml:space="preserve"> in Visual Studio.</w:t>
      </w:r>
    </w:p>
    <w:p>
      <w:pPr>
        <w:spacing w:after="100" w:before="260"/>
      </w:pPr>
      <w:r>
        <w:rPr>
          <w:b/>
          <w:bCs/>
          <w:color w:val="1F3864"/>
        </w:rPr>
        <w:t xml:space="preserve">Step 2 — </w:t>
      </w:r>
      <w:r>
        <w:rPr>
          <w:b/>
          <w:bCs/>
        </w:rPr>
        <w:t xml:space="preserve">Screenshot the all-green Control Flow</w:t>
      </w:r>
      <w:r>
        <w:t xml:space="preserve"> (same as Part 1's evidence) — this is your primary proof the star schema load ran successfully.</w:t>
      </w:r>
    </w:p>
    <w:p>
      <w:pPr>
        <w:spacing w:after="100" w:before="260"/>
      </w:pPr>
      <w:r>
        <w:rPr>
          <w:b/>
          <w:bCs/>
          <w:color w:val="1F3864"/>
        </w:rPr>
        <w:t xml:space="preserve">Step 3 — </w:t>
      </w:r>
      <w:r>
        <w:rPr>
          <w:b/>
          <w:bCs/>
        </w:rPr>
        <w:t xml:space="preserve">Screenshot the 3 validation result sets</w:t>
      </w:r>
      <w:r>
        <w:t xml:space="preserve"> from Section 9.</w:t>
      </w:r>
    </w:p>
    <w:p>
      <w:pPr>
        <w:spacing w:after="100" w:before="260"/>
      </w:pPr>
      <w:r>
        <w:rPr>
          <w:b/>
          <w:bCs/>
          <w:color w:val="1F3864"/>
        </w:rPr>
        <w:t xml:space="preserve">Step 4 — </w:t>
      </w:r>
      <w:r>
        <w:rPr>
          <w:b/>
          <w:bCs/>
        </w:rPr>
        <w:t xml:space="preserve">Keep AUProperty_StarSchema_DDL_ETL.sql</w:t>
      </w:r>
      <w:r>
        <w:t xml:space="preserve"> alongside your existing AUProperty_SQL_Scripts.sql from Part 1 — together they're the full, re-runnable definition of the whole warehouse (staging → dw → star).</w:t>
      </w:r>
    </w:p>
    <w:p>
      <w:pPr>
        <w:spacing w:after="100" w:before="260"/>
      </w:pPr>
      <w:r>
        <w:rPr>
          <w:b/>
          <w:bCs/>
          <w:color w:val="1F3864"/>
        </w:rPr>
        <w:t xml:space="preserve">Step 5 — </w:t>
      </w:r>
      <w:r>
        <w:rPr>
          <w:b/>
          <w:bCs/>
        </w:rPr>
        <w:t xml:space="preserve">Zip the updated AUProperty_ETL project folder</w:t>
      </w:r>
      <w:r>
        <w:t xml:space="preserve"> (it now contains both .dtsx packages) the same way you did in Part 1, and upload it alongside your evidence screenshots.</w:t>
      </w:r>
    </w:p>
    <w:p>
      <w:r>
        <w:br w:type="page"/>
      </w:r>
    </w:p>
    <w:p>
      <w:pPr>
        <w:pStyle w:val="Heading1"/>
        <w:spacing w:after="200" w:before="400"/>
      </w:pPr>
      <w:r>
        <w:t xml:space="preserve">Appendix A — Where Everything Lives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Column</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5600"/>
            <w:shd w:fill="1F3864" w:val="clear"/>
            <w:tcMar>
              <w:top w:type="dxa" w:w="80"/>
              <w:left w:type="dxa" w:w="100"/>
              <w:bottom w:type="dxa" w:w="80"/>
              <w:right w:type="dxa" w:w="100"/>
            </w:tcMar>
            <w:vAlign w:val="center"/>
          </w:tcPr>
          <w:p>
            <w:r>
              <w:rPr>
                <w:b/>
                <w:bCs/>
                <w:color w:val="FFFFFF"/>
                <w:sz w:val="20"/>
                <w:szCs w:val="20"/>
              </w:rPr>
              <w:t xml:space="preserve">Notes</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AUProperty_StarSchema_DDL_ETL.sql</w:t>
            </w:r>
          </w:p>
        </w:tc>
        <w:tc>
          <w:tcPr>
            <w:tcW w:type="dxa" w:w="2200"/>
            <w:tcMar>
              <w:top w:type="dxa" w:w="80"/>
              <w:left w:type="dxa" w:w="100"/>
              <w:bottom w:type="dxa" w:w="80"/>
              <w:right w:type="dxa" w:w="100"/>
            </w:tcMar>
            <w:vAlign w:val="center"/>
          </w:tcPr>
          <w:p>
            <w:r>
              <w:rPr>
                <w:b w:val="false"/>
                <w:bCs w:val="false"/>
                <w:color w:val="000000"/>
                <w:sz w:val="20"/>
                <w:szCs w:val="20"/>
              </w:rPr>
              <w:t xml:space="preserve">This folder</w:t>
            </w:r>
          </w:p>
        </w:tc>
        <w:tc>
          <w:tcPr>
            <w:tcW w:type="dxa" w:w="5600"/>
            <w:tcMar>
              <w:top w:type="dxa" w:w="80"/>
              <w:left w:type="dxa" w:w="100"/>
              <w:bottom w:type="dxa" w:w="80"/>
              <w:right w:type="dxa" w:w="100"/>
            </w:tcMar>
            <w:vAlign w:val="center"/>
          </w:tcPr>
          <w:p>
            <w:r>
              <w:rPr>
                <w:b w:val="false"/>
                <w:bCs w:val="false"/>
                <w:color w:val="000000"/>
                <w:sz w:val="20"/>
                <w:szCs w:val="20"/>
              </w:rPr>
              <w:t xml:space="preserve">Full DDL (Section 1–4), dimension load scripts (Section 5), fact load reference SQL (Section 6), and validation queries (Section 7).</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star_schema_diagram.png</w:t>
            </w:r>
          </w:p>
        </w:tc>
        <w:tc>
          <w:tcPr>
            <w:tcW w:type="dxa" w:w="2200"/>
            <w:tcMar>
              <w:top w:type="dxa" w:w="80"/>
              <w:left w:type="dxa" w:w="100"/>
              <w:bottom w:type="dxa" w:w="80"/>
              <w:right w:type="dxa" w:w="100"/>
            </w:tcMar>
            <w:vAlign w:val="center"/>
          </w:tcPr>
          <w:p>
            <w:r>
              <w:rPr>
                <w:b w:val="false"/>
                <w:bCs w:val="false"/>
                <w:color w:val="000000"/>
                <w:sz w:val="20"/>
                <w:szCs w:val="20"/>
              </w:rPr>
              <w:t xml:space="preserve">This folder</w:t>
            </w:r>
          </w:p>
        </w:tc>
        <w:tc>
          <w:tcPr>
            <w:tcW w:type="dxa" w:w="5600"/>
            <w:tcMar>
              <w:top w:type="dxa" w:w="80"/>
              <w:left w:type="dxa" w:w="100"/>
              <w:bottom w:type="dxa" w:w="80"/>
              <w:right w:type="dxa" w:w="100"/>
            </w:tcMar>
            <w:vAlign w:val="center"/>
          </w:tcPr>
          <w:p>
            <w:r>
              <w:rPr>
                <w:b w:val="false"/>
                <w:bCs w:val="false"/>
                <w:color w:val="000000"/>
                <w:sz w:val="20"/>
                <w:szCs w:val="20"/>
              </w:rPr>
              <w:t xml:space="preserve">The ER diagram embedded in Section 3.1.</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AUProperty_StarSchemaLoad.dtsx</w:t>
            </w:r>
          </w:p>
        </w:tc>
        <w:tc>
          <w:tcPr>
            <w:tcW w:type="dxa" w:w="2200"/>
            <w:tcMar>
              <w:top w:type="dxa" w:w="80"/>
              <w:left w:type="dxa" w:w="100"/>
              <w:bottom w:type="dxa" w:w="80"/>
              <w:right w:type="dxa" w:w="100"/>
            </w:tcMar>
            <w:vAlign w:val="center"/>
          </w:tcPr>
          <w:p>
            <w:r>
              <w:rPr>
                <w:b w:val="false"/>
                <w:bCs w:val="false"/>
                <w:color w:val="000000"/>
                <w:sz w:val="20"/>
                <w:szCs w:val="20"/>
              </w:rPr>
              <w:t xml:space="preserve">Your Visual Studio project (AUProperty_ETL)</w:t>
            </w:r>
          </w:p>
        </w:tc>
        <w:tc>
          <w:tcPr>
            <w:tcW w:type="dxa" w:w="5600"/>
            <w:tcMar>
              <w:top w:type="dxa" w:w="80"/>
              <w:left w:type="dxa" w:w="100"/>
              <w:bottom w:type="dxa" w:w="80"/>
              <w:right w:type="dxa" w:w="100"/>
            </w:tcMar>
            <w:vAlign w:val="center"/>
          </w:tcPr>
          <w:p>
            <w:r>
              <w:rPr>
                <w:b w:val="false"/>
                <w:bCs w:val="false"/>
                <w:color w:val="000000"/>
                <w:sz w:val="20"/>
                <w:szCs w:val="20"/>
              </w:rPr>
              <w:t xml:space="preserve">The new SSIS package you build in Sections 5–8 of this guide.</w:t>
            </w:r>
          </w:p>
        </w:tc>
      </w:tr>
      <w:tr>
        <w:trPr>
          <w:tblHeader w:val="false"/>
        </w:trPr>
        <w:tc>
          <w:tcPr>
            <w:tcW w:type="dxa" w:w="2600"/>
            <w:tcMar>
              <w:top w:type="dxa" w:w="80"/>
              <w:left w:type="dxa" w:w="100"/>
              <w:bottom w:type="dxa" w:w="80"/>
              <w:right w:type="dxa" w:w="100"/>
            </w:tcMar>
            <w:vAlign w:val="center"/>
          </w:tcPr>
          <w:p>
            <w:r>
              <w:rPr>
                <w:b w:val="false"/>
                <w:bCs w:val="false"/>
                <w:color w:val="000000"/>
                <w:sz w:val="20"/>
                <w:szCs w:val="20"/>
              </w:rPr>
              <w:t xml:space="preserve">star.* tables</w:t>
            </w:r>
          </w:p>
        </w:tc>
        <w:tc>
          <w:tcPr>
            <w:tcW w:type="dxa" w:w="2200"/>
            <w:tcMar>
              <w:top w:type="dxa" w:w="80"/>
              <w:left w:type="dxa" w:w="100"/>
              <w:bottom w:type="dxa" w:w="80"/>
              <w:right w:type="dxa" w:w="100"/>
            </w:tcMar>
            <w:vAlign w:val="center"/>
          </w:tcPr>
          <w:p>
            <w:r>
              <w:rPr>
                <w:b w:val="false"/>
                <w:bCs w:val="false"/>
                <w:color w:val="000000"/>
                <w:sz w:val="20"/>
                <w:szCs w:val="20"/>
              </w:rPr>
              <w:t xml:space="preserve">AUPropertyDW database</w:t>
            </w:r>
          </w:p>
        </w:tc>
        <w:tc>
          <w:tcPr>
            <w:tcW w:type="dxa" w:w="5600"/>
            <w:tcMar>
              <w:top w:type="dxa" w:w="80"/>
              <w:left w:type="dxa" w:w="100"/>
              <w:bottom w:type="dxa" w:w="80"/>
              <w:right w:type="dxa" w:w="100"/>
            </w:tcMar>
            <w:vAlign w:val="center"/>
          </w:tcPr>
          <w:p>
            <w:r>
              <w:rPr>
                <w:b w:val="false"/>
                <w:bCs w:val="false"/>
                <w:color w:val="000000"/>
                <w:sz w:val="20"/>
                <w:szCs w:val="20"/>
              </w:rPr>
              <w:t xml:space="preserve">Created by running Section 4 of this guide before the SSIS package is executed.</w:t>
            </w:r>
          </w:p>
        </w:tc>
      </w:tr>
    </w:tbl>
    <w:p>
      <w:pPr>
        <w:spacing w:before="200"/>
      </w:pPr>
    </w:p>
    <w:p>
      <w:pPr>
        <w:spacing w:after="160" w:line="276"/>
      </w:pPr>
      <w:r>
        <w:rPr>
          <w:i/>
          <w:iCs/>
          <w:color w:val="595959"/>
        </w:rPr>
        <w:t xml:space="preserve">Everything in this guide reads from the dw.* tables and the raw source files are never touched again — if you ever need to rebuild the star schema from scratch, re-run the DDL script, then re-run the SSIS package.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5F8A"/>
      <w:sz w:val="26"/>
      <w:szCs w:val="26"/>
    </w:rPr>
  </w:style>
  <w:style w:type="paragraph" w:styleId="Heading3">
    <w:name w:val="Heading 3"/>
    <w:basedOn w:val="Normal"/>
    <w:next w:val="Normal"/>
    <w:qFormat/>
    <w:pPr>
      <w:spacing w:after="100" w:before="220"/>
    </w:pPr>
    <w:rPr>
      <w:rFonts w:ascii="Calibri" w:cs="Calibri" w:eastAsia="Calibri" w:hAnsi="Calibri"/>
      <w:b/>
      <w:bCs/>
      <w:color w:val="B565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44c2f53f0c9e197be889647656f4c8d95f6a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2026-07-14T04:36:06.310Z</dcterms:created>
  <dcterms:modified xsi:type="dcterms:W3CDTF">2026-07-14T04:36:06.311Z</dcterms:modified>
</cp:coreProperties>
</file>

<file path=docProps/custom.xml><?xml version="1.0" encoding="utf-8"?>
<Properties xmlns="http://schemas.openxmlformats.org/officeDocument/2006/custom-properties" xmlns:vt="http://schemas.openxmlformats.org/officeDocument/2006/docPropsVTypes"/>
</file>