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4"/>
          <w:szCs w:val="44"/>
        </w:rPr>
        <w:t xml:space="preserve">AU Property Insights</w:t>
      </w:r>
    </w:p>
    <w:p>
      <w:pPr>
        <w:spacing w:after="100" w:before="100"/>
        <w:jc w:val="center"/>
      </w:pPr>
      <w:r>
        <w:rPr>
          <w:b/>
          <w:bCs/>
          <w:color w:val="2E74B5"/>
          <w:sz w:val="30"/>
          <w:szCs w:val="30"/>
        </w:rPr>
        <w:t xml:space="preserve">Power BI Dashboard — Insights Summary</w:t>
      </w:r>
    </w:p>
    <w:p>
      <w:pPr>
        <w:spacing w:after="600"/>
        <w:jc w:val="center"/>
      </w:pPr>
      <w:r>
        <w:rPr>
          <w:i/>
          <w:iCs/>
          <w:color w:val="595959"/>
          <w:sz w:val="24"/>
          <w:szCs w:val="24"/>
        </w:rPr>
        <w:t xml:space="preserve">Task 8 — BI Advanced</w:t>
      </w:r>
    </w:p>
    <w:p>
      <w:pPr>
        <w:spacing w:after="40"/>
        <w:jc w:val="center"/>
      </w:pPr>
      <w:r>
        <w:rPr>
          <w:sz w:val="20"/>
          <w:szCs w:val="20"/>
        </w:rPr>
        <w:t xml:space="preserve">File: AUProperty_PowerBI_Dashboard.pbix</w:t>
      </w:r>
    </w:p>
    <w:p>
      <w:pPr>
        <w:spacing w:after="40"/>
        <w:jc w:val="center"/>
      </w:pPr>
      <w:r>
        <w:rPr>
          <w:color w:val="595959"/>
          <w:sz w:val="20"/>
          <w:szCs w:val="20"/>
        </w:rPr>
        <w:t xml:space="preserve">Prepared by: Srikanth</w:t>
      </w:r>
    </w:p>
    <w:p>
      <w:pPr>
        <w:spacing w:after="200"/>
      </w:pPr>
    </w:p>
    <w:p>
      <w:pPr>
        <w:spacing w:after="200"/>
      </w:pPr>
    </w:p>
    <w:p>
      <w:pPr>
        <w:pStyle w:val="Heading1"/>
        <w:spacing w:after="180" w:before="380"/>
      </w:pPr>
      <w:r>
        <w:t xml:space="preserve">1. Headline Metrics</w:t>
      </w:r>
    </w:p>
    <w:p>
      <w:pPr>
        <w:spacing w:after="150"/>
      </w:pPr>
      <w:r>
        <w:rPr>
          <w:b w:val="false"/>
          <w:bCs w:val="false"/>
          <w:i w:val="false"/>
          <w:iCs w:val="false"/>
        </w:rPr>
        <w:t xml:space="preserve">Figures below are computed directly from the AUPropertyDW model (all suburbs, unfiltered) and match the Summary page KPI cards.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1F3864" w:val="clear"/>
            <w:tcMar>
              <w:top w:type="dxa" w:w="80"/>
              <w:left w:type="dxa" w:w="100"/>
              <w:bottom w:type="dxa" w:w="80"/>
              <w:right w:type="dxa" w:w="100"/>
            </w:tcMar>
            <w:vAlign w:val="center"/>
          </w:tcPr>
          <w:p>
            <w:r>
              <w:rPr>
                <w:b/>
                <w:bCs/>
                <w:color w:val="FFFFFF"/>
                <w:sz w:val="18"/>
                <w:szCs w:val="18"/>
              </w:rPr>
              <w:t xml:space="preserve">Metric</w:t>
            </w:r>
          </w:p>
        </w:tc>
        <w:tc>
          <w:tcPr>
            <w:tcW w:type="dxa" w:w="4400"/>
            <w:shd w:fill="1F3864" w:val="clear"/>
            <w:tcMar>
              <w:top w:type="dxa" w:w="80"/>
              <w:left w:type="dxa" w:w="100"/>
              <w:bottom w:type="dxa" w:w="80"/>
              <w:right w:type="dxa" w:w="100"/>
            </w:tcMar>
            <w:vAlign w:val="center"/>
          </w:tcPr>
          <w:p>
            <w:r>
              <w:rPr>
                <w:b/>
                <w:bCs/>
                <w:color w:val="FFFFFF"/>
                <w:sz w:val="18"/>
                <w:szCs w:val="18"/>
              </w:rPr>
              <w:t xml:space="preserve">Value</w:t>
            </w:r>
          </w:p>
        </w:tc>
      </w:tr>
      <w:tr>
        <w:tc>
          <w:tcPr>
            <w:tcW w:type="dxa" w:w="4600"/>
            <w:tcMar>
              <w:top w:type="dxa" w:w="80"/>
              <w:left w:type="dxa" w:w="100"/>
              <w:bottom w:type="dxa" w:w="80"/>
              <w:right w:type="dxa" w:w="100"/>
            </w:tcMar>
            <w:vAlign w:val="center"/>
          </w:tcPr>
          <w:p>
            <w:r>
              <w:rPr>
                <w:b w:val="false"/>
                <w:bCs w:val="false"/>
                <w:color w:val="1F1F1F"/>
                <w:sz w:val="18"/>
                <w:szCs w:val="18"/>
              </w:rPr>
              <w:t xml:space="preserve">House listings tracked</w:t>
            </w:r>
          </w:p>
        </w:tc>
        <w:tc>
          <w:tcPr>
            <w:tcW w:type="dxa" w:w="4400"/>
            <w:tcMar>
              <w:top w:type="dxa" w:w="80"/>
              <w:left w:type="dxa" w:w="100"/>
              <w:bottom w:type="dxa" w:w="80"/>
              <w:right w:type="dxa" w:w="100"/>
            </w:tcMar>
            <w:vAlign w:val="center"/>
          </w:tcPr>
          <w:p>
            <w:r>
              <w:rPr>
                <w:b w:val="false"/>
                <w:bCs w:val="false"/>
                <w:color w:val="1F1F1F"/>
                <w:sz w:val="18"/>
                <w:szCs w:val="18"/>
              </w:rPr>
              <w:t xml:space="preserve">4,996</w:t>
            </w:r>
          </w:p>
        </w:tc>
      </w:tr>
      <w:tr>
        <w:tc>
          <w:tcPr>
            <w:tcW w:type="dxa" w:w="4600"/>
            <w:shd w:fill="F2F2F2" w:val="clear"/>
            <w:tcMar>
              <w:top w:type="dxa" w:w="80"/>
              <w:left w:type="dxa" w:w="100"/>
              <w:bottom w:type="dxa" w:w="80"/>
              <w:right w:type="dxa" w:w="100"/>
            </w:tcMar>
            <w:vAlign w:val="center"/>
          </w:tcPr>
          <w:p>
            <w:r>
              <w:rPr>
                <w:b w:val="false"/>
                <w:bCs w:val="false"/>
                <w:color w:val="1F1F1F"/>
                <w:sz w:val="18"/>
                <w:szCs w:val="18"/>
              </w:rPr>
              <w:t xml:space="preserve">Average house value</w:t>
            </w:r>
          </w:p>
        </w:tc>
        <w:tc>
          <w:tcPr>
            <w:tcW w:type="dxa" w:w="4400"/>
            <w:shd w:fill="F2F2F2" w:val="clear"/>
            <w:tcMar>
              <w:top w:type="dxa" w:w="80"/>
              <w:left w:type="dxa" w:w="100"/>
              <w:bottom w:type="dxa" w:w="80"/>
              <w:right w:type="dxa" w:w="100"/>
            </w:tcMar>
            <w:vAlign w:val="center"/>
          </w:tcPr>
          <w:p>
            <w:r>
              <w:rPr>
                <w:b w:val="false"/>
                <w:bCs w:val="false"/>
                <w:color w:val="1F1F1F"/>
                <w:sz w:val="18"/>
                <w:szCs w:val="18"/>
              </w:rPr>
              <w:t xml:space="preserve">$563,216</w:t>
            </w:r>
          </w:p>
        </w:tc>
      </w:tr>
      <w:tr>
        <w:tc>
          <w:tcPr>
            <w:tcW w:type="dxa" w:w="4600"/>
            <w:tcMar>
              <w:top w:type="dxa" w:w="80"/>
              <w:left w:type="dxa" w:w="100"/>
              <w:bottom w:type="dxa" w:w="80"/>
              <w:right w:type="dxa" w:w="100"/>
            </w:tcMar>
            <w:vAlign w:val="center"/>
          </w:tcPr>
          <w:p>
            <w:r>
              <w:rPr>
                <w:b w:val="false"/>
                <w:bCs w:val="false"/>
                <w:color w:val="1F1F1F"/>
                <w:sz w:val="18"/>
                <w:szCs w:val="18"/>
              </w:rPr>
              <w:t xml:space="preserve">Median house value</w:t>
            </w:r>
          </w:p>
        </w:tc>
        <w:tc>
          <w:tcPr>
            <w:tcW w:type="dxa" w:w="4400"/>
            <w:tcMar>
              <w:top w:type="dxa" w:w="80"/>
              <w:left w:type="dxa" w:w="100"/>
              <w:bottom w:type="dxa" w:w="80"/>
              <w:right w:type="dxa" w:w="100"/>
            </w:tcMar>
            <w:vAlign w:val="center"/>
          </w:tcPr>
          <w:p>
            <w:r>
              <w:rPr>
                <w:b w:val="false"/>
                <w:bCs w:val="false"/>
                <w:color w:val="1F1F1F"/>
                <w:sz w:val="18"/>
                <w:szCs w:val="18"/>
              </w:rPr>
              <w:t xml:space="preserve">$440,000</w:t>
            </w:r>
          </w:p>
        </w:tc>
      </w:tr>
      <w:tr>
        <w:tc>
          <w:tcPr>
            <w:tcW w:type="dxa" w:w="4600"/>
            <w:shd w:fill="F2F2F2" w:val="clear"/>
            <w:tcMar>
              <w:top w:type="dxa" w:w="80"/>
              <w:left w:type="dxa" w:w="100"/>
              <w:bottom w:type="dxa" w:w="80"/>
              <w:right w:type="dxa" w:w="100"/>
            </w:tcMar>
            <w:vAlign w:val="center"/>
          </w:tcPr>
          <w:p>
            <w:r>
              <w:rPr>
                <w:b w:val="false"/>
                <w:bCs w:val="false"/>
                <w:color w:val="1F1F1F"/>
                <w:sz w:val="18"/>
                <w:szCs w:val="18"/>
              </w:rPr>
              <w:t xml:space="preserve">Rental listings tracked</w:t>
            </w:r>
          </w:p>
        </w:tc>
        <w:tc>
          <w:tcPr>
            <w:tcW w:type="dxa" w:w="4400"/>
            <w:shd w:fill="F2F2F2" w:val="clear"/>
            <w:tcMar>
              <w:top w:type="dxa" w:w="80"/>
              <w:left w:type="dxa" w:w="100"/>
              <w:bottom w:type="dxa" w:w="80"/>
              <w:right w:type="dxa" w:w="100"/>
            </w:tcMar>
            <w:vAlign w:val="center"/>
          </w:tcPr>
          <w:p>
            <w:r>
              <w:rPr>
                <w:b w:val="false"/>
                <w:bCs w:val="false"/>
                <w:color w:val="1F1F1F"/>
                <w:sz w:val="18"/>
                <w:szCs w:val="18"/>
              </w:rPr>
              <w:t xml:space="preserve">14,719</w:t>
            </w:r>
          </w:p>
        </w:tc>
      </w:tr>
      <w:tr>
        <w:tc>
          <w:tcPr>
            <w:tcW w:type="dxa" w:w="4600"/>
            <w:tcMar>
              <w:top w:type="dxa" w:w="80"/>
              <w:left w:type="dxa" w:w="100"/>
              <w:bottom w:type="dxa" w:w="80"/>
              <w:right w:type="dxa" w:w="100"/>
            </w:tcMar>
            <w:vAlign w:val="center"/>
          </w:tcPr>
          <w:p>
            <w:r>
              <w:rPr>
                <w:b w:val="false"/>
                <w:bCs w:val="false"/>
                <w:color w:val="1F1F1F"/>
                <w:sz w:val="18"/>
                <w:szCs w:val="18"/>
              </w:rPr>
              <w:t xml:space="preserve">Average weekly rental</w:t>
            </w:r>
          </w:p>
        </w:tc>
        <w:tc>
          <w:tcPr>
            <w:tcW w:type="dxa" w:w="4400"/>
            <w:tcMar>
              <w:top w:type="dxa" w:w="80"/>
              <w:left w:type="dxa" w:w="100"/>
              <w:bottom w:type="dxa" w:w="80"/>
              <w:right w:type="dxa" w:w="100"/>
            </w:tcMar>
            <w:vAlign w:val="center"/>
          </w:tcPr>
          <w:p>
            <w:r>
              <w:rPr>
                <w:b w:val="false"/>
                <w:bCs w:val="false"/>
                <w:color w:val="1F1F1F"/>
                <w:sz w:val="18"/>
                <w:szCs w:val="18"/>
              </w:rPr>
              <w:t xml:space="preserve">$393</w:t>
            </w:r>
          </w:p>
        </w:tc>
      </w:tr>
      <w:tr>
        <w:tc>
          <w:tcPr>
            <w:tcW w:type="dxa" w:w="4600"/>
            <w:shd w:fill="F2F2F2" w:val="clear"/>
            <w:tcMar>
              <w:top w:type="dxa" w:w="80"/>
              <w:left w:type="dxa" w:w="100"/>
              <w:bottom w:type="dxa" w:w="80"/>
              <w:right w:type="dxa" w:w="100"/>
            </w:tcMar>
            <w:vAlign w:val="center"/>
          </w:tcPr>
          <w:p>
            <w:r>
              <w:rPr>
                <w:b w:val="false"/>
                <w:bCs w:val="false"/>
                <w:color w:val="1F1F1F"/>
                <w:sz w:val="18"/>
                <w:szCs w:val="18"/>
              </w:rPr>
              <w:t xml:space="preserve">Distinct schools</w:t>
            </w:r>
          </w:p>
        </w:tc>
        <w:tc>
          <w:tcPr>
            <w:tcW w:type="dxa" w:w="4400"/>
            <w:shd w:fill="F2F2F2" w:val="clear"/>
            <w:tcMar>
              <w:top w:type="dxa" w:w="80"/>
              <w:left w:type="dxa" w:w="100"/>
              <w:bottom w:type="dxa" w:w="80"/>
              <w:right w:type="dxa" w:w="100"/>
            </w:tcMar>
            <w:vAlign w:val="center"/>
          </w:tcPr>
          <w:p>
            <w:r>
              <w:rPr>
                <w:b w:val="false"/>
                <w:bCs w:val="false"/>
                <w:color w:val="1F1F1F"/>
                <w:sz w:val="18"/>
                <w:szCs w:val="18"/>
              </w:rPr>
              <w:t xml:space="preserve">6,443 (6,573 presence records)</w:t>
            </w:r>
          </w:p>
        </w:tc>
      </w:tr>
      <w:tr>
        <w:tc>
          <w:tcPr>
            <w:tcW w:type="dxa" w:w="4600"/>
            <w:tcMar>
              <w:top w:type="dxa" w:w="80"/>
              <w:left w:type="dxa" w:w="100"/>
              <w:bottom w:type="dxa" w:w="80"/>
              <w:right w:type="dxa" w:w="100"/>
            </w:tcMar>
            <w:vAlign w:val="center"/>
          </w:tcPr>
          <w:p>
            <w:r>
              <w:rPr>
                <w:b w:val="false"/>
                <w:bCs w:val="false"/>
                <w:color w:val="1F1F1F"/>
                <w:sz w:val="18"/>
                <w:szCs w:val="18"/>
              </w:rPr>
              <w:t xml:space="preserve">Distinct transport stops</w:t>
            </w:r>
          </w:p>
        </w:tc>
        <w:tc>
          <w:tcPr>
            <w:tcW w:type="dxa" w:w="4400"/>
            <w:tcMar>
              <w:top w:type="dxa" w:w="80"/>
              <w:left w:type="dxa" w:w="100"/>
              <w:bottom w:type="dxa" w:w="80"/>
              <w:right w:type="dxa" w:w="100"/>
            </w:tcMar>
            <w:vAlign w:val="center"/>
          </w:tcPr>
          <w:p>
            <w:r>
              <w:rPr>
                <w:b w:val="false"/>
                <w:bCs w:val="false"/>
                <w:color w:val="1F1F1F"/>
                <w:sz w:val="18"/>
                <w:szCs w:val="18"/>
              </w:rPr>
              <w:t xml:space="preserve">9,689 (12,060 stop records)</w:t>
            </w:r>
          </w:p>
        </w:tc>
      </w:tr>
      <w:tr>
        <w:tc>
          <w:tcPr>
            <w:tcW w:type="dxa" w:w="4600"/>
            <w:shd w:fill="F2F2F2" w:val="clear"/>
            <w:tcMar>
              <w:top w:type="dxa" w:w="80"/>
              <w:left w:type="dxa" w:w="100"/>
              <w:bottom w:type="dxa" w:w="80"/>
              <w:right w:type="dxa" w:w="100"/>
            </w:tcMar>
            <w:vAlign w:val="center"/>
          </w:tcPr>
          <w:p>
            <w:r>
              <w:rPr>
                <w:b w:val="false"/>
                <w:bCs w:val="false"/>
                <w:color w:val="1F1F1F"/>
                <w:sz w:val="18"/>
                <w:szCs w:val="18"/>
              </w:rPr>
              <w:t xml:space="preserve">Total recorded crime incidents</w:t>
            </w:r>
          </w:p>
        </w:tc>
        <w:tc>
          <w:tcPr>
            <w:tcW w:type="dxa" w:w="4400"/>
            <w:shd w:fill="F2F2F2" w:val="clear"/>
            <w:tcMar>
              <w:top w:type="dxa" w:w="80"/>
              <w:left w:type="dxa" w:w="100"/>
              <w:bottom w:type="dxa" w:w="80"/>
              <w:right w:type="dxa" w:w="100"/>
            </w:tcMar>
            <w:vAlign w:val="center"/>
          </w:tcPr>
          <w:p>
            <w:r>
              <w:rPr>
                <w:b w:val="false"/>
                <w:bCs w:val="false"/>
                <w:color w:val="1F1F1F"/>
                <w:sz w:val="18"/>
                <w:szCs w:val="18"/>
              </w:rPr>
              <w:t xml:space="preserve">10,900,021</w:t>
            </w:r>
          </w:p>
        </w:tc>
      </w:tr>
      <w:tr>
        <w:tc>
          <w:tcPr>
            <w:tcW w:type="dxa" w:w="4600"/>
            <w:tcMar>
              <w:top w:type="dxa" w:w="80"/>
              <w:left w:type="dxa" w:w="100"/>
              <w:bottom w:type="dxa" w:w="80"/>
              <w:right w:type="dxa" w:w="100"/>
            </w:tcMar>
            <w:vAlign w:val="center"/>
          </w:tcPr>
          <w:p>
            <w:r>
              <w:rPr>
                <w:b w:val="false"/>
                <w:bCs w:val="false"/>
                <w:color w:val="1F1F1F"/>
                <w:sz w:val="18"/>
                <w:szCs w:val="18"/>
              </w:rPr>
              <w:t xml:space="preserve">Distinct offence categories/subcategories</w:t>
            </w:r>
          </w:p>
        </w:tc>
        <w:tc>
          <w:tcPr>
            <w:tcW w:type="dxa" w:w="4400"/>
            <w:tcMar>
              <w:top w:type="dxa" w:w="80"/>
              <w:left w:type="dxa" w:w="100"/>
              <w:bottom w:type="dxa" w:w="80"/>
              <w:right w:type="dxa" w:w="100"/>
            </w:tcMar>
            <w:vAlign w:val="center"/>
          </w:tcPr>
          <w:p>
            <w:r>
              <w:rPr>
                <w:b w:val="false"/>
                <w:bCs w:val="false"/>
                <w:color w:val="1F1F1F"/>
                <w:sz w:val="18"/>
                <w:szCs w:val="18"/>
              </w:rPr>
              <w:t xml:space="preserve">112</w:t>
            </w:r>
          </w:p>
        </w:tc>
      </w:tr>
    </w:tbl>
    <w:p>
      <w:pPr>
        <w:pBdr>
          <w:top w:val="single" w:color="2E74B5" w:sz="4"/>
          <w:bottom w:val="single" w:color="2E74B5" w:sz="4"/>
          <w:left w:val="single" w:color="2E74B5" w:sz="4"/>
          <w:right w:val="single" w:color="2E74B5" w:sz="4"/>
        </w:pBdr>
        <w:shd w:fill="DCE6F1" w:val="clear"/>
        <w:spacing w:after="200" w:before="120"/>
        <w:ind w:left="200" w:right="200"/>
      </w:pPr>
      <w:r>
        <w:rPr>
          <w:b/>
          <w:bCs/>
          <w:color w:val="1F3864"/>
          <w:sz w:val="19"/>
          <w:szCs w:val="19"/>
        </w:rPr>
        <w:t xml:space="preserve">How to read these numbers: </w:t>
      </w:r>
      <w:r>
        <w:rPr>
          <w:color w:val="1F3864"/>
          <w:sz w:val="19"/>
          <w:szCs w:val="19"/>
        </w:rPr>
        <w:t xml:space="preserve">Figures throughout this document are portfolio-wide (all suburbs/states combined). Individual report pages let you slice by State/City, so a filtered view — e.g. Victoria only shows $700,716 average / $567,500 median house value on 719 listings — will legitimately differ from the numbers below. Compare like-for-like filter context before treating two numbers as inconsistent.</w:t>
      </w:r>
    </w:p>
    <w:p>
      <w:pPr>
        <w:pStyle w:val="Heading1"/>
        <w:spacing w:after="180" w:before="380"/>
      </w:pPr>
      <w:r>
        <w:t xml:space="preserve">2. House Value Insights</w:t>
      </w:r>
    </w:p>
    <w:p>
      <w:pPr>
        <w:spacing w:after="150"/>
      </w:pPr>
      <w:r>
        <w:rPr>
          <w:b w:val="false"/>
          <w:bCs w:val="false"/>
          <w:i w:val="false"/>
          <w:iCs w:val="false"/>
        </w:rPr>
        <w:t xml:space="preserve">The average house value ($563K) sits well above the median ($440K) — a classic right-skewed distribution, confirmed by the price-band breakdown: listings cluster heavily in the lower-to-mid bands and taper off sharply at the top 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rPr>
          <w:tblHeader/>
        </w:trPr>
        <w:tc>
          <w:tcPr>
            <w:tcW w:type="dxa" w:w="3400"/>
            <w:shd w:fill="1F3864" w:val="clear"/>
            <w:tcMar>
              <w:top w:type="dxa" w:w="80"/>
              <w:left w:type="dxa" w:w="100"/>
              <w:bottom w:type="dxa" w:w="80"/>
              <w:right w:type="dxa" w:w="100"/>
            </w:tcMar>
            <w:vAlign w:val="center"/>
          </w:tcPr>
          <w:p>
            <w:r>
              <w:rPr>
                <w:b/>
                <w:bCs/>
                <w:color w:val="FFFFFF"/>
                <w:sz w:val="18"/>
                <w:szCs w:val="18"/>
              </w:rPr>
              <w:t xml:space="preserve">Price band</w:t>
            </w:r>
          </w:p>
        </w:tc>
        <w:tc>
          <w:tcPr>
            <w:tcW w:type="dxa" w:w="2800"/>
            <w:shd w:fill="1F3864" w:val="clear"/>
            <w:tcMar>
              <w:top w:type="dxa" w:w="80"/>
              <w:left w:type="dxa" w:w="100"/>
              <w:bottom w:type="dxa" w:w="80"/>
              <w:right w:type="dxa" w:w="100"/>
            </w:tcMar>
            <w:vAlign w:val="center"/>
          </w:tcPr>
          <w:p>
            <w:r>
              <w:rPr>
                <w:b/>
                <w:bCs/>
                <w:color w:val="FFFFFF"/>
                <w:sz w:val="18"/>
                <w:szCs w:val="18"/>
              </w:rPr>
              <w:t xml:space="preserve">Listings</w:t>
            </w:r>
          </w:p>
        </w:tc>
        <w:tc>
          <w:tcPr>
            <w:tcW w:type="dxa" w:w="2800"/>
            <w:shd w:fill="1F3864" w:val="clear"/>
            <w:tcMar>
              <w:top w:type="dxa" w:w="80"/>
              <w:left w:type="dxa" w:w="100"/>
              <w:bottom w:type="dxa" w:w="80"/>
              <w:right w:type="dxa" w:w="100"/>
            </w:tcMar>
            <w:vAlign w:val="center"/>
          </w:tcPr>
          <w:p>
            <w:r>
              <w:rPr>
                <w:b/>
                <w:bCs/>
                <w:color w:val="FFFFFF"/>
                <w:sz w:val="18"/>
                <w:szCs w:val="18"/>
              </w:rPr>
              <w:t xml:space="preserve">Share</w:t>
            </w:r>
          </w:p>
        </w:tc>
      </w:tr>
      <w:tr>
        <w:tc>
          <w:tcPr>
            <w:tcW w:type="dxa" w:w="3400"/>
            <w:tcMar>
              <w:top w:type="dxa" w:w="80"/>
              <w:left w:type="dxa" w:w="100"/>
              <w:bottom w:type="dxa" w:w="80"/>
              <w:right w:type="dxa" w:w="100"/>
            </w:tcMar>
            <w:vAlign w:val="center"/>
          </w:tcPr>
          <w:p>
            <w:r>
              <w:rPr>
                <w:b w:val="false"/>
                <w:bCs w:val="false"/>
                <w:color w:val="1F1F1F"/>
                <w:sz w:val="18"/>
                <w:szCs w:val="18"/>
              </w:rPr>
              <w:t xml:space="preserve">Under $300K</w:t>
            </w:r>
          </w:p>
        </w:tc>
        <w:tc>
          <w:tcPr>
            <w:tcW w:type="dxa" w:w="2800"/>
            <w:tcMar>
              <w:top w:type="dxa" w:w="80"/>
              <w:left w:type="dxa" w:w="100"/>
              <w:bottom w:type="dxa" w:w="80"/>
              <w:right w:type="dxa" w:w="100"/>
            </w:tcMar>
            <w:vAlign w:val="center"/>
          </w:tcPr>
          <w:p>
            <w:r>
              <w:rPr>
                <w:b w:val="false"/>
                <w:bCs w:val="false"/>
                <w:color w:val="1F1F1F"/>
                <w:sz w:val="18"/>
                <w:szCs w:val="18"/>
              </w:rPr>
              <w:t xml:space="preserve">841</w:t>
            </w:r>
          </w:p>
        </w:tc>
        <w:tc>
          <w:tcPr>
            <w:tcW w:type="dxa" w:w="2800"/>
            <w:tcMar>
              <w:top w:type="dxa" w:w="80"/>
              <w:left w:type="dxa" w:w="100"/>
              <w:bottom w:type="dxa" w:w="80"/>
              <w:right w:type="dxa" w:w="100"/>
            </w:tcMar>
            <w:vAlign w:val="center"/>
          </w:tcPr>
          <w:p>
            <w:r>
              <w:rPr>
                <w:b w:val="false"/>
                <w:bCs w:val="false"/>
                <w:color w:val="1F1F1F"/>
                <w:sz w:val="18"/>
                <w:szCs w:val="18"/>
              </w:rPr>
              <w:t xml:space="preserve">17%</w:t>
            </w:r>
          </w:p>
        </w:tc>
      </w:tr>
      <w:tr>
        <w:tc>
          <w:tcPr>
            <w:tcW w:type="dxa" w:w="3400"/>
            <w:shd w:fill="F2F2F2" w:val="clear"/>
            <w:tcMar>
              <w:top w:type="dxa" w:w="80"/>
              <w:left w:type="dxa" w:w="100"/>
              <w:bottom w:type="dxa" w:w="80"/>
              <w:right w:type="dxa" w:w="100"/>
            </w:tcMar>
            <w:vAlign w:val="center"/>
          </w:tcPr>
          <w:p>
            <w:r>
              <w:rPr>
                <w:b w:val="false"/>
                <w:bCs w:val="false"/>
                <w:color w:val="1F1F1F"/>
                <w:sz w:val="18"/>
                <w:szCs w:val="18"/>
              </w:rPr>
              <w:t xml:space="preserve">$300K – $450K</w:t>
            </w:r>
          </w:p>
        </w:tc>
        <w:tc>
          <w:tcPr>
            <w:tcW w:type="dxa" w:w="2800"/>
            <w:shd w:fill="F2F2F2" w:val="clear"/>
            <w:tcMar>
              <w:top w:type="dxa" w:w="80"/>
              <w:left w:type="dxa" w:w="100"/>
              <w:bottom w:type="dxa" w:w="80"/>
              <w:right w:type="dxa" w:w="100"/>
            </w:tcMar>
            <w:vAlign w:val="center"/>
          </w:tcPr>
          <w:p>
            <w:r>
              <w:rPr>
                <w:b w:val="false"/>
                <w:bCs w:val="false"/>
                <w:color w:val="1F1F1F"/>
                <w:sz w:val="18"/>
                <w:szCs w:val="18"/>
              </w:rPr>
              <w:t xml:space="preserve">1,706</w:t>
            </w:r>
          </w:p>
        </w:tc>
        <w:tc>
          <w:tcPr>
            <w:tcW w:type="dxa" w:w="2800"/>
            <w:shd w:fill="F2F2F2" w:val="clear"/>
            <w:tcMar>
              <w:top w:type="dxa" w:w="80"/>
              <w:left w:type="dxa" w:w="100"/>
              <w:bottom w:type="dxa" w:w="80"/>
              <w:right w:type="dxa" w:w="100"/>
            </w:tcMar>
            <w:vAlign w:val="center"/>
          </w:tcPr>
          <w:p>
            <w:r>
              <w:rPr>
                <w:b w:val="false"/>
                <w:bCs w:val="false"/>
                <w:color w:val="1F1F1F"/>
                <w:sz w:val="18"/>
                <w:szCs w:val="18"/>
              </w:rPr>
              <w:t xml:space="preserve">34%</w:t>
            </w:r>
          </w:p>
        </w:tc>
      </w:tr>
      <w:tr>
        <w:tc>
          <w:tcPr>
            <w:tcW w:type="dxa" w:w="3400"/>
            <w:tcMar>
              <w:top w:type="dxa" w:w="80"/>
              <w:left w:type="dxa" w:w="100"/>
              <w:bottom w:type="dxa" w:w="80"/>
              <w:right w:type="dxa" w:w="100"/>
            </w:tcMar>
            <w:vAlign w:val="center"/>
          </w:tcPr>
          <w:p>
            <w:r>
              <w:rPr>
                <w:b w:val="false"/>
                <w:bCs w:val="false"/>
                <w:color w:val="1F1F1F"/>
                <w:sz w:val="18"/>
                <w:szCs w:val="18"/>
              </w:rPr>
              <w:t xml:space="preserve">$450K – $600K</w:t>
            </w:r>
          </w:p>
        </w:tc>
        <w:tc>
          <w:tcPr>
            <w:tcW w:type="dxa" w:w="2800"/>
            <w:tcMar>
              <w:top w:type="dxa" w:w="80"/>
              <w:left w:type="dxa" w:w="100"/>
              <w:bottom w:type="dxa" w:w="80"/>
              <w:right w:type="dxa" w:w="100"/>
            </w:tcMar>
            <w:vAlign w:val="center"/>
          </w:tcPr>
          <w:p>
            <w:r>
              <w:rPr>
                <w:b w:val="false"/>
                <w:bCs w:val="false"/>
                <w:color w:val="1F1F1F"/>
                <w:sz w:val="18"/>
                <w:szCs w:val="18"/>
              </w:rPr>
              <w:t xml:space="preserve">854</w:t>
            </w:r>
          </w:p>
        </w:tc>
        <w:tc>
          <w:tcPr>
            <w:tcW w:type="dxa" w:w="2800"/>
            <w:tcMar>
              <w:top w:type="dxa" w:w="80"/>
              <w:left w:type="dxa" w:w="100"/>
              <w:bottom w:type="dxa" w:w="80"/>
              <w:right w:type="dxa" w:w="100"/>
            </w:tcMar>
            <w:vAlign w:val="center"/>
          </w:tcPr>
          <w:p>
            <w:r>
              <w:rPr>
                <w:b w:val="false"/>
                <w:bCs w:val="false"/>
                <w:color w:val="1F1F1F"/>
                <w:sz w:val="18"/>
                <w:szCs w:val="18"/>
              </w:rPr>
              <w:t xml:space="preserve">17%</w:t>
            </w:r>
          </w:p>
        </w:tc>
      </w:tr>
      <w:tr>
        <w:tc>
          <w:tcPr>
            <w:tcW w:type="dxa" w:w="3400"/>
            <w:shd w:fill="F2F2F2" w:val="clear"/>
            <w:tcMar>
              <w:top w:type="dxa" w:w="80"/>
              <w:left w:type="dxa" w:w="100"/>
              <w:bottom w:type="dxa" w:w="80"/>
              <w:right w:type="dxa" w:w="100"/>
            </w:tcMar>
            <w:vAlign w:val="center"/>
          </w:tcPr>
          <w:p>
            <w:r>
              <w:rPr>
                <w:b w:val="false"/>
                <w:bCs w:val="false"/>
                <w:color w:val="1F1F1F"/>
                <w:sz w:val="18"/>
                <w:szCs w:val="18"/>
              </w:rPr>
              <w:t xml:space="preserve">$600K – $800K</w:t>
            </w:r>
          </w:p>
        </w:tc>
        <w:tc>
          <w:tcPr>
            <w:tcW w:type="dxa" w:w="2800"/>
            <w:shd w:fill="F2F2F2" w:val="clear"/>
            <w:tcMar>
              <w:top w:type="dxa" w:w="80"/>
              <w:left w:type="dxa" w:w="100"/>
              <w:bottom w:type="dxa" w:w="80"/>
              <w:right w:type="dxa" w:w="100"/>
            </w:tcMar>
            <w:vAlign w:val="center"/>
          </w:tcPr>
          <w:p>
            <w:r>
              <w:rPr>
                <w:b w:val="false"/>
                <w:bCs w:val="false"/>
                <w:color w:val="1F1F1F"/>
                <w:sz w:val="18"/>
                <w:szCs w:val="18"/>
              </w:rPr>
              <w:t xml:space="preserve">800</w:t>
            </w:r>
          </w:p>
        </w:tc>
        <w:tc>
          <w:tcPr>
            <w:tcW w:type="dxa" w:w="2800"/>
            <w:shd w:fill="F2F2F2" w:val="clear"/>
            <w:tcMar>
              <w:top w:type="dxa" w:w="80"/>
              <w:left w:type="dxa" w:w="100"/>
              <w:bottom w:type="dxa" w:w="80"/>
              <w:right w:type="dxa" w:w="100"/>
            </w:tcMar>
            <w:vAlign w:val="center"/>
          </w:tcPr>
          <w:p>
            <w:r>
              <w:rPr>
                <w:b w:val="false"/>
                <w:bCs w:val="false"/>
                <w:color w:val="1F1F1F"/>
                <w:sz w:val="18"/>
                <w:szCs w:val="18"/>
              </w:rPr>
              <w:t xml:space="preserve">16%</w:t>
            </w:r>
          </w:p>
        </w:tc>
      </w:tr>
      <w:tr>
        <w:tc>
          <w:tcPr>
            <w:tcW w:type="dxa" w:w="3400"/>
            <w:tcMar>
              <w:top w:type="dxa" w:w="80"/>
              <w:left w:type="dxa" w:w="100"/>
              <w:bottom w:type="dxa" w:w="80"/>
              <w:right w:type="dxa" w:w="100"/>
            </w:tcMar>
            <w:vAlign w:val="center"/>
          </w:tcPr>
          <w:p>
            <w:r>
              <w:rPr>
                <w:b w:val="false"/>
                <w:bCs w:val="false"/>
                <w:color w:val="1F1F1F"/>
                <w:sz w:val="18"/>
                <w:szCs w:val="18"/>
              </w:rPr>
              <w:t xml:space="preserve">$800K – $1.2M</w:t>
            </w:r>
          </w:p>
        </w:tc>
        <w:tc>
          <w:tcPr>
            <w:tcW w:type="dxa" w:w="2800"/>
            <w:tcMar>
              <w:top w:type="dxa" w:w="80"/>
              <w:left w:type="dxa" w:w="100"/>
              <w:bottom w:type="dxa" w:w="80"/>
              <w:right w:type="dxa" w:w="100"/>
            </w:tcMar>
            <w:vAlign w:val="center"/>
          </w:tcPr>
          <w:p>
            <w:r>
              <w:rPr>
                <w:b w:val="false"/>
                <w:bCs w:val="false"/>
                <w:color w:val="1F1F1F"/>
                <w:sz w:val="18"/>
                <w:szCs w:val="18"/>
              </w:rPr>
              <w:t xml:space="preserve">444</w:t>
            </w:r>
          </w:p>
        </w:tc>
        <w:tc>
          <w:tcPr>
            <w:tcW w:type="dxa" w:w="2800"/>
            <w:tcMar>
              <w:top w:type="dxa" w:w="80"/>
              <w:left w:type="dxa" w:w="100"/>
              <w:bottom w:type="dxa" w:w="80"/>
              <w:right w:type="dxa" w:w="100"/>
            </w:tcMar>
            <w:vAlign w:val="center"/>
          </w:tcPr>
          <w:p>
            <w:r>
              <w:rPr>
                <w:b w:val="false"/>
                <w:bCs w:val="false"/>
                <w:color w:val="1F1F1F"/>
                <w:sz w:val="18"/>
                <w:szCs w:val="18"/>
              </w:rPr>
              <w:t xml:space="preserve">9%</w:t>
            </w:r>
          </w:p>
        </w:tc>
      </w:tr>
      <w:tr>
        <w:tc>
          <w:tcPr>
            <w:tcW w:type="dxa" w:w="3400"/>
            <w:shd w:fill="F2F2F2" w:val="clear"/>
            <w:tcMar>
              <w:top w:type="dxa" w:w="80"/>
              <w:left w:type="dxa" w:w="100"/>
              <w:bottom w:type="dxa" w:w="80"/>
              <w:right w:type="dxa" w:w="100"/>
            </w:tcMar>
            <w:vAlign w:val="center"/>
          </w:tcPr>
          <w:p>
            <w:r>
              <w:rPr>
                <w:b w:val="false"/>
                <w:bCs w:val="false"/>
                <w:color w:val="1F1F1F"/>
                <w:sz w:val="18"/>
                <w:szCs w:val="18"/>
              </w:rPr>
              <w:t xml:space="preserve">$1.2M – $2M</w:t>
            </w:r>
          </w:p>
        </w:tc>
        <w:tc>
          <w:tcPr>
            <w:tcW w:type="dxa" w:w="2800"/>
            <w:shd w:fill="F2F2F2" w:val="clear"/>
            <w:tcMar>
              <w:top w:type="dxa" w:w="80"/>
              <w:left w:type="dxa" w:w="100"/>
              <w:bottom w:type="dxa" w:w="80"/>
              <w:right w:type="dxa" w:w="100"/>
            </w:tcMar>
            <w:vAlign w:val="center"/>
          </w:tcPr>
          <w:p>
            <w:r>
              <w:rPr>
                <w:b w:val="false"/>
                <w:bCs w:val="false"/>
                <w:color w:val="1F1F1F"/>
                <w:sz w:val="18"/>
                <w:szCs w:val="18"/>
              </w:rPr>
              <w:t xml:space="preserve">294</w:t>
            </w:r>
          </w:p>
        </w:tc>
        <w:tc>
          <w:tcPr>
            <w:tcW w:type="dxa" w:w="2800"/>
            <w:shd w:fill="F2F2F2" w:val="clear"/>
            <w:tcMar>
              <w:top w:type="dxa" w:w="80"/>
              <w:left w:type="dxa" w:w="100"/>
              <w:bottom w:type="dxa" w:w="80"/>
              <w:right w:type="dxa" w:w="100"/>
            </w:tcMar>
            <w:vAlign w:val="center"/>
          </w:tcPr>
          <w:p>
            <w:r>
              <w:rPr>
                <w:b w:val="false"/>
                <w:bCs w:val="false"/>
                <w:color w:val="1F1F1F"/>
                <w:sz w:val="18"/>
                <w:szCs w:val="18"/>
              </w:rPr>
              <w:t xml:space="preserve">6%</w:t>
            </w:r>
          </w:p>
        </w:tc>
      </w:tr>
      <w:tr>
        <w:tc>
          <w:tcPr>
            <w:tcW w:type="dxa" w:w="3400"/>
            <w:tcMar>
              <w:top w:type="dxa" w:w="80"/>
              <w:left w:type="dxa" w:w="100"/>
              <w:bottom w:type="dxa" w:w="80"/>
              <w:right w:type="dxa" w:w="100"/>
            </w:tcMar>
            <w:vAlign w:val="center"/>
          </w:tcPr>
          <w:p>
            <w:r>
              <w:rPr>
                <w:b w:val="false"/>
                <w:bCs w:val="false"/>
                <w:color w:val="1F1F1F"/>
                <w:sz w:val="18"/>
                <w:szCs w:val="18"/>
              </w:rPr>
              <w:t xml:space="preserve">Above $2M</w:t>
            </w:r>
          </w:p>
        </w:tc>
        <w:tc>
          <w:tcPr>
            <w:tcW w:type="dxa" w:w="2800"/>
            <w:tcMar>
              <w:top w:type="dxa" w:w="80"/>
              <w:left w:type="dxa" w:w="100"/>
              <w:bottom w:type="dxa" w:w="80"/>
              <w:right w:type="dxa" w:w="100"/>
            </w:tcMar>
            <w:vAlign w:val="center"/>
          </w:tcPr>
          <w:p>
            <w:r>
              <w:rPr>
                <w:b w:val="false"/>
                <w:bCs w:val="false"/>
                <w:color w:val="1F1F1F"/>
                <w:sz w:val="18"/>
                <w:szCs w:val="18"/>
              </w:rPr>
              <w:t xml:space="preserve">57</w:t>
            </w:r>
          </w:p>
        </w:tc>
        <w:tc>
          <w:tcPr>
            <w:tcW w:type="dxa" w:w="2800"/>
            <w:tcMar>
              <w:top w:type="dxa" w:w="80"/>
              <w:left w:type="dxa" w:w="100"/>
              <w:bottom w:type="dxa" w:w="80"/>
              <w:right w:type="dxa" w:w="100"/>
            </w:tcMar>
            <w:vAlign w:val="center"/>
          </w:tcPr>
          <w:p>
            <w:r>
              <w:rPr>
                <w:b w:val="false"/>
                <w:bCs w:val="false"/>
                <w:color w:val="1F1F1F"/>
                <w:sz w:val="18"/>
                <w:szCs w:val="18"/>
              </w:rPr>
              <w:t xml:space="preserve">1%</w:t>
            </w:r>
          </w:p>
        </w:tc>
      </w:tr>
    </w:tbl>
    <w:p>
      <w:pPr>
        <w:spacing w:after="150"/>
      </w:pPr>
      <w:r>
        <w:rPr>
          <w:b w:val="false"/>
          <w:bCs w:val="false"/>
          <w:i w:val="false"/>
          <w:iCs w:val="false"/>
        </w:rPr>
        <w:t xml:space="preserve">Nearly two-thirds of all listings (68%) fall under $600K, while only 7% exceed $1.2M — the top end of the market is a small but visible long tail rather than the norm.</w:t>
      </w:r>
    </w:p>
    <w:p>
      <w:pPr>
        <w:pStyle w:val="Heading2"/>
        <w:spacing w:after="140" w:before="260"/>
      </w:pPr>
      <w:r>
        <w:t xml:space="preserve">2.1 Highest-value cities</w:t>
      </w:r>
    </w:p>
    <w:p>
      <w:pPr>
        <w:pStyle w:val="ListParagraph"/>
        <w:numPr>
          <w:ilvl w:val="0"/>
          <w:numId w:val="2"/>
        </w:numPr>
        <w:spacing w:after="80"/>
      </w:pPr>
      <w:r>
        <w:t xml:space="preserve">Armadale reports the single highest average house value ($2.0M), but this is based on just one listing in the warehouse — an outlier, not a market trend.</w:t>
      </w:r>
    </w:p>
    <w:p>
      <w:pPr>
        <w:pStyle w:val="ListParagraph"/>
        <w:numPr>
          <w:ilvl w:val="0"/>
          <w:numId w:val="2"/>
        </w:numPr>
        <w:spacing w:after="80"/>
      </w:pPr>
      <w:r>
        <w:t xml:space="preserve">Among cities with meaningful listing volume, Mornington ($869.5K), Melbourne ($730.9K) and Wollongong ($698.9K) are the genuine top performers.</w:t>
      </w:r>
    </w:p>
    <w:p>
      <w:pPr>
        <w:pStyle w:val="Heading1"/>
        <w:spacing w:after="180" w:before="380"/>
      </w:pPr>
      <w:r>
        <w:t xml:space="preserve">3. Rental Value Insights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rPr>
          <w:tblHeader/>
        </w:trPr>
        <w:tc>
          <w:tcPr>
            <w:tcW w:type="dxa" w:w="3400"/>
            <w:shd w:fill="1F3864" w:val="clear"/>
            <w:tcMar>
              <w:top w:type="dxa" w:w="80"/>
              <w:left w:type="dxa" w:w="100"/>
              <w:bottom w:type="dxa" w:w="80"/>
              <w:right w:type="dxa" w:w="100"/>
            </w:tcMar>
            <w:vAlign w:val="center"/>
          </w:tcPr>
          <w:p>
            <w:r>
              <w:rPr>
                <w:b/>
                <w:bCs/>
                <w:color w:val="FFFFFF"/>
                <w:sz w:val="18"/>
                <w:szCs w:val="18"/>
              </w:rPr>
              <w:t xml:space="preserve">Weekly rent band</w:t>
            </w:r>
          </w:p>
        </w:tc>
        <w:tc>
          <w:tcPr>
            <w:tcW w:type="dxa" w:w="2800"/>
            <w:shd w:fill="1F3864" w:val="clear"/>
            <w:tcMar>
              <w:top w:type="dxa" w:w="80"/>
              <w:left w:type="dxa" w:w="100"/>
              <w:bottom w:type="dxa" w:w="80"/>
              <w:right w:type="dxa" w:w="100"/>
            </w:tcMar>
            <w:vAlign w:val="center"/>
          </w:tcPr>
          <w:p>
            <w:r>
              <w:rPr>
                <w:b/>
                <w:bCs/>
                <w:color w:val="FFFFFF"/>
                <w:sz w:val="18"/>
                <w:szCs w:val="18"/>
              </w:rPr>
              <w:t xml:space="preserve">Listings</w:t>
            </w:r>
          </w:p>
        </w:tc>
        <w:tc>
          <w:tcPr>
            <w:tcW w:type="dxa" w:w="2800"/>
            <w:shd w:fill="1F3864" w:val="clear"/>
            <w:tcMar>
              <w:top w:type="dxa" w:w="80"/>
              <w:left w:type="dxa" w:w="100"/>
              <w:bottom w:type="dxa" w:w="80"/>
              <w:right w:type="dxa" w:w="100"/>
            </w:tcMar>
            <w:vAlign w:val="center"/>
          </w:tcPr>
          <w:p>
            <w:r>
              <w:rPr>
                <w:b/>
                <w:bCs/>
                <w:color w:val="FFFFFF"/>
                <w:sz w:val="18"/>
                <w:szCs w:val="18"/>
              </w:rPr>
              <w:t xml:space="preserve">Share</w:t>
            </w:r>
          </w:p>
        </w:tc>
      </w:tr>
      <w:tr>
        <w:tc>
          <w:tcPr>
            <w:tcW w:type="dxa" w:w="3400"/>
            <w:tcMar>
              <w:top w:type="dxa" w:w="80"/>
              <w:left w:type="dxa" w:w="100"/>
              <w:bottom w:type="dxa" w:w="80"/>
              <w:right w:type="dxa" w:w="100"/>
            </w:tcMar>
            <w:vAlign w:val="center"/>
          </w:tcPr>
          <w:p>
            <w:r>
              <w:rPr>
                <w:b w:val="false"/>
                <w:bCs w:val="false"/>
                <w:color w:val="1F1F1F"/>
                <w:sz w:val="18"/>
                <w:szCs w:val="18"/>
              </w:rPr>
              <w:t xml:space="preserve">Under $250/wk</w:t>
            </w:r>
          </w:p>
        </w:tc>
        <w:tc>
          <w:tcPr>
            <w:tcW w:type="dxa" w:w="2800"/>
            <w:tcMar>
              <w:top w:type="dxa" w:w="80"/>
              <w:left w:type="dxa" w:w="100"/>
              <w:bottom w:type="dxa" w:w="80"/>
              <w:right w:type="dxa" w:w="100"/>
            </w:tcMar>
            <w:vAlign w:val="center"/>
          </w:tcPr>
          <w:p>
            <w:r>
              <w:rPr>
                <w:b w:val="false"/>
                <w:bCs w:val="false"/>
                <w:color w:val="1F1F1F"/>
                <w:sz w:val="18"/>
                <w:szCs w:val="18"/>
              </w:rPr>
              <w:t xml:space="preserve">2,063</w:t>
            </w:r>
          </w:p>
        </w:tc>
        <w:tc>
          <w:tcPr>
            <w:tcW w:type="dxa" w:w="2800"/>
            <w:tcMar>
              <w:top w:type="dxa" w:w="80"/>
              <w:left w:type="dxa" w:w="100"/>
              <w:bottom w:type="dxa" w:w="80"/>
              <w:right w:type="dxa" w:w="100"/>
            </w:tcMar>
            <w:vAlign w:val="center"/>
          </w:tcPr>
          <w:p>
            <w:r>
              <w:rPr>
                <w:b w:val="false"/>
                <w:bCs w:val="false"/>
                <w:color w:val="1F1F1F"/>
                <w:sz w:val="18"/>
                <w:szCs w:val="18"/>
              </w:rPr>
              <w:t xml:space="preserve">14%</w:t>
            </w:r>
          </w:p>
        </w:tc>
      </w:tr>
      <w:tr>
        <w:tc>
          <w:tcPr>
            <w:tcW w:type="dxa" w:w="3400"/>
            <w:shd w:fill="F2F2F2" w:val="clear"/>
            <w:tcMar>
              <w:top w:type="dxa" w:w="80"/>
              <w:left w:type="dxa" w:w="100"/>
              <w:bottom w:type="dxa" w:w="80"/>
              <w:right w:type="dxa" w:w="100"/>
            </w:tcMar>
            <w:vAlign w:val="center"/>
          </w:tcPr>
          <w:p>
            <w:r>
              <w:rPr>
                <w:b w:val="false"/>
                <w:bCs w:val="false"/>
                <w:color w:val="1F1F1F"/>
                <w:sz w:val="18"/>
                <w:szCs w:val="18"/>
              </w:rPr>
              <w:t xml:space="preserve">$250 – $350/wk</w:t>
            </w:r>
          </w:p>
        </w:tc>
        <w:tc>
          <w:tcPr>
            <w:tcW w:type="dxa" w:w="2800"/>
            <w:shd w:fill="F2F2F2" w:val="clear"/>
            <w:tcMar>
              <w:top w:type="dxa" w:w="80"/>
              <w:left w:type="dxa" w:w="100"/>
              <w:bottom w:type="dxa" w:w="80"/>
              <w:right w:type="dxa" w:w="100"/>
            </w:tcMar>
            <w:vAlign w:val="center"/>
          </w:tcPr>
          <w:p>
            <w:r>
              <w:rPr>
                <w:b w:val="false"/>
                <w:bCs w:val="false"/>
                <w:color w:val="1F1F1F"/>
                <w:sz w:val="18"/>
                <w:szCs w:val="18"/>
              </w:rPr>
              <w:t xml:space="preserve">4,983</w:t>
            </w:r>
          </w:p>
        </w:tc>
        <w:tc>
          <w:tcPr>
            <w:tcW w:type="dxa" w:w="2800"/>
            <w:shd w:fill="F2F2F2" w:val="clear"/>
            <w:tcMar>
              <w:top w:type="dxa" w:w="80"/>
              <w:left w:type="dxa" w:w="100"/>
              <w:bottom w:type="dxa" w:w="80"/>
              <w:right w:type="dxa" w:w="100"/>
            </w:tcMar>
            <w:vAlign w:val="center"/>
          </w:tcPr>
          <w:p>
            <w:r>
              <w:rPr>
                <w:b w:val="false"/>
                <w:bCs w:val="false"/>
                <w:color w:val="1F1F1F"/>
                <w:sz w:val="18"/>
                <w:szCs w:val="18"/>
              </w:rPr>
              <w:t xml:space="preserve">34%</w:t>
            </w:r>
          </w:p>
        </w:tc>
      </w:tr>
      <w:tr>
        <w:tc>
          <w:tcPr>
            <w:tcW w:type="dxa" w:w="3400"/>
            <w:tcMar>
              <w:top w:type="dxa" w:w="80"/>
              <w:left w:type="dxa" w:w="100"/>
              <w:bottom w:type="dxa" w:w="80"/>
              <w:right w:type="dxa" w:w="100"/>
            </w:tcMar>
            <w:vAlign w:val="center"/>
          </w:tcPr>
          <w:p>
            <w:r>
              <w:rPr>
                <w:b w:val="false"/>
                <w:bCs w:val="false"/>
                <w:color w:val="1F1F1F"/>
                <w:sz w:val="18"/>
                <w:szCs w:val="18"/>
              </w:rPr>
              <w:t xml:space="preserve">$350 – $450/wk</w:t>
            </w:r>
          </w:p>
        </w:tc>
        <w:tc>
          <w:tcPr>
            <w:tcW w:type="dxa" w:w="2800"/>
            <w:tcMar>
              <w:top w:type="dxa" w:w="80"/>
              <w:left w:type="dxa" w:w="100"/>
              <w:bottom w:type="dxa" w:w="80"/>
              <w:right w:type="dxa" w:w="100"/>
            </w:tcMar>
            <w:vAlign w:val="center"/>
          </w:tcPr>
          <w:p>
            <w:r>
              <w:rPr>
                <w:b w:val="false"/>
                <w:bCs w:val="false"/>
                <w:color w:val="1F1F1F"/>
                <w:sz w:val="18"/>
                <w:szCs w:val="18"/>
              </w:rPr>
              <w:t xml:space="preserve">3,934</w:t>
            </w:r>
          </w:p>
        </w:tc>
        <w:tc>
          <w:tcPr>
            <w:tcW w:type="dxa" w:w="2800"/>
            <w:tcMar>
              <w:top w:type="dxa" w:w="80"/>
              <w:left w:type="dxa" w:w="100"/>
              <w:bottom w:type="dxa" w:w="80"/>
              <w:right w:type="dxa" w:w="100"/>
            </w:tcMar>
            <w:vAlign w:val="center"/>
          </w:tcPr>
          <w:p>
            <w:r>
              <w:rPr>
                <w:b w:val="false"/>
                <w:bCs w:val="false"/>
                <w:color w:val="1F1F1F"/>
                <w:sz w:val="18"/>
                <w:szCs w:val="18"/>
              </w:rPr>
              <w:t xml:space="preserve">27%</w:t>
            </w:r>
          </w:p>
        </w:tc>
      </w:tr>
      <w:tr>
        <w:tc>
          <w:tcPr>
            <w:tcW w:type="dxa" w:w="3400"/>
            <w:shd w:fill="F2F2F2" w:val="clear"/>
            <w:tcMar>
              <w:top w:type="dxa" w:w="80"/>
              <w:left w:type="dxa" w:w="100"/>
              <w:bottom w:type="dxa" w:w="80"/>
              <w:right w:type="dxa" w:w="100"/>
            </w:tcMar>
            <w:vAlign w:val="center"/>
          </w:tcPr>
          <w:p>
            <w:r>
              <w:rPr>
                <w:b w:val="false"/>
                <w:bCs w:val="false"/>
                <w:color w:val="1F1F1F"/>
                <w:sz w:val="18"/>
                <w:szCs w:val="18"/>
              </w:rPr>
              <w:t xml:space="preserve">$450 – $600/wk</w:t>
            </w:r>
          </w:p>
        </w:tc>
        <w:tc>
          <w:tcPr>
            <w:tcW w:type="dxa" w:w="2800"/>
            <w:shd w:fill="F2F2F2" w:val="clear"/>
            <w:tcMar>
              <w:top w:type="dxa" w:w="80"/>
              <w:left w:type="dxa" w:w="100"/>
              <w:bottom w:type="dxa" w:w="80"/>
              <w:right w:type="dxa" w:w="100"/>
            </w:tcMar>
            <w:vAlign w:val="center"/>
          </w:tcPr>
          <w:p>
            <w:r>
              <w:rPr>
                <w:b w:val="false"/>
                <w:bCs w:val="false"/>
                <w:color w:val="1F1F1F"/>
                <w:sz w:val="18"/>
                <w:szCs w:val="18"/>
              </w:rPr>
              <w:t xml:space="preserve">2,343</w:t>
            </w:r>
          </w:p>
        </w:tc>
        <w:tc>
          <w:tcPr>
            <w:tcW w:type="dxa" w:w="2800"/>
            <w:shd w:fill="F2F2F2" w:val="clear"/>
            <w:tcMar>
              <w:top w:type="dxa" w:w="80"/>
              <w:left w:type="dxa" w:w="100"/>
              <w:bottom w:type="dxa" w:w="80"/>
              <w:right w:type="dxa" w:w="100"/>
            </w:tcMar>
            <w:vAlign w:val="center"/>
          </w:tcPr>
          <w:p>
            <w:r>
              <w:rPr>
                <w:b w:val="false"/>
                <w:bCs w:val="false"/>
                <w:color w:val="1F1F1F"/>
                <w:sz w:val="18"/>
                <w:szCs w:val="18"/>
              </w:rPr>
              <w:t xml:space="preserve">16%</w:t>
            </w:r>
          </w:p>
        </w:tc>
      </w:tr>
      <w:tr>
        <w:tc>
          <w:tcPr>
            <w:tcW w:type="dxa" w:w="3400"/>
            <w:tcMar>
              <w:top w:type="dxa" w:w="80"/>
              <w:left w:type="dxa" w:w="100"/>
              <w:bottom w:type="dxa" w:w="80"/>
              <w:right w:type="dxa" w:w="100"/>
            </w:tcMar>
            <w:vAlign w:val="center"/>
          </w:tcPr>
          <w:p>
            <w:r>
              <w:rPr>
                <w:b w:val="false"/>
                <w:bCs w:val="false"/>
                <w:color w:val="1F1F1F"/>
                <w:sz w:val="18"/>
                <w:szCs w:val="18"/>
              </w:rPr>
              <w:t xml:space="preserve">$600 – $900/wk</w:t>
            </w:r>
          </w:p>
        </w:tc>
        <w:tc>
          <w:tcPr>
            <w:tcW w:type="dxa" w:w="2800"/>
            <w:tcMar>
              <w:top w:type="dxa" w:w="80"/>
              <w:left w:type="dxa" w:w="100"/>
              <w:bottom w:type="dxa" w:w="80"/>
              <w:right w:type="dxa" w:w="100"/>
            </w:tcMar>
            <w:vAlign w:val="center"/>
          </w:tcPr>
          <w:p>
            <w:r>
              <w:rPr>
                <w:b w:val="false"/>
                <w:bCs w:val="false"/>
                <w:color w:val="1F1F1F"/>
                <w:sz w:val="18"/>
                <w:szCs w:val="18"/>
              </w:rPr>
              <w:t xml:space="preserve">1,054</w:t>
            </w:r>
          </w:p>
        </w:tc>
        <w:tc>
          <w:tcPr>
            <w:tcW w:type="dxa" w:w="2800"/>
            <w:tcMar>
              <w:top w:type="dxa" w:w="80"/>
              <w:left w:type="dxa" w:w="100"/>
              <w:bottom w:type="dxa" w:w="80"/>
              <w:right w:type="dxa" w:w="100"/>
            </w:tcMar>
            <w:vAlign w:val="center"/>
          </w:tcPr>
          <w:p>
            <w:r>
              <w:rPr>
                <w:b w:val="false"/>
                <w:bCs w:val="false"/>
                <w:color w:val="1F1F1F"/>
                <w:sz w:val="18"/>
                <w:szCs w:val="18"/>
              </w:rPr>
              <w:t xml:space="preserve">7%</w:t>
            </w:r>
          </w:p>
        </w:tc>
      </w:tr>
      <w:tr>
        <w:tc>
          <w:tcPr>
            <w:tcW w:type="dxa" w:w="3400"/>
            <w:shd w:fill="F2F2F2" w:val="clear"/>
            <w:tcMar>
              <w:top w:type="dxa" w:w="80"/>
              <w:left w:type="dxa" w:w="100"/>
              <w:bottom w:type="dxa" w:w="80"/>
              <w:right w:type="dxa" w:w="100"/>
            </w:tcMar>
            <w:vAlign w:val="center"/>
          </w:tcPr>
          <w:p>
            <w:r>
              <w:rPr>
                <w:b w:val="false"/>
                <w:bCs w:val="false"/>
                <w:color w:val="1F1F1F"/>
                <w:sz w:val="18"/>
                <w:szCs w:val="18"/>
              </w:rPr>
              <w:t xml:space="preserve">$900 – $1,500/wk</w:t>
            </w:r>
          </w:p>
        </w:tc>
        <w:tc>
          <w:tcPr>
            <w:tcW w:type="dxa" w:w="2800"/>
            <w:shd w:fill="F2F2F2" w:val="clear"/>
            <w:tcMar>
              <w:top w:type="dxa" w:w="80"/>
              <w:left w:type="dxa" w:w="100"/>
              <w:bottom w:type="dxa" w:w="80"/>
              <w:right w:type="dxa" w:w="100"/>
            </w:tcMar>
            <w:vAlign w:val="center"/>
          </w:tcPr>
          <w:p>
            <w:r>
              <w:rPr>
                <w:b w:val="false"/>
                <w:bCs w:val="false"/>
                <w:color w:val="1F1F1F"/>
                <w:sz w:val="18"/>
                <w:szCs w:val="18"/>
              </w:rPr>
              <w:t xml:space="preserve">305</w:t>
            </w:r>
          </w:p>
        </w:tc>
        <w:tc>
          <w:tcPr>
            <w:tcW w:type="dxa" w:w="2800"/>
            <w:shd w:fill="F2F2F2" w:val="clear"/>
            <w:tcMar>
              <w:top w:type="dxa" w:w="80"/>
              <w:left w:type="dxa" w:w="100"/>
              <w:bottom w:type="dxa" w:w="80"/>
              <w:right w:type="dxa" w:w="100"/>
            </w:tcMar>
            <w:vAlign w:val="center"/>
          </w:tcPr>
          <w:p>
            <w:r>
              <w:rPr>
                <w:b w:val="false"/>
                <w:bCs w:val="false"/>
                <w:color w:val="1F1F1F"/>
                <w:sz w:val="18"/>
                <w:szCs w:val="18"/>
              </w:rPr>
              <w:t xml:space="preserve">2%</w:t>
            </w:r>
          </w:p>
        </w:tc>
      </w:tr>
      <w:tr>
        <w:tc>
          <w:tcPr>
            <w:tcW w:type="dxa" w:w="3400"/>
            <w:tcMar>
              <w:top w:type="dxa" w:w="80"/>
              <w:left w:type="dxa" w:w="100"/>
              <w:bottom w:type="dxa" w:w="80"/>
              <w:right w:type="dxa" w:w="100"/>
            </w:tcMar>
            <w:vAlign w:val="center"/>
          </w:tcPr>
          <w:p>
            <w:r>
              <w:rPr>
                <w:b w:val="false"/>
                <w:bCs w:val="false"/>
                <w:color w:val="1F1F1F"/>
                <w:sz w:val="18"/>
                <w:szCs w:val="18"/>
              </w:rPr>
              <w:t xml:space="preserve">Above $1,500/wk</w:t>
            </w:r>
          </w:p>
        </w:tc>
        <w:tc>
          <w:tcPr>
            <w:tcW w:type="dxa" w:w="2800"/>
            <w:tcMar>
              <w:top w:type="dxa" w:w="80"/>
              <w:left w:type="dxa" w:w="100"/>
              <w:bottom w:type="dxa" w:w="80"/>
              <w:right w:type="dxa" w:w="100"/>
            </w:tcMar>
            <w:vAlign w:val="center"/>
          </w:tcPr>
          <w:p>
            <w:r>
              <w:rPr>
                <w:b w:val="false"/>
                <w:bCs w:val="false"/>
                <w:color w:val="1F1F1F"/>
                <w:sz w:val="18"/>
                <w:szCs w:val="18"/>
              </w:rPr>
              <w:t xml:space="preserve">37</w:t>
            </w:r>
          </w:p>
        </w:tc>
        <w:tc>
          <w:tcPr>
            <w:tcW w:type="dxa" w:w="2800"/>
            <w:tcMar>
              <w:top w:type="dxa" w:w="80"/>
              <w:left w:type="dxa" w:w="100"/>
              <w:bottom w:type="dxa" w:w="80"/>
              <w:right w:type="dxa" w:w="100"/>
            </w:tcMar>
            <w:vAlign w:val="center"/>
          </w:tcPr>
          <w:p>
            <w:r>
              <w:rPr>
                <w:b w:val="false"/>
                <w:bCs w:val="false"/>
                <w:color w:val="1F1F1F"/>
                <w:sz w:val="18"/>
                <w:szCs w:val="18"/>
              </w:rPr>
              <w:t xml:space="preserve">&lt;1%</w:t>
            </w:r>
          </w:p>
        </w:tc>
      </w:tr>
    </w:tbl>
    <w:p>
      <w:pPr>
        <w:spacing w:after="150"/>
      </w:pPr>
      <w:r>
        <w:rPr>
          <w:b w:val="false"/>
          <w:bCs w:val="false"/>
          <w:i w:val="false"/>
          <w:iCs w:val="false"/>
        </w:rPr>
        <w:t xml:space="preserve">The rental market shows the same right-skewed shape as house values: 61% of listings sit between $250–$450/wk, and only 2% exceed $900/wk.</w:t>
      </w:r>
    </w:p>
    <w:p>
      <w:pPr>
        <w:pStyle w:val="ListParagraph"/>
        <w:numPr>
          <w:ilvl w:val="0"/>
          <w:numId w:val="2"/>
        </w:numPr>
        <w:spacing w:after="80"/>
      </w:pPr>
      <w:r>
        <w:t xml:space="preserve">Armadale again tops the average-rent ranking ($691.5/wk), but on only 6 listings — a small sample, not a stable signal.</w:t>
      </w:r>
    </w:p>
    <w:p>
      <w:pPr>
        <w:pStyle w:val="ListParagraph"/>
        <w:numPr>
          <w:ilvl w:val="0"/>
          <w:numId w:val="2"/>
        </w:numPr>
        <w:spacing w:after="80"/>
      </w:pPr>
      <w:r>
        <w:t xml:space="preserve">Among higher-volume cities, Nowra ($550/wk), Wollongong ($459/wk) and Tweed Heads ($452/wk) lead.</w:t>
      </w:r>
    </w:p>
    <w:p>
      <w:pPr>
        <w:pStyle w:val="Heading1"/>
        <w:spacing w:after="180" w:before="380"/>
      </w:pPr>
      <w:r>
        <w:t xml:space="preserve">4. Schools &amp; Transport Insights</w:t>
      </w:r>
    </w:p>
    <w:p>
      <w:pPr>
        <w:pStyle w:val="Heading2"/>
        <w:spacing w:after="140" w:before="260"/>
      </w:pPr>
      <w:r>
        <w:t xml:space="preserve">4.1 Schools</w:t>
      </w:r>
    </w:p>
    <w:p>
      <w:pPr>
        <w:spacing w:after="150"/>
      </w:pPr>
      <w:r>
        <w:rPr>
          <w:b w:val="false"/>
          <w:bCs w:val="false"/>
          <w:i w:val="false"/>
          <w:iCs w:val="false"/>
        </w:rPr>
        <w:t xml:space="preserve">6,443 distinct schools are represented across 6,573 presence records, spread across every state in the warehouse, with Melbourne, Adelaide and Sydney showing the highest school counts by city.</w:t>
      </w:r>
    </w:p>
    <w:p>
      <w:pPr>
        <w:pStyle w:val="Heading2"/>
        <w:spacing w:after="140" w:before="260"/>
      </w:pPr>
      <w:r>
        <w:t xml:space="preserve">4.2 Transport</w:t>
      </w:r>
    </w:p>
    <w:p>
      <w:pPr>
        <w:pBdr>
          <w:top w:val="single" w:color="BF8F00" w:sz="4"/>
          <w:bottom w:val="single" w:color="BF8F00" w:sz="4"/>
          <w:left w:val="single" w:color="BF8F00" w:sz="4"/>
          <w:right w:val="single" w:color="BF8F00" w:sz="4"/>
        </w:pBdr>
        <w:shd w:fill="FFF2CC" w:val="clear"/>
        <w:spacing w:after="200" w:before="120"/>
        <w:ind w:left="200" w:right="200"/>
      </w:pPr>
      <w:r>
        <w:rPr>
          <w:b/>
          <w:bCs/>
          <w:color w:val="7F6000"/>
          <w:sz w:val="19"/>
          <w:szCs w:val="19"/>
        </w:rPr>
        <w:t xml:space="preserve">Scope note: </w:t>
      </w:r>
      <w:r>
        <w:rPr>
          <w:color w:val="7F6000"/>
          <w:sz w:val="19"/>
          <w:szCs w:val="19"/>
        </w:rPr>
        <w:t xml:space="preserve">Every one of the 12,060 transport stop records in the warehouse is tagged Mode = “train”. There is no bus, tram or ferry data in the current source extract, so the Transport page reports rail-stop coverage only, not all-mode public transport access.</w:t>
      </w:r>
    </w:p>
    <w:p>
      <w:pPr>
        <w:spacing w:after="150"/>
      </w:pPr>
      <w:r>
        <w:rPr>
          <w:b w:val="false"/>
          <w:bCs w:val="false"/>
          <w:i w:val="false"/>
          <w:iCs w:val="false"/>
        </w:rPr>
        <w:t xml:space="preserve">Transport-stop coverage is uneven across states: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rPr>
          <w:tblHeader/>
        </w:trPr>
        <w:tc>
          <w:tcPr>
            <w:tcW w:type="dxa" w:w="3400"/>
            <w:shd w:fill="1F3864" w:val="clear"/>
            <w:tcMar>
              <w:top w:type="dxa" w:w="80"/>
              <w:left w:type="dxa" w:w="100"/>
              <w:bottom w:type="dxa" w:w="80"/>
              <w:right w:type="dxa" w:w="100"/>
            </w:tcMar>
            <w:vAlign w:val="center"/>
          </w:tcPr>
          <w:p>
            <w:r>
              <w:rPr>
                <w:b/>
                <w:bCs/>
                <w:color w:val="FFFFFF"/>
                <w:sz w:val="18"/>
                <w:szCs w:val="18"/>
              </w:rPr>
              <w:t xml:space="preserve">State</w:t>
            </w:r>
          </w:p>
        </w:tc>
        <w:tc>
          <w:tcPr>
            <w:tcW w:type="dxa" w:w="2800"/>
            <w:shd w:fill="1F3864" w:val="clear"/>
            <w:tcMar>
              <w:top w:type="dxa" w:w="80"/>
              <w:left w:type="dxa" w:w="100"/>
              <w:bottom w:type="dxa" w:w="80"/>
              <w:right w:type="dxa" w:w="100"/>
            </w:tcMar>
            <w:vAlign w:val="center"/>
          </w:tcPr>
          <w:p>
            <w:r>
              <w:rPr>
                <w:b/>
                <w:bCs/>
                <w:color w:val="FFFFFF"/>
                <w:sz w:val="18"/>
                <w:szCs w:val="18"/>
              </w:rPr>
              <w:t xml:space="preserve">Stop records</w:t>
            </w:r>
          </w:p>
        </w:tc>
        <w:tc>
          <w:tcPr>
            <w:tcW w:type="dxa" w:w="2800"/>
            <w:shd w:fill="1F3864" w:val="clear"/>
            <w:tcMar>
              <w:top w:type="dxa" w:w="80"/>
              <w:left w:type="dxa" w:w="100"/>
              <w:bottom w:type="dxa" w:w="80"/>
              <w:right w:type="dxa" w:w="100"/>
            </w:tcMar>
            <w:vAlign w:val="center"/>
          </w:tcPr>
          <w:p>
            <w:r>
              <w:rPr>
                <w:b/>
                <w:bCs/>
                <w:color w:val="FFFFFF"/>
                <w:sz w:val="18"/>
                <w:szCs w:val="18"/>
              </w:rPr>
              <w:t xml:space="preserve">Distinct stops</w:t>
            </w:r>
          </w:p>
        </w:tc>
      </w:tr>
      <w:tr>
        <w:tc>
          <w:tcPr>
            <w:tcW w:type="dxa" w:w="3400"/>
            <w:tcMar>
              <w:top w:type="dxa" w:w="80"/>
              <w:left w:type="dxa" w:w="100"/>
              <w:bottom w:type="dxa" w:w="80"/>
              <w:right w:type="dxa" w:w="100"/>
            </w:tcMar>
            <w:vAlign w:val="center"/>
          </w:tcPr>
          <w:p>
            <w:r>
              <w:rPr>
                <w:b w:val="false"/>
                <w:bCs w:val="false"/>
                <w:color w:val="1F1F1F"/>
                <w:sz w:val="18"/>
                <w:szCs w:val="18"/>
              </w:rPr>
              <w:t xml:space="preserve">Victoria</w:t>
            </w:r>
          </w:p>
        </w:tc>
        <w:tc>
          <w:tcPr>
            <w:tcW w:type="dxa" w:w="2800"/>
            <w:tcMar>
              <w:top w:type="dxa" w:w="80"/>
              <w:left w:type="dxa" w:w="100"/>
              <w:bottom w:type="dxa" w:w="80"/>
              <w:right w:type="dxa" w:w="100"/>
            </w:tcMar>
            <w:vAlign w:val="center"/>
          </w:tcPr>
          <w:p>
            <w:r>
              <w:rPr>
                <w:b w:val="false"/>
                <w:bCs w:val="false"/>
                <w:color w:val="1F1F1F"/>
                <w:sz w:val="18"/>
                <w:szCs w:val="18"/>
              </w:rPr>
              <w:t xml:space="preserve">6,297</w:t>
            </w:r>
          </w:p>
        </w:tc>
        <w:tc>
          <w:tcPr>
            <w:tcW w:type="dxa" w:w="2800"/>
            <w:tcMar>
              <w:top w:type="dxa" w:w="80"/>
              <w:left w:type="dxa" w:w="100"/>
              <w:bottom w:type="dxa" w:w="80"/>
              <w:right w:type="dxa" w:w="100"/>
            </w:tcMar>
            <w:vAlign w:val="center"/>
          </w:tcPr>
          <w:p>
            <w:r>
              <w:rPr>
                <w:b w:val="false"/>
                <w:bCs w:val="false"/>
                <w:color w:val="1F1F1F"/>
                <w:sz w:val="18"/>
                <w:szCs w:val="18"/>
              </w:rPr>
              <w:t xml:space="preserve">5,495</w:t>
            </w:r>
          </w:p>
        </w:tc>
      </w:tr>
      <w:tr>
        <w:tc>
          <w:tcPr>
            <w:tcW w:type="dxa" w:w="3400"/>
            <w:shd w:fill="F2F2F2" w:val="clear"/>
            <w:tcMar>
              <w:top w:type="dxa" w:w="80"/>
              <w:left w:type="dxa" w:w="100"/>
              <w:bottom w:type="dxa" w:w="80"/>
              <w:right w:type="dxa" w:w="100"/>
            </w:tcMar>
            <w:vAlign w:val="center"/>
          </w:tcPr>
          <w:p>
            <w:r>
              <w:rPr>
                <w:b w:val="false"/>
                <w:bCs w:val="false"/>
                <w:color w:val="1F1F1F"/>
                <w:sz w:val="18"/>
                <w:szCs w:val="18"/>
              </w:rPr>
              <w:t xml:space="preserve">South Australia</w:t>
            </w:r>
          </w:p>
        </w:tc>
        <w:tc>
          <w:tcPr>
            <w:tcW w:type="dxa" w:w="2800"/>
            <w:shd w:fill="F2F2F2" w:val="clear"/>
            <w:tcMar>
              <w:top w:type="dxa" w:w="80"/>
              <w:left w:type="dxa" w:w="100"/>
              <w:bottom w:type="dxa" w:w="80"/>
              <w:right w:type="dxa" w:w="100"/>
            </w:tcMar>
            <w:vAlign w:val="center"/>
          </w:tcPr>
          <w:p>
            <w:r>
              <w:rPr>
                <w:b w:val="false"/>
                <w:bCs w:val="false"/>
                <w:color w:val="1F1F1F"/>
                <w:sz w:val="18"/>
                <w:szCs w:val="18"/>
              </w:rPr>
              <w:t xml:space="preserve">5,079</w:t>
            </w:r>
          </w:p>
        </w:tc>
        <w:tc>
          <w:tcPr>
            <w:tcW w:type="dxa" w:w="2800"/>
            <w:shd w:fill="F2F2F2" w:val="clear"/>
            <w:tcMar>
              <w:top w:type="dxa" w:w="80"/>
              <w:left w:type="dxa" w:w="100"/>
              <w:bottom w:type="dxa" w:w="80"/>
              <w:right w:type="dxa" w:w="100"/>
            </w:tcMar>
            <w:vAlign w:val="center"/>
          </w:tcPr>
          <w:p>
            <w:r>
              <w:rPr>
                <w:b w:val="false"/>
                <w:bCs w:val="false"/>
                <w:color w:val="1F1F1F"/>
                <w:sz w:val="18"/>
                <w:szCs w:val="18"/>
              </w:rPr>
              <w:t xml:space="preserve">3,619</w:t>
            </w:r>
          </w:p>
        </w:tc>
      </w:tr>
      <w:tr>
        <w:tc>
          <w:tcPr>
            <w:tcW w:type="dxa" w:w="3400"/>
            <w:tcMar>
              <w:top w:type="dxa" w:w="80"/>
              <w:left w:type="dxa" w:w="100"/>
              <w:bottom w:type="dxa" w:w="80"/>
              <w:right w:type="dxa" w:w="100"/>
            </w:tcMar>
            <w:vAlign w:val="center"/>
          </w:tcPr>
          <w:p>
            <w:r>
              <w:rPr>
                <w:b w:val="false"/>
                <w:bCs w:val="false"/>
                <w:color w:val="1F1F1F"/>
                <w:sz w:val="18"/>
                <w:szCs w:val="18"/>
              </w:rPr>
              <w:t xml:space="preserve">New South Wales</w:t>
            </w:r>
          </w:p>
        </w:tc>
        <w:tc>
          <w:tcPr>
            <w:tcW w:type="dxa" w:w="2800"/>
            <w:tcMar>
              <w:top w:type="dxa" w:w="80"/>
              <w:left w:type="dxa" w:w="100"/>
              <w:bottom w:type="dxa" w:w="80"/>
              <w:right w:type="dxa" w:w="100"/>
            </w:tcMar>
            <w:vAlign w:val="center"/>
          </w:tcPr>
          <w:p>
            <w:r>
              <w:rPr>
                <w:b w:val="false"/>
                <w:bCs w:val="false"/>
                <w:color w:val="1F1F1F"/>
                <w:sz w:val="18"/>
                <w:szCs w:val="18"/>
              </w:rPr>
              <w:t xml:space="preserve">613</w:t>
            </w:r>
          </w:p>
        </w:tc>
        <w:tc>
          <w:tcPr>
            <w:tcW w:type="dxa" w:w="2800"/>
            <w:tcMar>
              <w:top w:type="dxa" w:w="80"/>
              <w:left w:type="dxa" w:w="100"/>
              <w:bottom w:type="dxa" w:w="80"/>
              <w:right w:type="dxa" w:w="100"/>
            </w:tcMar>
            <w:vAlign w:val="center"/>
          </w:tcPr>
          <w:p>
            <w:r>
              <w:rPr>
                <w:b w:val="false"/>
                <w:bCs w:val="false"/>
                <w:color w:val="1F1F1F"/>
                <w:sz w:val="18"/>
                <w:szCs w:val="18"/>
              </w:rPr>
              <w:t xml:space="preserve">508</w:t>
            </w:r>
          </w:p>
        </w:tc>
      </w:tr>
    </w:tbl>
    <w:p>
      <w:pPr>
        <w:spacing w:after="150"/>
      </w:pPr>
      <w:r>
        <w:rPr>
          <w:b w:val="false"/>
          <w:bCs w:val="false"/>
          <w:i w:val="false"/>
          <w:iCs w:val="false"/>
        </w:rPr>
        <w:t xml:space="preserve">New South Wales — home to Sydney, Australia's largest city — shows far fewer transport-stop records than Victoria or South Australia. This is almost certainly a data-coverage gap in the source transport file rather than a genuine finding about NSW public transport access, and should be read as a limitation rather than an insight.</w:t>
      </w:r>
    </w:p>
    <w:p>
      <w:pPr>
        <w:pStyle w:val="Heading1"/>
        <w:spacing w:after="180" w:before="380"/>
      </w:pPr>
      <w:r>
        <w:t xml:space="preserve">5. Crime Insights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1F3864" w:val="clear"/>
            <w:tcMar>
              <w:top w:type="dxa" w:w="80"/>
              <w:left w:type="dxa" w:w="100"/>
              <w:bottom w:type="dxa" w:w="80"/>
              <w:right w:type="dxa" w:w="100"/>
            </w:tcMar>
            <w:vAlign w:val="center"/>
          </w:tcPr>
          <w:p>
            <w:r>
              <w:rPr>
                <w:b/>
                <w:bCs/>
                <w:color w:val="FFFFFF"/>
                <w:sz w:val="18"/>
                <w:szCs w:val="18"/>
              </w:rPr>
              <w:t xml:space="preserve">State</w:t>
            </w:r>
          </w:p>
        </w:tc>
        <w:tc>
          <w:tcPr>
            <w:tcW w:type="dxa" w:w="4400"/>
            <w:shd w:fill="1F3864" w:val="clear"/>
            <w:tcMar>
              <w:top w:type="dxa" w:w="80"/>
              <w:left w:type="dxa" w:w="100"/>
              <w:bottom w:type="dxa" w:w="80"/>
              <w:right w:type="dxa" w:w="100"/>
            </w:tcMar>
            <w:vAlign w:val="center"/>
          </w:tcPr>
          <w:p>
            <w:r>
              <w:rPr>
                <w:b/>
                <w:bCs/>
                <w:color w:val="FFFFFF"/>
                <w:sz w:val="18"/>
                <w:szCs w:val="18"/>
              </w:rPr>
              <w:t xml:space="preserve">Total recorded incidents</w:t>
            </w:r>
          </w:p>
        </w:tc>
      </w:tr>
      <w:tr>
        <w:tc>
          <w:tcPr>
            <w:tcW w:type="dxa" w:w="4600"/>
            <w:tcMar>
              <w:top w:type="dxa" w:w="80"/>
              <w:left w:type="dxa" w:w="100"/>
              <w:bottom w:type="dxa" w:w="80"/>
              <w:right w:type="dxa" w:w="100"/>
            </w:tcMar>
            <w:vAlign w:val="center"/>
          </w:tcPr>
          <w:p>
            <w:r>
              <w:rPr>
                <w:b w:val="false"/>
                <w:bCs w:val="false"/>
                <w:color w:val="1F1F1F"/>
                <w:sz w:val="18"/>
                <w:szCs w:val="18"/>
              </w:rPr>
              <w:t xml:space="preserve">New South Wales</w:t>
            </w:r>
          </w:p>
        </w:tc>
        <w:tc>
          <w:tcPr>
            <w:tcW w:type="dxa" w:w="4400"/>
            <w:tcMar>
              <w:top w:type="dxa" w:w="80"/>
              <w:left w:type="dxa" w:w="100"/>
              <w:bottom w:type="dxa" w:w="80"/>
              <w:right w:type="dxa" w:w="100"/>
            </w:tcMar>
            <w:vAlign w:val="center"/>
          </w:tcPr>
          <w:p>
            <w:r>
              <w:rPr>
                <w:b w:val="false"/>
                <w:bCs w:val="false"/>
                <w:color w:val="1F1F1F"/>
                <w:sz w:val="18"/>
                <w:szCs w:val="18"/>
              </w:rPr>
              <w:t xml:space="preserve">8,697,040</w:t>
            </w:r>
          </w:p>
        </w:tc>
      </w:tr>
      <w:tr>
        <w:tc>
          <w:tcPr>
            <w:tcW w:type="dxa" w:w="4600"/>
            <w:shd w:fill="F2F2F2" w:val="clear"/>
            <w:tcMar>
              <w:top w:type="dxa" w:w="80"/>
              <w:left w:type="dxa" w:w="100"/>
              <w:bottom w:type="dxa" w:w="80"/>
              <w:right w:type="dxa" w:w="100"/>
            </w:tcMar>
            <w:vAlign w:val="center"/>
          </w:tcPr>
          <w:p>
            <w:r>
              <w:rPr>
                <w:b w:val="false"/>
                <w:bCs w:val="false"/>
                <w:color w:val="1F1F1F"/>
                <w:sz w:val="18"/>
                <w:szCs w:val="18"/>
              </w:rPr>
              <w:t xml:space="preserve">Victoria</w:t>
            </w:r>
          </w:p>
        </w:tc>
        <w:tc>
          <w:tcPr>
            <w:tcW w:type="dxa" w:w="4400"/>
            <w:shd w:fill="F2F2F2" w:val="clear"/>
            <w:tcMar>
              <w:top w:type="dxa" w:w="80"/>
              <w:left w:type="dxa" w:w="100"/>
              <w:bottom w:type="dxa" w:w="80"/>
              <w:right w:type="dxa" w:w="100"/>
            </w:tcMar>
            <w:vAlign w:val="center"/>
          </w:tcPr>
          <w:p>
            <w:r>
              <w:rPr>
                <w:b w:val="false"/>
                <w:bCs w:val="false"/>
                <w:color w:val="1F1F1F"/>
                <w:sz w:val="18"/>
                <w:szCs w:val="18"/>
              </w:rPr>
              <w:t xml:space="preserve">1,651,763</w:t>
            </w:r>
          </w:p>
        </w:tc>
      </w:tr>
      <w:tr>
        <w:tc>
          <w:tcPr>
            <w:tcW w:type="dxa" w:w="4600"/>
            <w:tcMar>
              <w:top w:type="dxa" w:w="80"/>
              <w:left w:type="dxa" w:w="100"/>
              <w:bottom w:type="dxa" w:w="80"/>
              <w:right w:type="dxa" w:w="100"/>
            </w:tcMar>
            <w:vAlign w:val="center"/>
          </w:tcPr>
          <w:p>
            <w:r>
              <w:rPr>
                <w:b w:val="false"/>
                <w:bCs w:val="false"/>
                <w:color w:val="1F1F1F"/>
                <w:sz w:val="18"/>
                <w:szCs w:val="18"/>
              </w:rPr>
              <w:t xml:space="preserve">South Australia</w:t>
            </w:r>
          </w:p>
        </w:tc>
        <w:tc>
          <w:tcPr>
            <w:tcW w:type="dxa" w:w="4400"/>
            <w:tcMar>
              <w:top w:type="dxa" w:w="80"/>
              <w:left w:type="dxa" w:w="100"/>
              <w:bottom w:type="dxa" w:w="80"/>
              <w:right w:type="dxa" w:w="100"/>
            </w:tcMar>
            <w:vAlign w:val="center"/>
          </w:tcPr>
          <w:p>
            <w:r>
              <w:rPr>
                <w:b w:val="false"/>
                <w:bCs w:val="false"/>
                <w:color w:val="1F1F1F"/>
                <w:sz w:val="18"/>
                <w:szCs w:val="18"/>
              </w:rPr>
              <w:t xml:space="preserve">551,218</w:t>
            </w:r>
          </w:p>
        </w:tc>
      </w:tr>
    </w:tbl>
    <w:p>
      <w:pPr>
        <w:spacing w:after="150"/>
      </w:pPr>
      <w:r>
        <w:rPr>
          <w:b w:val="false"/>
          <w:bCs w:val="false"/>
          <w:i w:val="false"/>
          <w:iCs w:val="false"/>
        </w:rPr>
        <w:t xml:space="preserve">New South Wales accounts for roughly 80% of all recorded incidents, and Sydney alone (5.64M) reports more than four times the next-highest city, Melbourne (1.28M).</w:t>
      </w:r>
    </w:p>
    <w:p>
      <w:pPr>
        <w:pBdr>
          <w:top w:val="single" w:color="BF8F00" w:sz="4"/>
          <w:bottom w:val="single" w:color="BF8F00" w:sz="4"/>
          <w:left w:val="single" w:color="BF8F00" w:sz="4"/>
          <w:right w:val="single" w:color="BF8F00" w:sz="4"/>
        </w:pBdr>
        <w:shd w:fill="FFF2CC" w:val="clear"/>
        <w:spacing w:after="200" w:before="120"/>
        <w:ind w:left="200" w:right="200"/>
      </w:pPr>
      <w:r>
        <w:rPr>
          <w:b/>
          <w:bCs/>
          <w:color w:val="7F6000"/>
          <w:sz w:val="19"/>
          <w:szCs w:val="19"/>
        </w:rPr>
        <w:t xml:space="preserve">Interpretation caveat: </w:t>
      </w:r>
      <w:r>
        <w:rPr>
          <w:color w:val="7F6000"/>
          <w:sz w:val="19"/>
          <w:szCs w:val="19"/>
        </w:rPr>
        <w:t xml:space="preserve">The dashboard reports total recorded incidents, not a rate per capita or per suburb. NSW's very high total most likely reflects the completeness/granularity of the source crime dataset for that state, combined with Sydney's population size — not necessarily a higher crime rate. Cross-state or cross-city comparisons should be read with this caveat rather than as a like-for-like rate comparison.</w:t>
      </w:r>
    </w:p>
    <w:p>
      <w:pPr>
        <w:pStyle w:val="Heading2"/>
        <w:spacing w:after="140" w:before="260"/>
      </w:pPr>
      <w:r>
        <w:t xml:space="preserve">5.1 Top offence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rPr>
          <w:tblHeader/>
        </w:trPr>
        <w:tc>
          <w:tcPr>
            <w:tcW w:type="dxa" w:w="5800"/>
            <w:shd w:fill="1F3864" w:val="clear"/>
            <w:tcMar>
              <w:top w:type="dxa" w:w="80"/>
              <w:left w:type="dxa" w:w="100"/>
              <w:bottom w:type="dxa" w:w="80"/>
              <w:right w:type="dxa" w:w="100"/>
            </w:tcMar>
            <w:vAlign w:val="center"/>
          </w:tcPr>
          <w:p>
            <w:r>
              <w:rPr>
                <w:b/>
                <w:bCs/>
                <w:color w:val="FFFFFF"/>
                <w:sz w:val="18"/>
                <w:szCs w:val="18"/>
              </w:rPr>
              <w:t xml:space="preserve">Offence category</w:t>
            </w:r>
          </w:p>
        </w:tc>
        <w:tc>
          <w:tcPr>
            <w:tcW w:type="dxa" w:w="3200"/>
            <w:shd w:fill="1F3864" w:val="clear"/>
            <w:tcMar>
              <w:top w:type="dxa" w:w="80"/>
              <w:left w:type="dxa" w:w="100"/>
              <w:bottom w:type="dxa" w:w="80"/>
              <w:right w:type="dxa" w:w="100"/>
            </w:tcMar>
            <w:vAlign w:val="center"/>
          </w:tcPr>
          <w:p>
            <w:r>
              <w:rPr>
                <w:b/>
                <w:bCs/>
                <w:color w:val="FFFFFF"/>
                <w:sz w:val="18"/>
                <w:szCs w:val="18"/>
              </w:rPr>
              <w:t xml:space="preserve">Incidents</w:t>
            </w:r>
          </w:p>
        </w:tc>
      </w:tr>
      <w:tr>
        <w:tc>
          <w:tcPr>
            <w:tcW w:type="dxa" w:w="5800"/>
            <w:tcMar>
              <w:top w:type="dxa" w:w="80"/>
              <w:left w:type="dxa" w:w="100"/>
              <w:bottom w:type="dxa" w:w="80"/>
              <w:right w:type="dxa" w:w="100"/>
            </w:tcMar>
            <w:vAlign w:val="center"/>
          </w:tcPr>
          <w:p>
            <w:r>
              <w:rPr>
                <w:b w:val="false"/>
                <w:bCs w:val="false"/>
                <w:color w:val="1F1F1F"/>
                <w:sz w:val="18"/>
                <w:szCs w:val="18"/>
              </w:rPr>
              <w:t xml:space="preserve">Theft</w:t>
            </w:r>
          </w:p>
        </w:tc>
        <w:tc>
          <w:tcPr>
            <w:tcW w:type="dxa" w:w="3200"/>
            <w:tcMar>
              <w:top w:type="dxa" w:w="80"/>
              <w:left w:type="dxa" w:w="100"/>
              <w:bottom w:type="dxa" w:w="80"/>
              <w:right w:type="dxa" w:w="100"/>
            </w:tcMar>
            <w:vAlign w:val="center"/>
          </w:tcPr>
          <w:p>
            <w:r>
              <w:rPr>
                <w:b w:val="false"/>
                <w:bCs w:val="false"/>
                <w:color w:val="1F1F1F"/>
                <w:sz w:val="18"/>
                <w:szCs w:val="18"/>
              </w:rPr>
              <w:t xml:space="preserve">2,728,581</w:t>
            </w:r>
          </w:p>
        </w:tc>
      </w:tr>
      <w:tr>
        <w:tc>
          <w:tcPr>
            <w:tcW w:type="dxa" w:w="5800"/>
            <w:shd w:fill="F2F2F2" w:val="clear"/>
            <w:tcMar>
              <w:top w:type="dxa" w:w="80"/>
              <w:left w:type="dxa" w:w="100"/>
              <w:bottom w:type="dxa" w:w="80"/>
              <w:right w:type="dxa" w:w="100"/>
            </w:tcMar>
            <w:vAlign w:val="center"/>
          </w:tcPr>
          <w:p>
            <w:r>
              <w:rPr>
                <w:b w:val="false"/>
                <w:bCs w:val="false"/>
                <w:color w:val="1F1F1F"/>
                <w:sz w:val="18"/>
                <w:szCs w:val="18"/>
              </w:rPr>
              <w:t xml:space="preserve">Transport Regulatory Offences</w:t>
            </w:r>
          </w:p>
        </w:tc>
        <w:tc>
          <w:tcPr>
            <w:tcW w:type="dxa" w:w="3200"/>
            <w:shd w:fill="F2F2F2" w:val="clear"/>
            <w:tcMar>
              <w:top w:type="dxa" w:w="80"/>
              <w:left w:type="dxa" w:w="100"/>
              <w:bottom w:type="dxa" w:w="80"/>
              <w:right w:type="dxa" w:w="100"/>
            </w:tcMar>
            <w:vAlign w:val="center"/>
          </w:tcPr>
          <w:p>
            <w:r>
              <w:rPr>
                <w:b w:val="false"/>
                <w:bCs w:val="false"/>
                <w:color w:val="1F1F1F"/>
                <w:sz w:val="18"/>
                <w:szCs w:val="18"/>
              </w:rPr>
              <w:t xml:space="preserve">1,094,119</w:t>
            </w:r>
          </w:p>
        </w:tc>
      </w:tr>
      <w:tr>
        <w:tc>
          <w:tcPr>
            <w:tcW w:type="dxa" w:w="5800"/>
            <w:tcMar>
              <w:top w:type="dxa" w:w="80"/>
              <w:left w:type="dxa" w:w="100"/>
              <w:bottom w:type="dxa" w:w="80"/>
              <w:right w:type="dxa" w:w="100"/>
            </w:tcMar>
            <w:vAlign w:val="center"/>
          </w:tcPr>
          <w:p>
            <w:r>
              <w:rPr>
                <w:b w:val="false"/>
                <w:bCs w:val="false"/>
                <w:color w:val="1F1F1F"/>
                <w:sz w:val="18"/>
                <w:szCs w:val="18"/>
              </w:rPr>
              <w:t xml:space="preserve">Property and Deception Offences</w:t>
            </w:r>
          </w:p>
        </w:tc>
        <w:tc>
          <w:tcPr>
            <w:tcW w:type="dxa" w:w="3200"/>
            <w:tcMar>
              <w:top w:type="dxa" w:w="80"/>
              <w:left w:type="dxa" w:w="100"/>
              <w:bottom w:type="dxa" w:w="80"/>
              <w:right w:type="dxa" w:w="100"/>
            </w:tcMar>
            <w:vAlign w:val="center"/>
          </w:tcPr>
          <w:p>
            <w:r>
              <w:rPr>
                <w:b w:val="false"/>
                <w:bCs w:val="false"/>
                <w:color w:val="1F1F1F"/>
                <w:sz w:val="18"/>
                <w:szCs w:val="18"/>
              </w:rPr>
              <w:t xml:space="preserve">978,506</w:t>
            </w:r>
          </w:p>
        </w:tc>
      </w:tr>
      <w:tr>
        <w:tc>
          <w:tcPr>
            <w:tcW w:type="dxa" w:w="5800"/>
            <w:shd w:fill="F2F2F2" w:val="clear"/>
            <w:tcMar>
              <w:top w:type="dxa" w:w="80"/>
              <w:left w:type="dxa" w:w="100"/>
              <w:bottom w:type="dxa" w:w="80"/>
              <w:right w:type="dxa" w:w="100"/>
            </w:tcMar>
            <w:vAlign w:val="center"/>
          </w:tcPr>
          <w:p>
            <w:r>
              <w:rPr>
                <w:b w:val="false"/>
                <w:bCs w:val="false"/>
                <w:color w:val="1F1F1F"/>
                <w:sz w:val="18"/>
                <w:szCs w:val="18"/>
              </w:rPr>
              <w:t xml:space="preserve">Against Justice Procedures</w:t>
            </w:r>
          </w:p>
        </w:tc>
        <w:tc>
          <w:tcPr>
            <w:tcW w:type="dxa" w:w="3200"/>
            <w:shd w:fill="F2F2F2" w:val="clear"/>
            <w:tcMar>
              <w:top w:type="dxa" w:w="80"/>
              <w:left w:type="dxa" w:w="100"/>
              <w:bottom w:type="dxa" w:w="80"/>
              <w:right w:type="dxa" w:w="100"/>
            </w:tcMar>
            <w:vAlign w:val="center"/>
          </w:tcPr>
          <w:p>
            <w:r>
              <w:rPr>
                <w:b w:val="false"/>
                <w:bCs w:val="false"/>
                <w:color w:val="1F1F1F"/>
                <w:sz w:val="18"/>
                <w:szCs w:val="18"/>
              </w:rPr>
              <w:t xml:space="preserve">889,491</w:t>
            </w:r>
          </w:p>
        </w:tc>
      </w:tr>
      <w:tr>
        <w:tc>
          <w:tcPr>
            <w:tcW w:type="dxa" w:w="5800"/>
            <w:tcMar>
              <w:top w:type="dxa" w:w="80"/>
              <w:left w:type="dxa" w:w="100"/>
              <w:bottom w:type="dxa" w:w="80"/>
              <w:right w:type="dxa" w:w="100"/>
            </w:tcMar>
            <w:vAlign w:val="center"/>
          </w:tcPr>
          <w:p>
            <w:r>
              <w:rPr>
                <w:b w:val="false"/>
                <w:bCs w:val="false"/>
                <w:color w:val="1F1F1F"/>
                <w:sz w:val="18"/>
                <w:szCs w:val="18"/>
              </w:rPr>
              <w:t xml:space="preserve">Malicious Damage to Property</w:t>
            </w:r>
          </w:p>
        </w:tc>
        <w:tc>
          <w:tcPr>
            <w:tcW w:type="dxa" w:w="3200"/>
            <w:tcMar>
              <w:top w:type="dxa" w:w="80"/>
              <w:left w:type="dxa" w:w="100"/>
              <w:bottom w:type="dxa" w:w="80"/>
              <w:right w:type="dxa" w:w="100"/>
            </w:tcMar>
            <w:vAlign w:val="center"/>
          </w:tcPr>
          <w:p>
            <w:r>
              <w:rPr>
                <w:b w:val="false"/>
                <w:bCs w:val="false"/>
                <w:color w:val="1F1F1F"/>
                <w:sz w:val="18"/>
                <w:szCs w:val="18"/>
              </w:rPr>
              <w:t xml:space="preserve">874,026</w:t>
            </w:r>
          </w:p>
        </w:tc>
      </w:tr>
      <w:tr>
        <w:tc>
          <w:tcPr>
            <w:tcW w:type="dxa" w:w="5800"/>
            <w:shd w:fill="F2F2F2" w:val="clear"/>
            <w:tcMar>
              <w:top w:type="dxa" w:w="80"/>
              <w:left w:type="dxa" w:w="100"/>
              <w:bottom w:type="dxa" w:w="80"/>
              <w:right w:type="dxa" w:w="100"/>
            </w:tcMar>
            <w:vAlign w:val="center"/>
          </w:tcPr>
          <w:p>
            <w:r>
              <w:rPr>
                <w:b w:val="false"/>
                <w:bCs w:val="false"/>
                <w:color w:val="1F1F1F"/>
                <w:sz w:val="18"/>
                <w:szCs w:val="18"/>
              </w:rPr>
              <w:t xml:space="preserve">Assault</w:t>
            </w:r>
          </w:p>
        </w:tc>
        <w:tc>
          <w:tcPr>
            <w:tcW w:type="dxa" w:w="3200"/>
            <w:shd w:fill="F2F2F2" w:val="clear"/>
            <w:tcMar>
              <w:top w:type="dxa" w:w="80"/>
              <w:left w:type="dxa" w:w="100"/>
              <w:bottom w:type="dxa" w:w="80"/>
              <w:right w:type="dxa" w:w="100"/>
            </w:tcMar>
            <w:vAlign w:val="center"/>
          </w:tcPr>
          <w:p>
            <w:r>
              <w:rPr>
                <w:b w:val="false"/>
                <w:bCs w:val="false"/>
                <w:color w:val="1F1F1F"/>
                <w:sz w:val="18"/>
                <w:szCs w:val="18"/>
              </w:rPr>
              <w:t xml:space="preserve">835,987</w:t>
            </w:r>
          </w:p>
        </w:tc>
      </w:tr>
    </w:tbl>
    <w:p>
      <w:pPr>
        <w:spacing w:after="150"/>
      </w:pPr>
      <w:r>
        <w:rPr>
          <w:b w:val="false"/>
          <w:bCs w:val="false"/>
          <w:i w:val="false"/>
          <w:iCs w:val="false"/>
        </w:rPr>
        <w:t xml:space="preserve">Theft is the single largest offence category, at roughly 25% of all recorded incidents — consistent with theft and regulatory/procedural offences dominating overall volumes across every state.</w:t>
      </w:r>
    </w:p>
    <w:p>
      <w:pPr>
        <w:pStyle w:val="Heading1"/>
        <w:spacing w:after="180" w:before="380"/>
      </w:pPr>
      <w:r>
        <w:t xml:space="preserve">6. Visualization Choices</w:t>
      </w:r>
    </w:p>
    <w:p>
      <w:pPr>
        <w:spacing w:after="150"/>
      </w:pPr>
      <w:r>
        <w:rPr>
          <w:b w:val="false"/>
          <w:bCs w:val="false"/>
          <w:i w:val="false"/>
          <w:iCs w:val="false"/>
        </w:rPr>
        <w:t xml:space="preserve">Every detail page (House Value, Rental Value, Schools, Transport, Crime) follows the same layout logic, chosen to match what each visual type communicates best:</w:t>
      </w:r>
    </w:p>
    <w:p>
      <w:pPr>
        <w:pStyle w:val="ListParagraph"/>
        <w:numPr>
          <w:ilvl w:val="0"/>
          <w:numId w:val="2"/>
        </w:numPr>
        <w:spacing w:after="80"/>
      </w:pPr>
      <w:r>
        <w:t xml:space="preserve">KPI cards (top row) — single headline numbers (average/median/count) need no chart; a card gives the answer in under a second and anchors the rest of the page.</w:t>
      </w:r>
    </w:p>
    <w:p>
      <w:pPr>
        <w:pStyle w:val="ListParagraph"/>
        <w:numPr>
          <w:ilvl w:val="0"/>
          <w:numId w:val="2"/>
        </w:numPr>
        <w:spacing w:after="80"/>
      </w:pPr>
      <w:r>
        <w:t xml:space="preserve">Map (filled/bubble map on Suburb, sized or coloured by the metric) — house value, rental value, school, transport and crime data are all inherently geographic, so a map is the fastest way to spot regional concentration that a table or bar chart would hide.</w:t>
      </w:r>
    </w:p>
    <w:p>
      <w:pPr>
        <w:pStyle w:val="ListParagraph"/>
        <w:numPr>
          <w:ilvl w:val="0"/>
          <w:numId w:val="2"/>
        </w:numPr>
        <w:spacing w:after="80"/>
      </w:pPr>
      <w:r>
        <w:t xml:space="preserve">Horizontal bar chart, "&lt;Metric&gt; by City" — city names are long text labels; horizontal bars keep them readable and make ranking cities against each other a simple length comparison, which a column chart or line chart would not do as clearly for a categorical, non-time dimension.</w:t>
      </w:r>
    </w:p>
    <w:p>
      <w:pPr>
        <w:pStyle w:val="ListParagraph"/>
        <w:numPr>
          <w:ilvl w:val="0"/>
          <w:numId w:val="2"/>
        </w:numPr>
        <w:spacing w:after="80"/>
      </w:pPr>
      <w:r>
        <w:t xml:space="preserve">Bucket/band column chart (House Value, Rental Value pages) — turns a continuous numeric field into a distribution shape (see Section 7), answering "where does the market cluster?" rather than just "what's the average?".</w:t>
      </w:r>
    </w:p>
    <w:p>
      <w:pPr>
        <w:pStyle w:val="ListParagraph"/>
        <w:numPr>
          <w:ilvl w:val="0"/>
          <w:numId w:val="2"/>
        </w:numPr>
        <w:spacing w:after="80"/>
      </w:pPr>
      <w:r>
        <w:t xml:space="preserve">Donut chart (Schools page, School Count by SchoolType) — SchoolType is a small, low-cardinality category; a donut shows each type's share of the whole at a glance, which is the donut chart's strength over a bar chart when the question is about proportion rather than precise ranking.</w:t>
      </w:r>
    </w:p>
    <w:p>
      <w:pPr>
        <w:pStyle w:val="ListParagraph"/>
        <w:numPr>
          <w:ilvl w:val="0"/>
          <w:numId w:val="2"/>
        </w:numPr>
        <w:spacing w:after="80"/>
      </w:pPr>
      <w:r>
        <w:t xml:space="preserve">Detail table (Schools, Crime pages) — kept alongside the charts for users who need the exact underlying rows/values a chart can't show precisely (e.g. exact incident counts by OffenceSubcategory).</w:t>
      </w:r>
    </w:p>
    <w:p>
      <w:pPr>
        <w:pStyle w:val="ListParagraph"/>
        <w:numPr>
          <w:ilvl w:val="0"/>
          <w:numId w:val="2"/>
        </w:numPr>
        <w:spacing w:after="80"/>
      </w:pPr>
      <w:r>
        <w:t xml:space="preserve">Summary page — one KPI card + one "by State" bar chart per analysis area, so all five areas can be compared side-by-side on a single screen; drill-through (Section on Data Connection Documentation) then lets a user jump from that high-level view into the matching full detail page.</w:t>
      </w:r>
    </w:p>
    <w:p>
      <w:pPr>
        <w:pStyle w:val="ListParagraph"/>
        <w:numPr>
          <w:ilvl w:val="0"/>
          <w:numId w:val="2"/>
        </w:numPr>
        <w:spacing w:after="80"/>
      </w:pPr>
      <w:r>
        <w:t xml:space="preserve">Slicers (State, City, and a page-specific dimension such as OffenceCategory or RentalHouseType) — placed on every detail page so a user can narrow from national to city-level without leaving the page, rather than needing a separate page per state.</w:t>
      </w:r>
    </w:p>
    <w:p>
      <w:pPr>
        <w:pStyle w:val="Heading1"/>
        <w:spacing w:after="180" w:before="380"/>
      </w:pPr>
      <w:r>
        <w:t xml:space="preserve">7. Bucketing and Grouping Approach</w:t>
      </w:r>
    </w:p>
    <w:p>
      <w:pPr>
        <w:spacing w:after="150"/>
      </w:pPr>
      <w:r>
        <w:rPr>
          <w:b w:val="false"/>
          <w:bCs w:val="false"/>
          <w:i w:val="false"/>
          <w:iCs w:val="false"/>
        </w:rPr>
        <w:t xml:space="preserve">House values and rental amounts are continuous numeric fields, so a plain bar/column chart on the raw value would produce thousands of single-value bars and no usable pattern. Both were converted into fixed price/rent bands using the same technique:</w:t>
      </w:r>
    </w:p>
    <w:p>
      <w:pPr>
        <w:pStyle w:val="ListParagraph"/>
        <w:numPr>
          <w:ilvl w:val="0"/>
          <w:numId w:val="2"/>
        </w:numPr>
        <w:spacing w:after="80"/>
      </w:pPr>
      <w:r>
        <w:t xml:space="preserve">A calculated column (HouseValue Bucket / RentalValue Bucket) uses SWITCH(TRUE(), ...) to test the raw value against a set of ascending thresholds and return a text label for the matching band (e.g. "$300K - $450K").</w:t>
      </w:r>
    </w:p>
    <w:p>
      <w:pPr>
        <w:pStyle w:val="ListParagraph"/>
        <w:numPr>
          <w:ilvl w:val="0"/>
          <w:numId w:val="2"/>
        </w:numPr>
        <w:spacing w:after="80"/>
      </w:pPr>
      <w:r>
        <w:t xml:space="preserve">A second, hidden calculated column (HouseValue Bucket Sort / RentalValue Bucket Sort) returns the same band as an integer 1–7 instead of text, and is set as the text column's Sort by Column. Without this, Power BI would sort the bands alphabetically ($1.2M-$2M before $300K-$450K) or by count instead of by ascending price — the hidden sort column forces the correct logical order.</w:t>
      </w:r>
    </w:p>
    <w:p>
      <w:pPr>
        <w:pStyle w:val="ListParagraph"/>
        <w:numPr>
          <w:ilvl w:val="0"/>
          <w:numId w:val="2"/>
        </w:numPr>
        <w:spacing w:after="80"/>
      </w:pPr>
      <w:r>
        <w:t xml:space="preserve">The band widths themselves were chosen to give a roughly even number of bands across the observed value range while keeping thresholds at intuitive round numbers ($300K, $450K, $600K, $800K, $1.2M, $2M for house value; $250, $350, $450, $600, $900, $1,500/wk for rent), rather than using equal-width or equal-count (quantile) bins.</w:t>
      </w:r>
    </w:p>
    <w:p>
      <w:pPr>
        <w:spacing w:after="150"/>
      </w:pPr>
      <w:r>
        <w:rPr>
          <w:b w:val="false"/>
          <w:bCs w:val="false"/>
          <w:i w:val="false"/>
          <w:iCs w:val="false"/>
        </w:rPr>
        <w:t xml:space="preserve">The exact DAX for both calculated columns is included in the Data Connection Documentation (Section 8.1).</w:t>
      </w:r>
    </w:p>
    <w:p>
      <w:pPr>
        <w:pStyle w:val="Heading1"/>
        <w:spacing w:after="180" w:before="380"/>
      </w:pPr>
      <w:r>
        <w:t xml:space="preserve">8. Data Quality Notes</w:t>
      </w:r>
    </w:p>
    <w:p>
      <w:pPr>
        <w:pStyle w:val="ListParagraph"/>
        <w:numPr>
          <w:ilvl w:val="0"/>
          <w:numId w:val="2"/>
        </w:numPr>
        <w:spacing w:after="80"/>
      </w:pPr>
      <w:r>
        <w:t xml:space="preserve">Three suburbs — UNKNOWN, WALL FLAT and RETREAT — carried invalid or placeholder coordinates that plotted them onto Europe/Africa on the geographic visuals. They are excluded from every page via a report-level filter (“Filters on all pages”) so they don't distort totals or maps.</w:t>
      </w:r>
    </w:p>
    <w:p>
      <w:pPr>
        <w:pStyle w:val="ListParagraph"/>
        <w:numPr>
          <w:ilvl w:val="0"/>
          <w:numId w:val="2"/>
        </w:numPr>
        <w:spacing w:after="80"/>
      </w:pPr>
      <w:r>
        <w:t xml:space="preserve">A small number of DimSuburb rows had a text-encoding artefact (“?Alice Springs” instead of “Alice Springs”), corrected in the Power Query load step — see the Data Connection Documentation for details.</w:t>
      </w:r>
    </w:p>
    <w:p>
      <w:pPr>
        <w:pStyle w:val="ListParagraph"/>
        <w:numPr>
          <w:ilvl w:val="0"/>
          <w:numId w:val="2"/>
        </w:numPr>
        <w:spacing w:after="80"/>
      </w:pPr>
      <w:r>
        <w:t xml:space="preserve">Some records carry City = “Unknown” or State = “Unknown”; these remain in the model (they are not part of the three excluded suburbs) and should be treated as missing/unclassified rather than a distinct real location when reading city- or state-level breakdowns.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50" w:before="300"/>
    </w:pPr>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2026-07-17T08:07:13.069Z</dcterms:created>
  <dcterms:modified xsi:type="dcterms:W3CDTF">2026-07-17T08:07:13.069Z</dcterms:modified>
</cp:coreProperties>
</file>

<file path=docProps/custom.xml><?xml version="1.0" encoding="utf-8"?>
<Properties xmlns="http://schemas.openxmlformats.org/officeDocument/2006/custom-properties" xmlns:vt="http://schemas.openxmlformats.org/officeDocument/2006/docPropsVTypes"/>
</file>