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ACD4" w14:textId="77777777" w:rsidR="00B40F65" w:rsidRDefault="00DE7FF5">
      <w:pPr>
        <w:spacing w:before="1400"/>
        <w:jc w:val="center"/>
      </w:pPr>
      <w:r>
        <w:rPr>
          <w:b/>
          <w:bCs/>
          <w:color w:val="1F3864"/>
          <w:sz w:val="44"/>
          <w:szCs w:val="44"/>
        </w:rPr>
        <w:t>AU Property Insights</w:t>
      </w:r>
    </w:p>
    <w:p w14:paraId="6F65ACD5" w14:textId="77777777" w:rsidR="00B40F65" w:rsidRDefault="00DE7FF5">
      <w:pPr>
        <w:spacing w:before="100" w:after="100"/>
        <w:jc w:val="center"/>
      </w:pPr>
      <w:r>
        <w:rPr>
          <w:b/>
          <w:bCs/>
          <w:color w:val="2E74B5"/>
          <w:sz w:val="30"/>
          <w:szCs w:val="30"/>
        </w:rPr>
        <w:t>Power BI Dashboard — Screenshot Documentation</w:t>
      </w:r>
    </w:p>
    <w:p w14:paraId="6F65ACD6" w14:textId="77777777" w:rsidR="00B40F65" w:rsidRDefault="00DE7FF5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Task 8 — BI Advanced</w:t>
      </w:r>
    </w:p>
    <w:p w14:paraId="6F65ACD7" w14:textId="77777777" w:rsidR="00B40F65" w:rsidRDefault="00DE7FF5">
      <w:pPr>
        <w:spacing w:after="40"/>
        <w:jc w:val="center"/>
      </w:pPr>
      <w:r>
        <w:rPr>
          <w:sz w:val="20"/>
          <w:szCs w:val="20"/>
        </w:rPr>
        <w:t xml:space="preserve">File: </w:t>
      </w:r>
      <w:proofErr w:type="spellStart"/>
      <w:r>
        <w:rPr>
          <w:sz w:val="20"/>
          <w:szCs w:val="20"/>
        </w:rPr>
        <w:t>AUProperty_PowerBI_Dashboard.pbix</w:t>
      </w:r>
      <w:proofErr w:type="spellEnd"/>
    </w:p>
    <w:p w14:paraId="6F65ACD8" w14:textId="77777777" w:rsidR="00B40F65" w:rsidRDefault="00DE7FF5">
      <w:pPr>
        <w:spacing w:after="40"/>
        <w:jc w:val="center"/>
      </w:pPr>
      <w:r>
        <w:rPr>
          <w:color w:val="595959"/>
          <w:sz w:val="20"/>
          <w:szCs w:val="20"/>
        </w:rPr>
        <w:t>Prepared by: Srikanth</w:t>
      </w:r>
    </w:p>
    <w:p w14:paraId="6F65ACD9" w14:textId="77777777" w:rsidR="00B40F65" w:rsidRDefault="00DE7FF5">
      <w:r>
        <w:br w:type="page"/>
      </w:r>
    </w:p>
    <w:p w14:paraId="6F65ACDA" w14:textId="77777777" w:rsidR="00B40F65" w:rsidRDefault="00DE7FF5">
      <w:pPr>
        <w:pStyle w:val="Heading1"/>
        <w:spacing w:before="400" w:after="200"/>
      </w:pPr>
      <w:r>
        <w:lastRenderedPageBreak/>
        <w:t>Introduction</w:t>
      </w:r>
    </w:p>
    <w:p w14:paraId="6F65ACDD" w14:textId="7D8113D3" w:rsidR="00B40F65" w:rsidRDefault="00DE7FF5" w:rsidP="00450726">
      <w:pPr>
        <w:spacing w:after="150"/>
      </w:pPr>
      <w:r>
        <w:t xml:space="preserve">This document provides a comprehensive visual walkthrough of the AU Property Insights Power BI dashboard, built on the </w:t>
      </w:r>
      <w:proofErr w:type="spellStart"/>
      <w:r>
        <w:t>AUPropertyDW</w:t>
      </w:r>
      <w:proofErr w:type="spellEnd"/>
      <w:r>
        <w:t xml:space="preserve"> star schema data warehouse. It covers the data model, every report page, and the special interactive features implemented (drill-through navigation and button-based page navigation).</w:t>
      </w:r>
      <w:r>
        <w:br w:type="page"/>
      </w:r>
    </w:p>
    <w:p w14:paraId="6F65ACDE" w14:textId="77777777" w:rsidR="00B40F65" w:rsidRDefault="00DE7FF5">
      <w:pPr>
        <w:pStyle w:val="Heading1"/>
        <w:spacing w:before="400" w:after="200"/>
      </w:pPr>
      <w:r>
        <w:lastRenderedPageBreak/>
        <w:t>1. Data Model View</w:t>
      </w:r>
    </w:p>
    <w:p w14:paraId="6F65ACDF" w14:textId="77777777" w:rsidR="00B40F65" w:rsidRDefault="00DE7FF5">
      <w:pPr>
        <w:spacing w:after="150"/>
      </w:pPr>
      <w:r>
        <w:t xml:space="preserve">Switch to Model view in Power BI Desktop and capture the full diagram layout, showing all 10 tables (5 dimensions, 5 facts) and the 9 relationships converging on </w:t>
      </w:r>
      <w:proofErr w:type="spellStart"/>
      <w:r>
        <w:t>DimSuburb</w:t>
      </w:r>
      <w:proofErr w:type="spellEnd"/>
      <w:r>
        <w:t>.</w:t>
      </w:r>
    </w:p>
    <w:p w14:paraId="6F65ACE0" w14:textId="4D8DB621" w:rsidR="00B40F65" w:rsidRDefault="00E96340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E96340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5090EA6D" wp14:editId="3723FD76">
            <wp:extent cx="6151880" cy="4387850"/>
            <wp:effectExtent l="0" t="0" r="1270" b="0"/>
            <wp:docPr id="97174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43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07" cy="44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 xml:space="preserve">Full diagram layout — all 10 tables and 9 relationship lines visible, </w:t>
      </w:r>
      <w:proofErr w:type="spellStart"/>
      <w:r w:rsidR="00DE7FF5">
        <w:rPr>
          <w:i/>
          <w:iCs/>
          <w:color w:val="375623"/>
          <w:sz w:val="19"/>
          <w:szCs w:val="19"/>
        </w:rPr>
        <w:t>DimSuburb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at the centre.</w:t>
      </w:r>
    </w:p>
    <w:p w14:paraId="6F65ACE1" w14:textId="77777777" w:rsidR="00B40F65" w:rsidRDefault="00DE7FF5">
      <w:r>
        <w:br w:type="page"/>
      </w:r>
    </w:p>
    <w:p w14:paraId="6F65ACE2" w14:textId="77777777" w:rsidR="00B40F65" w:rsidRDefault="00DE7FF5">
      <w:pPr>
        <w:pStyle w:val="Heading1"/>
        <w:spacing w:before="400" w:after="200"/>
      </w:pPr>
      <w:r>
        <w:lastRenderedPageBreak/>
        <w:t>2. Home Page</w:t>
      </w:r>
    </w:p>
    <w:p w14:paraId="6F65ACE3" w14:textId="77777777" w:rsidR="00B40F65" w:rsidRDefault="00DE7FF5">
      <w:pPr>
        <w:spacing w:after="150"/>
      </w:pPr>
      <w:r>
        <w:t>The landing page, featuring the report title and six navigation buttons (Summary, House Value, Rental Value, Schools, Transport, Crime), each with a custom icon.</w:t>
      </w:r>
    </w:p>
    <w:p w14:paraId="6F65ACE4" w14:textId="1365B2C0" w:rsidR="00B40F65" w:rsidRDefault="00B70453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B70453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3F873163" wp14:editId="29B4E080">
            <wp:extent cx="6153150" cy="4126865"/>
            <wp:effectExtent l="0" t="0" r="0" b="6985"/>
            <wp:docPr id="14384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50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7538" cy="4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>Full page view showing the title and all six navigation tiles.</w:t>
      </w:r>
    </w:p>
    <w:p w14:paraId="6F65ACE5" w14:textId="77777777" w:rsidR="00B40F65" w:rsidRDefault="00DE7FF5">
      <w:r>
        <w:br w:type="page"/>
      </w:r>
    </w:p>
    <w:p w14:paraId="6F65ACE6" w14:textId="77777777" w:rsidR="00B40F65" w:rsidRDefault="00DE7FF5">
      <w:pPr>
        <w:pStyle w:val="Heading1"/>
        <w:spacing w:before="400" w:after="200"/>
      </w:pPr>
      <w:r>
        <w:lastRenderedPageBreak/>
        <w:t>3. Summary Page</w:t>
      </w:r>
    </w:p>
    <w:p w14:paraId="6F65ACE7" w14:textId="77777777" w:rsidR="00B40F65" w:rsidRDefault="00DE7FF5">
      <w:pPr>
        <w:spacing w:after="150"/>
      </w:pPr>
      <w:r>
        <w:t>Consolidates all five analysis areas into one landing overview: a KPI card and a state-level chart for House Value, Rental Value, Schools, Transport, and Crime.</w:t>
      </w:r>
    </w:p>
    <w:p w14:paraId="6F65ACE8" w14:textId="4FFAF4E9" w:rsidR="00B40F65" w:rsidRDefault="0008171E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08171E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699272D2" wp14:editId="69B9E7FC">
            <wp:extent cx="6159500" cy="4009786"/>
            <wp:effectExtent l="0" t="0" r="0" b="0"/>
            <wp:docPr id="152917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79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6914" cy="401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>Full page view showing all five KPI cards and their accompanying "by State" charts.</w:t>
      </w:r>
    </w:p>
    <w:p w14:paraId="6F65ACE9" w14:textId="77777777" w:rsidR="00B40F65" w:rsidRDefault="00DE7FF5">
      <w:pPr>
        <w:pStyle w:val="Heading2"/>
        <w:spacing w:before="300" w:after="150"/>
      </w:pPr>
      <w:r>
        <w:t>3.1 Drill-Through Feature</w:t>
      </w:r>
    </w:p>
    <w:p w14:paraId="6F65ACEA" w14:textId="77777777" w:rsidR="00B40F65" w:rsidRDefault="00DE7FF5">
      <w:pPr>
        <w:spacing w:after="150"/>
      </w:pPr>
      <w:r>
        <w:t>The Summary page supports drill-</w:t>
      </w:r>
      <w:proofErr w:type="gramStart"/>
      <w:r>
        <w:t>through:</w:t>
      </w:r>
      <w:proofErr w:type="gramEnd"/>
      <w:r>
        <w:t xml:space="preserve"> right-clicking a data point on any of its charts lets a viewer jump directly into the matching detail page, pre-filtered to that context.</w:t>
      </w:r>
    </w:p>
    <w:p w14:paraId="6F65ACEB" w14:textId="345981D7" w:rsidR="00B40F65" w:rsidRDefault="005D3EDF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5D3EDF">
        <w:rPr>
          <w:i/>
          <w:iCs/>
          <w:color w:val="375623"/>
          <w:sz w:val="19"/>
          <w:szCs w:val="19"/>
        </w:rPr>
        <w:lastRenderedPageBreak/>
        <w:drawing>
          <wp:inline distT="0" distB="0" distL="0" distR="0" wp14:anchorId="6A88AD43" wp14:editId="0F9B6C70">
            <wp:extent cx="6144366" cy="3879850"/>
            <wp:effectExtent l="0" t="0" r="8890" b="6350"/>
            <wp:docPr id="7187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67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7512" cy="388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 xml:space="preserve">Right-click on a bar </w:t>
      </w:r>
      <w:r w:rsidR="003372B6">
        <w:rPr>
          <w:i/>
          <w:iCs/>
          <w:color w:val="375623"/>
          <w:sz w:val="19"/>
          <w:szCs w:val="19"/>
        </w:rPr>
        <w:t>chart</w:t>
      </w:r>
      <w:r w:rsidR="00DE7FF5">
        <w:rPr>
          <w:i/>
          <w:iCs/>
          <w:color w:val="375623"/>
          <w:sz w:val="19"/>
          <w:szCs w:val="19"/>
        </w:rPr>
        <w:t xml:space="preserve"> </w:t>
      </w:r>
      <w:r w:rsidR="003372B6">
        <w:rPr>
          <w:i/>
          <w:iCs/>
          <w:color w:val="375623"/>
          <w:sz w:val="19"/>
          <w:szCs w:val="19"/>
        </w:rPr>
        <w:t>“</w:t>
      </w:r>
      <w:proofErr w:type="spellStart"/>
      <w:r w:rsidR="00270B34">
        <w:rPr>
          <w:i/>
          <w:iCs/>
          <w:color w:val="375623"/>
          <w:sz w:val="19"/>
          <w:szCs w:val="19"/>
        </w:rPr>
        <w:t>Avg</w:t>
      </w:r>
      <w:proofErr w:type="spellEnd"/>
      <w:r w:rsidR="00270B34">
        <w:rPr>
          <w:i/>
          <w:iCs/>
          <w:color w:val="375623"/>
          <w:sz w:val="19"/>
          <w:szCs w:val="19"/>
        </w:rPr>
        <w:t xml:space="preserve"> </w:t>
      </w:r>
      <w:r>
        <w:rPr>
          <w:i/>
          <w:iCs/>
          <w:color w:val="375623"/>
          <w:sz w:val="19"/>
          <w:szCs w:val="19"/>
        </w:rPr>
        <w:t>Rental Amount</w:t>
      </w:r>
      <w:r w:rsidR="00270B34">
        <w:rPr>
          <w:i/>
          <w:iCs/>
          <w:color w:val="375623"/>
          <w:sz w:val="19"/>
          <w:szCs w:val="19"/>
        </w:rPr>
        <w:t xml:space="preserve"> by </w:t>
      </w:r>
      <w:proofErr w:type="gramStart"/>
      <w:r w:rsidR="003372B6">
        <w:rPr>
          <w:i/>
          <w:iCs/>
          <w:color w:val="375623"/>
          <w:sz w:val="19"/>
          <w:szCs w:val="19"/>
        </w:rPr>
        <w:t>State”</w:t>
      </w:r>
      <w:r w:rsidR="00582D73" w:rsidRPr="00582D73">
        <w:rPr>
          <w:noProof/>
        </w:rPr>
        <w:t xml:space="preserve"> </w:t>
      </w:r>
      <w:r w:rsidR="00DE7FF5">
        <w:rPr>
          <w:i/>
          <w:iCs/>
          <w:color w:val="375623"/>
          <w:sz w:val="19"/>
          <w:szCs w:val="19"/>
        </w:rPr>
        <w:t xml:space="preserve"> showing</w:t>
      </w:r>
      <w:proofErr w:type="gramEnd"/>
      <w:r w:rsidR="00DE7FF5">
        <w:rPr>
          <w:i/>
          <w:iCs/>
          <w:color w:val="375623"/>
          <w:sz w:val="19"/>
          <w:szCs w:val="19"/>
        </w:rPr>
        <w:t xml:space="preserve"> the </w:t>
      </w:r>
      <w:proofErr w:type="spellStart"/>
      <w:r w:rsidR="00DE7FF5">
        <w:rPr>
          <w:i/>
          <w:iCs/>
          <w:color w:val="375623"/>
          <w:sz w:val="19"/>
          <w:szCs w:val="19"/>
        </w:rPr>
        <w:t>Drillthrough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submenu listing all five detail pages.</w:t>
      </w:r>
    </w:p>
    <w:p w14:paraId="6F65ACEC" w14:textId="2806D426" w:rsidR="00B40F65" w:rsidRDefault="00B1206F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B1206F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29058501" wp14:editId="1862F654">
            <wp:extent cx="6143940" cy="4146550"/>
            <wp:effectExtent l="0" t="0" r="9525" b="6350"/>
            <wp:docPr id="2721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4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0858" cy="415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>The destination detail page after drilling through, showing it filtered to the selected context and the auto-added back button.</w:t>
      </w:r>
    </w:p>
    <w:p w14:paraId="6F65ACED" w14:textId="77777777" w:rsidR="00B40F65" w:rsidRDefault="00DE7FF5">
      <w:r>
        <w:lastRenderedPageBreak/>
        <w:br w:type="page"/>
      </w:r>
    </w:p>
    <w:p w14:paraId="6F65ACEE" w14:textId="77777777" w:rsidR="00B40F65" w:rsidRDefault="00DE7FF5">
      <w:pPr>
        <w:pStyle w:val="Heading1"/>
        <w:spacing w:before="400" w:after="200"/>
      </w:pPr>
      <w:r>
        <w:lastRenderedPageBreak/>
        <w:t>4. House Value Page</w:t>
      </w:r>
    </w:p>
    <w:p w14:paraId="6F65ACEF" w14:textId="77777777" w:rsidR="00B40F65" w:rsidRDefault="00DE7FF5">
      <w:pPr>
        <w:spacing w:after="150"/>
      </w:pPr>
      <w:proofErr w:type="spellStart"/>
      <w:r>
        <w:t>Analyzes</w:t>
      </w:r>
      <w:proofErr w:type="spellEnd"/>
      <w:r>
        <w:t xml:space="preserve"> house values by suburb, city, and state: average/median value and listing count KPIs, a geographic map, a top-city comparison, and a price-band distribution.</w:t>
      </w:r>
    </w:p>
    <w:p w14:paraId="6F65ACF0" w14:textId="30085987" w:rsidR="00B40F65" w:rsidRDefault="007D7823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7D7823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4B5F53ED" wp14:editId="03471A20">
            <wp:extent cx="6140450" cy="3444866"/>
            <wp:effectExtent l="0" t="0" r="0" b="3810"/>
            <wp:docPr id="16807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25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7735" cy="344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>Full page view: KPI cards, map, "</w:t>
      </w:r>
      <w:proofErr w:type="spellStart"/>
      <w:r w:rsidR="00DE7FF5">
        <w:rPr>
          <w:i/>
          <w:iCs/>
          <w:color w:val="375623"/>
          <w:sz w:val="19"/>
          <w:szCs w:val="19"/>
        </w:rPr>
        <w:t>Avg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House Value by City" bar chart, and the </w:t>
      </w:r>
      <w:proofErr w:type="spellStart"/>
      <w:r w:rsidR="00DE7FF5">
        <w:rPr>
          <w:i/>
          <w:iCs/>
          <w:color w:val="375623"/>
          <w:sz w:val="19"/>
          <w:szCs w:val="19"/>
        </w:rPr>
        <w:t>HouseValue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Bucket column chart.</w:t>
      </w:r>
    </w:p>
    <w:p w14:paraId="6F65ACF1" w14:textId="7C253F4F" w:rsidR="00B40F65" w:rsidRDefault="004B09CB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4B09CB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3BFAA5D2" wp14:editId="271E3BD1">
            <wp:extent cx="6130806" cy="2609850"/>
            <wp:effectExtent l="0" t="0" r="3810" b="0"/>
            <wp:docPr id="66813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33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185" cy="26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 xml:space="preserve">Close-up of the </w:t>
      </w:r>
      <w:proofErr w:type="spellStart"/>
      <w:r w:rsidR="00DE7FF5">
        <w:rPr>
          <w:i/>
          <w:iCs/>
          <w:color w:val="375623"/>
          <w:sz w:val="19"/>
          <w:szCs w:val="19"/>
        </w:rPr>
        <w:t>HouseValue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Bucket column chart, showing listings grouped into price bands in correct ascending order.</w:t>
      </w:r>
    </w:p>
    <w:p w14:paraId="6F65ACF2" w14:textId="77777777" w:rsidR="00B40F65" w:rsidRDefault="00DE7FF5">
      <w:r>
        <w:br w:type="page"/>
      </w:r>
    </w:p>
    <w:p w14:paraId="6F65ACF3" w14:textId="77777777" w:rsidR="00B40F65" w:rsidRDefault="00DE7FF5">
      <w:pPr>
        <w:pStyle w:val="Heading1"/>
        <w:spacing w:before="400" w:after="200"/>
      </w:pPr>
      <w:r>
        <w:lastRenderedPageBreak/>
        <w:t>5. Rental Value Page</w:t>
      </w:r>
    </w:p>
    <w:p w14:paraId="6F65ACF4" w14:textId="77777777" w:rsidR="00B40F65" w:rsidRDefault="00DE7FF5">
      <w:pPr>
        <w:spacing w:after="150"/>
      </w:pPr>
      <w:proofErr w:type="spellStart"/>
      <w:r>
        <w:t>Analyzes</w:t>
      </w:r>
      <w:proofErr w:type="spellEnd"/>
      <w:r>
        <w:t xml:space="preserve"> weekly rental amounts by suburb, city, and state, plus a breakdown by rental house type.</w:t>
      </w:r>
    </w:p>
    <w:p w14:paraId="6F65ACF5" w14:textId="7AB67610" w:rsidR="00B40F65" w:rsidRDefault="00AA61BE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AA61BE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44DC351B" wp14:editId="365B5162">
            <wp:extent cx="6140450" cy="3444256"/>
            <wp:effectExtent l="0" t="0" r="0" b="3810"/>
            <wp:docPr id="7664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2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356" cy="34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>Full page view: KPI cards, map, "</w:t>
      </w:r>
      <w:proofErr w:type="spellStart"/>
      <w:r w:rsidR="00DE7FF5">
        <w:rPr>
          <w:i/>
          <w:iCs/>
          <w:color w:val="375623"/>
          <w:sz w:val="19"/>
          <w:szCs w:val="19"/>
        </w:rPr>
        <w:t>Avg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Rental Amount by City" bar chart, and the </w:t>
      </w:r>
      <w:proofErr w:type="spellStart"/>
      <w:r w:rsidR="00DE7FF5">
        <w:rPr>
          <w:i/>
          <w:iCs/>
          <w:color w:val="375623"/>
          <w:sz w:val="19"/>
          <w:szCs w:val="19"/>
        </w:rPr>
        <w:t>RentalValue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Bucket chart.</w:t>
      </w:r>
    </w:p>
    <w:p w14:paraId="6F65ACF6" w14:textId="587ADE60" w:rsidR="00B40F65" w:rsidRDefault="00EF4CB6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EF4CB6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7CB1EC14" wp14:editId="67A95FA0">
            <wp:extent cx="6121400" cy="2754630"/>
            <wp:effectExtent l="0" t="0" r="0" b="7620"/>
            <wp:docPr id="47934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1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5489" cy="27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 xml:space="preserve">Close-up of the </w:t>
      </w:r>
      <w:proofErr w:type="spellStart"/>
      <w:r w:rsidR="00DE7FF5">
        <w:rPr>
          <w:i/>
          <w:iCs/>
          <w:color w:val="375623"/>
          <w:sz w:val="19"/>
          <w:szCs w:val="19"/>
        </w:rPr>
        <w:t>RentalValue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Bucket chart, showing listings grouped into weekly-rent bands in correct ascending order.</w:t>
      </w:r>
    </w:p>
    <w:p w14:paraId="6F65ACF7" w14:textId="77777777" w:rsidR="00B40F65" w:rsidRDefault="00DE7FF5">
      <w:r>
        <w:br w:type="page"/>
      </w:r>
    </w:p>
    <w:p w14:paraId="6F65ACF8" w14:textId="77777777" w:rsidR="00B40F65" w:rsidRDefault="00DE7FF5">
      <w:pPr>
        <w:pStyle w:val="Heading1"/>
        <w:spacing w:before="400" w:after="200"/>
      </w:pPr>
      <w:r>
        <w:lastRenderedPageBreak/>
        <w:t>6. Schools Page</w:t>
      </w:r>
    </w:p>
    <w:p w14:paraId="6F65ACF9" w14:textId="77777777" w:rsidR="00B40F65" w:rsidRDefault="00DE7FF5">
      <w:pPr>
        <w:spacing w:after="150"/>
      </w:pPr>
      <w:proofErr w:type="spellStart"/>
      <w:r>
        <w:t>Analyzes</w:t>
      </w:r>
      <w:proofErr w:type="spellEnd"/>
      <w:r>
        <w:t xml:space="preserve"> school presence and type by suburb and city.</w:t>
      </w:r>
    </w:p>
    <w:p w14:paraId="6F65ACFA" w14:textId="24BDDE70" w:rsidR="00B40F65" w:rsidRDefault="00B5079C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B5079C">
        <w:rPr>
          <w:i/>
          <w:iCs/>
          <w:color w:val="375623"/>
          <w:sz w:val="19"/>
          <w:szCs w:val="19"/>
        </w:rPr>
        <w:drawing>
          <wp:inline distT="0" distB="0" distL="0" distR="0" wp14:anchorId="230B30B4" wp14:editId="3761B525">
            <wp:extent cx="6128878" cy="3663950"/>
            <wp:effectExtent l="0" t="0" r="5715" b="0"/>
            <wp:docPr id="171460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06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2498" cy="366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 xml:space="preserve">Full page view: KPI cards, map, "School Count by City" bar chart, </w:t>
      </w:r>
      <w:proofErr w:type="spellStart"/>
      <w:r w:rsidR="00DE7FF5">
        <w:rPr>
          <w:i/>
          <w:iCs/>
          <w:color w:val="375623"/>
          <w:sz w:val="19"/>
          <w:szCs w:val="19"/>
        </w:rPr>
        <w:t>SchoolType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donut chart, and the detail table.</w:t>
      </w:r>
    </w:p>
    <w:p w14:paraId="71058710" w14:textId="77777777" w:rsidR="00CF567C" w:rsidRDefault="00CF567C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  <w:rPr>
          <w:i/>
          <w:iCs/>
          <w:color w:val="375623"/>
          <w:sz w:val="19"/>
          <w:szCs w:val="19"/>
        </w:rPr>
      </w:pPr>
      <w:r w:rsidRPr="00CF567C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6E486E2A" wp14:editId="5DDF0DDF">
            <wp:extent cx="3276508" cy="3676650"/>
            <wp:effectExtent l="0" t="0" r="635" b="0"/>
            <wp:docPr id="38387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74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66" cy="370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ACFB" w14:textId="6E9F5179" w:rsidR="00B40F65" w:rsidRDefault="00DE7FF5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>
        <w:rPr>
          <w:i/>
          <w:iCs/>
          <w:color w:val="375623"/>
          <w:sz w:val="19"/>
          <w:szCs w:val="19"/>
        </w:rPr>
        <w:t xml:space="preserve">Close-up of the School Count by </w:t>
      </w:r>
      <w:proofErr w:type="spellStart"/>
      <w:r>
        <w:rPr>
          <w:i/>
          <w:iCs/>
          <w:color w:val="375623"/>
          <w:sz w:val="19"/>
          <w:szCs w:val="19"/>
        </w:rPr>
        <w:t>SchoolType</w:t>
      </w:r>
      <w:proofErr w:type="spellEnd"/>
      <w:r>
        <w:rPr>
          <w:i/>
          <w:iCs/>
          <w:color w:val="375623"/>
          <w:sz w:val="19"/>
          <w:szCs w:val="19"/>
        </w:rPr>
        <w:t xml:space="preserve"> donut chart with its legend visible.</w:t>
      </w:r>
    </w:p>
    <w:p w14:paraId="6F65ACFC" w14:textId="77777777" w:rsidR="00B40F65" w:rsidRDefault="00DE7FF5">
      <w:r>
        <w:lastRenderedPageBreak/>
        <w:br w:type="page"/>
      </w:r>
    </w:p>
    <w:p w14:paraId="6F65ACFD" w14:textId="77777777" w:rsidR="00B40F65" w:rsidRDefault="00DE7FF5">
      <w:pPr>
        <w:pStyle w:val="Heading1"/>
        <w:spacing w:before="400" w:after="200"/>
      </w:pPr>
      <w:r>
        <w:lastRenderedPageBreak/>
        <w:t>7. Transport Page</w:t>
      </w:r>
    </w:p>
    <w:p w14:paraId="6F65ACFE" w14:textId="77777777" w:rsidR="00B40F65" w:rsidRDefault="00DE7FF5">
      <w:pPr>
        <w:spacing w:after="150"/>
      </w:pPr>
      <w:proofErr w:type="spellStart"/>
      <w:r>
        <w:t>Analyzes</w:t>
      </w:r>
      <w:proofErr w:type="spellEnd"/>
      <w:r>
        <w:t xml:space="preserve"> public transport stop coverage by suburb, city, and state.</w:t>
      </w:r>
    </w:p>
    <w:p w14:paraId="6F65ACFF" w14:textId="013CEB37" w:rsidR="00B40F65" w:rsidRDefault="004B2D35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4B2D35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191859AD" wp14:editId="2108645A">
            <wp:extent cx="6153172" cy="3644900"/>
            <wp:effectExtent l="0" t="0" r="0" b="0"/>
            <wp:docPr id="209225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58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0939" cy="364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>Full page view: KPI cards, map (stop locations), "Transport Stop Count by City" bar chart, and the "Distinct Stops by State" chart.</w:t>
      </w:r>
    </w:p>
    <w:p w14:paraId="6F65AD00" w14:textId="77777777" w:rsidR="00B40F65" w:rsidRDefault="00DE7FF5">
      <w:r>
        <w:br w:type="page"/>
      </w:r>
    </w:p>
    <w:p w14:paraId="6F65AD01" w14:textId="77777777" w:rsidR="00B40F65" w:rsidRDefault="00DE7FF5">
      <w:pPr>
        <w:pStyle w:val="Heading1"/>
        <w:spacing w:before="400" w:after="200"/>
      </w:pPr>
      <w:r>
        <w:lastRenderedPageBreak/>
        <w:t>8. Crime Page</w:t>
      </w:r>
    </w:p>
    <w:p w14:paraId="6F65AD02" w14:textId="77777777" w:rsidR="00B40F65" w:rsidRDefault="00DE7FF5">
      <w:pPr>
        <w:spacing w:after="150"/>
      </w:pPr>
      <w:proofErr w:type="spellStart"/>
      <w:r>
        <w:t>Analyzes</w:t>
      </w:r>
      <w:proofErr w:type="spellEnd"/>
      <w:r>
        <w:t xml:space="preserve"> recorded crime incidents by suburb, city, state, and offence category.</w:t>
      </w:r>
    </w:p>
    <w:p w14:paraId="6F65AD03" w14:textId="26C625AF" w:rsidR="00B40F65" w:rsidRDefault="004969C8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4969C8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1AA076EE" wp14:editId="6BCAFD89">
            <wp:extent cx="6134679" cy="3644900"/>
            <wp:effectExtent l="0" t="0" r="0" b="0"/>
            <wp:docPr id="2428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42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2642" cy="36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 xml:space="preserve">Full page view: KPI cards, map, "Total Recorded Incidents by City" chart, "by </w:t>
      </w:r>
      <w:proofErr w:type="spellStart"/>
      <w:r w:rsidR="00DE7FF5">
        <w:rPr>
          <w:i/>
          <w:iCs/>
          <w:color w:val="375623"/>
          <w:sz w:val="19"/>
          <w:szCs w:val="19"/>
        </w:rPr>
        <w:t>OffenceCategory</w:t>
      </w:r>
      <w:proofErr w:type="spellEnd"/>
      <w:r w:rsidR="00DE7FF5">
        <w:rPr>
          <w:i/>
          <w:iCs/>
          <w:color w:val="375623"/>
          <w:sz w:val="19"/>
          <w:szCs w:val="19"/>
        </w:rPr>
        <w:t>" chart, and the detail table.</w:t>
      </w:r>
    </w:p>
    <w:p w14:paraId="6F65AD04" w14:textId="51758E56" w:rsidR="00B40F65" w:rsidRDefault="007D5D15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7D5D15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25E26C55" wp14:editId="470A2198">
            <wp:extent cx="6115050" cy="3087598"/>
            <wp:effectExtent l="0" t="0" r="0" b="0"/>
            <wp:docPr id="50113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1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8980" cy="309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 xml:space="preserve">Close-up of the Total Recorded Incidents by </w:t>
      </w:r>
      <w:proofErr w:type="spellStart"/>
      <w:r w:rsidR="00DE7FF5">
        <w:rPr>
          <w:i/>
          <w:iCs/>
          <w:color w:val="375623"/>
          <w:sz w:val="19"/>
          <w:szCs w:val="19"/>
        </w:rPr>
        <w:t>OffenceCategory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bar chart, showing which offence types dominate.</w:t>
      </w:r>
    </w:p>
    <w:p w14:paraId="6F65AD05" w14:textId="77777777" w:rsidR="00B40F65" w:rsidRDefault="00DE7FF5">
      <w:r>
        <w:br w:type="page"/>
      </w:r>
    </w:p>
    <w:p w14:paraId="6F65AD06" w14:textId="77777777" w:rsidR="00B40F65" w:rsidRDefault="00DE7FF5">
      <w:pPr>
        <w:pStyle w:val="Heading1"/>
        <w:spacing w:before="400" w:after="200"/>
      </w:pPr>
      <w:r>
        <w:lastRenderedPageBreak/>
        <w:t>9. Additional Features</w:t>
      </w:r>
    </w:p>
    <w:p w14:paraId="6F65AD07" w14:textId="77777777" w:rsidR="00B40F65" w:rsidRDefault="00DE7FF5">
      <w:pPr>
        <w:pStyle w:val="Heading2"/>
        <w:spacing w:before="300" w:after="150"/>
      </w:pPr>
      <w:r>
        <w:t>9.1 Report-Level Filtering</w:t>
      </w:r>
    </w:p>
    <w:p w14:paraId="6F65AD08" w14:textId="77777777" w:rsidR="00B40F65" w:rsidRDefault="00DE7FF5">
      <w:pPr>
        <w:spacing w:after="150"/>
      </w:pPr>
      <w:r>
        <w:t>A report-level filter (applied under "Filters on all pages") excludes three suburbs with known data-quality issues (UNKNOWN, WALL FLAT, RETREAT) from every page and every visual automatically.</w:t>
      </w:r>
    </w:p>
    <w:p w14:paraId="0D5D8238" w14:textId="77777777" w:rsidR="00982603" w:rsidRDefault="00982603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  <w:rPr>
          <w:i/>
          <w:iCs/>
          <w:color w:val="375623"/>
          <w:sz w:val="19"/>
          <w:szCs w:val="19"/>
        </w:rPr>
      </w:pPr>
      <w:r w:rsidRPr="00982603">
        <w:rPr>
          <w:b/>
          <w:bCs/>
          <w:i/>
          <w:iCs/>
          <w:color w:val="375623"/>
          <w:sz w:val="20"/>
          <w:szCs w:val="20"/>
        </w:rPr>
        <w:drawing>
          <wp:inline distT="0" distB="0" distL="0" distR="0" wp14:anchorId="4DD6F5D5" wp14:editId="0F8273E3">
            <wp:extent cx="2032000" cy="3980206"/>
            <wp:effectExtent l="0" t="0" r="6350" b="1270"/>
            <wp:docPr id="11724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5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9768" cy="39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AD09" w14:textId="3A133177" w:rsidR="00B40F65" w:rsidRDefault="00DE7FF5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>
        <w:rPr>
          <w:i/>
          <w:iCs/>
          <w:color w:val="375623"/>
          <w:sz w:val="19"/>
          <w:szCs w:val="19"/>
        </w:rPr>
        <w:t>The Filters pane showing the Suburb filter under "Filters on all pages", with UNKNOWN/WALL FLAT/RETREAT excluded.</w:t>
      </w:r>
    </w:p>
    <w:p w14:paraId="6F65AD0A" w14:textId="77777777" w:rsidR="00B40F65" w:rsidRDefault="00DE7FF5">
      <w:pPr>
        <w:pStyle w:val="Heading2"/>
        <w:spacing w:before="300" w:after="150"/>
      </w:pPr>
      <w:r>
        <w:t>9.2 Custom Theme and Icons</w:t>
      </w:r>
    </w:p>
    <w:p w14:paraId="6F65AD0B" w14:textId="77777777" w:rsidR="00B40F65" w:rsidRDefault="00DE7FF5">
      <w:pPr>
        <w:spacing w:after="150"/>
      </w:pPr>
      <w:r>
        <w:t>A custom navy theme (matching colour scheme across every page) and custom flat-icon set (one per KPI metric) were applied throughout the report for visual consistency.</w:t>
      </w:r>
    </w:p>
    <w:p w14:paraId="6F65AD0C" w14:textId="6005F8BC" w:rsidR="00B40F65" w:rsidRDefault="000B380E">
      <w:pPr>
        <w:pBdr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pBdr>
        <w:shd w:val="clear" w:color="auto" w:fill="E2EFDA"/>
        <w:spacing w:before="150" w:after="250"/>
        <w:ind w:left="200" w:right="200"/>
      </w:pPr>
      <w:r w:rsidRPr="000B380E">
        <w:rPr>
          <w:b/>
          <w:bCs/>
          <w:i/>
          <w:iCs/>
          <w:color w:val="375623"/>
          <w:sz w:val="20"/>
          <w:szCs w:val="20"/>
        </w:rPr>
        <w:lastRenderedPageBreak/>
        <w:drawing>
          <wp:inline distT="0" distB="0" distL="0" distR="0" wp14:anchorId="60243357" wp14:editId="756363EB">
            <wp:extent cx="6108700" cy="4992193"/>
            <wp:effectExtent l="0" t="0" r="6350" b="0"/>
            <wp:docPr id="3364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82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9971" cy="501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5">
        <w:rPr>
          <w:i/>
          <w:iCs/>
          <w:color w:val="375623"/>
          <w:sz w:val="19"/>
          <w:szCs w:val="19"/>
        </w:rPr>
        <w:t>View ribbon → Themes, showing the custom "</w:t>
      </w:r>
      <w:proofErr w:type="spellStart"/>
      <w:r w:rsidR="00DE7FF5">
        <w:rPr>
          <w:i/>
          <w:iCs/>
          <w:color w:val="375623"/>
          <w:sz w:val="19"/>
          <w:szCs w:val="19"/>
        </w:rPr>
        <w:t>AUProperty</w:t>
      </w:r>
      <w:proofErr w:type="spellEnd"/>
      <w:r w:rsidR="00DE7FF5">
        <w:rPr>
          <w:i/>
          <w:iCs/>
          <w:color w:val="375623"/>
          <w:sz w:val="19"/>
          <w:szCs w:val="19"/>
        </w:rPr>
        <w:t xml:space="preserve"> Theme" selected as the current theme.</w:t>
      </w:r>
    </w:p>
    <w:sectPr w:rsidR="00B40F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72E5"/>
    <w:multiLevelType w:val="hybridMultilevel"/>
    <w:tmpl w:val="0DE2F398"/>
    <w:lvl w:ilvl="0" w:tplc="CBC862B6">
      <w:start w:val="1"/>
      <w:numFmt w:val="bullet"/>
      <w:lvlText w:val="•"/>
      <w:lvlJc w:val="left"/>
      <w:pPr>
        <w:ind w:left="460" w:hanging="260"/>
      </w:pPr>
    </w:lvl>
    <w:lvl w:ilvl="1" w:tplc="68AAA686">
      <w:numFmt w:val="decimal"/>
      <w:lvlText w:val=""/>
      <w:lvlJc w:val="left"/>
    </w:lvl>
    <w:lvl w:ilvl="2" w:tplc="D30ADDC8">
      <w:numFmt w:val="decimal"/>
      <w:lvlText w:val=""/>
      <w:lvlJc w:val="left"/>
    </w:lvl>
    <w:lvl w:ilvl="3" w:tplc="DE60CA1C">
      <w:numFmt w:val="decimal"/>
      <w:lvlText w:val=""/>
      <w:lvlJc w:val="left"/>
    </w:lvl>
    <w:lvl w:ilvl="4" w:tplc="49A0DB66">
      <w:numFmt w:val="decimal"/>
      <w:lvlText w:val=""/>
      <w:lvlJc w:val="left"/>
    </w:lvl>
    <w:lvl w:ilvl="5" w:tplc="9894081A">
      <w:numFmt w:val="decimal"/>
      <w:lvlText w:val=""/>
      <w:lvlJc w:val="left"/>
    </w:lvl>
    <w:lvl w:ilvl="6" w:tplc="163698BA">
      <w:numFmt w:val="decimal"/>
      <w:lvlText w:val=""/>
      <w:lvlJc w:val="left"/>
    </w:lvl>
    <w:lvl w:ilvl="7" w:tplc="8F149BDE">
      <w:numFmt w:val="decimal"/>
      <w:lvlText w:val=""/>
      <w:lvlJc w:val="left"/>
    </w:lvl>
    <w:lvl w:ilvl="8" w:tplc="1EA8896C">
      <w:numFmt w:val="decimal"/>
      <w:lvlText w:val=""/>
      <w:lvlJc w:val="left"/>
    </w:lvl>
  </w:abstractNum>
  <w:abstractNum w:abstractNumId="1" w15:restartNumberingAfterBreak="0">
    <w:nsid w:val="2AA377EA"/>
    <w:multiLevelType w:val="hybridMultilevel"/>
    <w:tmpl w:val="46DAA8D8"/>
    <w:lvl w:ilvl="0" w:tplc="D31ED12C">
      <w:start w:val="1"/>
      <w:numFmt w:val="bullet"/>
      <w:lvlText w:val="●"/>
      <w:lvlJc w:val="left"/>
      <w:pPr>
        <w:ind w:left="720" w:hanging="360"/>
      </w:pPr>
    </w:lvl>
    <w:lvl w:ilvl="1" w:tplc="175A258A">
      <w:start w:val="1"/>
      <w:numFmt w:val="bullet"/>
      <w:lvlText w:val="○"/>
      <w:lvlJc w:val="left"/>
      <w:pPr>
        <w:ind w:left="1440" w:hanging="360"/>
      </w:pPr>
    </w:lvl>
    <w:lvl w:ilvl="2" w:tplc="9E0A4F8A">
      <w:start w:val="1"/>
      <w:numFmt w:val="bullet"/>
      <w:lvlText w:val="■"/>
      <w:lvlJc w:val="left"/>
      <w:pPr>
        <w:ind w:left="2160" w:hanging="360"/>
      </w:pPr>
    </w:lvl>
    <w:lvl w:ilvl="3" w:tplc="BF48CDA8">
      <w:start w:val="1"/>
      <w:numFmt w:val="bullet"/>
      <w:lvlText w:val="●"/>
      <w:lvlJc w:val="left"/>
      <w:pPr>
        <w:ind w:left="2880" w:hanging="360"/>
      </w:pPr>
    </w:lvl>
    <w:lvl w:ilvl="4" w:tplc="33C45A8A">
      <w:start w:val="1"/>
      <w:numFmt w:val="bullet"/>
      <w:lvlText w:val="○"/>
      <w:lvlJc w:val="left"/>
      <w:pPr>
        <w:ind w:left="3600" w:hanging="360"/>
      </w:pPr>
    </w:lvl>
    <w:lvl w:ilvl="5" w:tplc="D750A418">
      <w:start w:val="1"/>
      <w:numFmt w:val="bullet"/>
      <w:lvlText w:val="■"/>
      <w:lvlJc w:val="left"/>
      <w:pPr>
        <w:ind w:left="4320" w:hanging="360"/>
      </w:pPr>
    </w:lvl>
    <w:lvl w:ilvl="6" w:tplc="B0961E80">
      <w:start w:val="1"/>
      <w:numFmt w:val="bullet"/>
      <w:lvlText w:val="●"/>
      <w:lvlJc w:val="left"/>
      <w:pPr>
        <w:ind w:left="5040" w:hanging="360"/>
      </w:pPr>
    </w:lvl>
    <w:lvl w:ilvl="7" w:tplc="82128A2A">
      <w:start w:val="1"/>
      <w:numFmt w:val="bullet"/>
      <w:lvlText w:val="●"/>
      <w:lvlJc w:val="left"/>
      <w:pPr>
        <w:ind w:left="5760" w:hanging="360"/>
      </w:pPr>
    </w:lvl>
    <w:lvl w:ilvl="8" w:tplc="ED8E15A2">
      <w:start w:val="1"/>
      <w:numFmt w:val="bullet"/>
      <w:lvlText w:val="●"/>
      <w:lvlJc w:val="left"/>
      <w:pPr>
        <w:ind w:left="6480" w:hanging="360"/>
      </w:pPr>
    </w:lvl>
  </w:abstractNum>
  <w:num w:numId="1" w16cid:durableId="1498426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F65"/>
    <w:rsid w:val="0008171E"/>
    <w:rsid w:val="000B380E"/>
    <w:rsid w:val="00270B34"/>
    <w:rsid w:val="003372B6"/>
    <w:rsid w:val="00450726"/>
    <w:rsid w:val="00482F4D"/>
    <w:rsid w:val="004969C8"/>
    <w:rsid w:val="004B09CB"/>
    <w:rsid w:val="004B2D35"/>
    <w:rsid w:val="00582D73"/>
    <w:rsid w:val="005D3EDF"/>
    <w:rsid w:val="007823AC"/>
    <w:rsid w:val="007D5D15"/>
    <w:rsid w:val="007D7823"/>
    <w:rsid w:val="008D085C"/>
    <w:rsid w:val="0091436A"/>
    <w:rsid w:val="00982603"/>
    <w:rsid w:val="00AA61BE"/>
    <w:rsid w:val="00AB6200"/>
    <w:rsid w:val="00B1206F"/>
    <w:rsid w:val="00B40F65"/>
    <w:rsid w:val="00B5079C"/>
    <w:rsid w:val="00B70453"/>
    <w:rsid w:val="00CF567C"/>
    <w:rsid w:val="00DE7FF5"/>
    <w:rsid w:val="00E96340"/>
    <w:rsid w:val="00EF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ACD4"/>
  <w15:docId w15:val="{CCF1C33E-A4D8-4447-9AE5-20E9D2AD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Z" w:eastAsia="en-NZ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Madala</cp:lastModifiedBy>
  <cp:revision>25</cp:revision>
  <dcterms:created xsi:type="dcterms:W3CDTF">2026-07-17T06:58:00Z</dcterms:created>
  <dcterms:modified xsi:type="dcterms:W3CDTF">2026-07-17T07:37:00Z</dcterms:modified>
</cp:coreProperties>
</file>