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6DB1" w14:textId="77777777" w:rsidR="0078270B" w:rsidRPr="0078270B" w:rsidRDefault="0078270B" w:rsidP="0078270B">
      <w:pPr>
        <w:keepNext/>
        <w:widowControl w:val="0"/>
        <w:autoSpaceDE w:val="0"/>
        <w:autoSpaceDN w:val="0"/>
        <w:adjustRightInd w:val="0"/>
        <w:spacing w:after="0" w:line="280" w:lineRule="atLeast"/>
        <w:jc w:val="both"/>
        <w:outlineLvl w:val="2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78270B">
        <w:rPr>
          <w:rFonts w:ascii="Calibri" w:eastAsia="Times New Roman" w:hAnsi="Calibri" w:cs="Calibri"/>
          <w:b/>
          <w:bCs/>
          <w:color w:val="000000"/>
          <w:kern w:val="0"/>
          <w:sz w:val="24"/>
          <w:szCs w:val="20"/>
          <w14:ligatures w14:val="none"/>
        </w:rPr>
        <w:t xml:space="preserve">Step 7. Sensitivity Analysis </w:t>
      </w:r>
    </w:p>
    <w:p w14:paraId="18F1E6DC" w14:textId="77777777" w:rsidR="0078270B" w:rsidRPr="0078270B" w:rsidRDefault="0078270B" w:rsidP="0078270B">
      <w:pPr>
        <w:widowControl w:val="0"/>
        <w:autoSpaceDE w:val="0"/>
        <w:autoSpaceDN w:val="0"/>
        <w:adjustRightInd w:val="0"/>
        <w:spacing w:after="0" w:line="280" w:lineRule="atLeast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13324B4F" w14:textId="5A46153E" w:rsidR="0078270B" w:rsidRPr="0078270B" w:rsidRDefault="0078270B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In order to evaluate the robustness of the selected model under </w:t>
      </w:r>
      <w:r w:rsidR="00D0655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stressed</w:t>
      </w:r>
      <w:r w:rsidR="00D06556"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economic conditions, a sensitivity analysis was performed. </w:t>
      </w:r>
      <w:r w:rsidR="00D06556" w:rsidRPr="00D0655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This analysis evaluates the model's sensitivity to changes in macroeconomic indicators by individually adjusting each regressor to observe its impact on the estimated PDs </w:t>
      </w:r>
      <w:r w:rsidR="00D0655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/</w:t>
      </w:r>
      <w:r w:rsidR="00D06556" w:rsidRPr="00D0655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LGDs.</w:t>
      </w:r>
    </w:p>
    <w:p w14:paraId="0B7FD0D2" w14:textId="77777777" w:rsidR="0078270B" w:rsidRPr="0078270B" w:rsidRDefault="0078270B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17AC7D4" w14:textId="716522AA" w:rsidR="0078270B" w:rsidRPr="0078270B" w:rsidRDefault="0078270B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Final model is no: </w:t>
      </w:r>
      <w:r w:rsidR="007C75BA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{sensitivity_</w:t>
      </w:r>
      <w:r w:rsidR="0048090C" w:rsidRPr="0048090C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model_number</w:t>
      </w:r>
      <w:r w:rsidR="007C75BA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}</w:t>
      </w:r>
      <w:r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having </w:t>
      </w:r>
      <w:r w:rsidR="007C75BA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{sensitivity_</w:t>
      </w:r>
      <w:r w:rsidR="0048701B" w:rsidRPr="0048701B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dependent_var</w:t>
      </w:r>
      <w:r w:rsidR="007C75BA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}</w:t>
      </w:r>
      <w:r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as dependent variable and explanatories as follows: </w:t>
      </w:r>
      <w:r w:rsidR="007C75BA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{sensitivity_</w:t>
      </w:r>
      <w:r w:rsidR="00FA4393" w:rsidRPr="00FA4393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temp_list</w:t>
      </w:r>
      <w:r w:rsidR="007C75BA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>}</w:t>
      </w:r>
      <w:r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1E50EB0E" w14:textId="77777777" w:rsidR="0078270B" w:rsidRPr="0078270B" w:rsidRDefault="0078270B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156462A" w14:textId="357578DA" w:rsidR="0078270B" w:rsidRPr="0078270B" w:rsidRDefault="0078270B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We applied an increase and a decrease of</w:t>
      </w:r>
      <w:r w:rsidR="0061501B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14:ligatures w14:val="none"/>
        </w:rPr>
        <w:t xml:space="preserve"> {percentage}</w:t>
      </w:r>
      <w:r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to the initial macroeconomic variables included in the model.</w:t>
      </w:r>
      <w:r w:rsidR="00D0655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The effects are further derived based on the transformation of the initial macroeconomic variable used in the model.</w:t>
      </w:r>
      <w:r w:rsidRPr="0078270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The results of the analysis are presented in the below file:</w:t>
      </w:r>
    </w:p>
    <w:p w14:paraId="05CE7714" w14:textId="77777777" w:rsidR="0078270B" w:rsidRPr="0078270B" w:rsidRDefault="0078270B" w:rsidP="0078270B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5CBAE81F" w14:textId="77777777" w:rsidR="0078270B" w:rsidRPr="002F0C5A" w:rsidRDefault="0078270B" w:rsidP="0078270B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i/>
          <w:iCs/>
          <w:kern w:val="0"/>
          <w:sz w:val="24"/>
          <w:szCs w:val="24"/>
          <w14:ligatures w14:val="none"/>
        </w:rPr>
      </w:pPr>
      <w:r w:rsidRPr="002F0C5A">
        <w:rPr>
          <w:rFonts w:ascii="Calibri" w:eastAsia="Times New Roman" w:hAnsi="Calibri" w:cs="Calibri"/>
          <w:i/>
          <w:iCs/>
          <w:kern w:val="0"/>
          <w:sz w:val="24"/>
          <w:szCs w:val="24"/>
          <w14:ligatures w14:val="none"/>
        </w:rPr>
        <w:t>Please see reference 13 from Annex 1</w:t>
      </w:r>
    </w:p>
    <w:p w14:paraId="5E41EEE1" w14:textId="77777777" w:rsidR="00D32733" w:rsidRDefault="00D32733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75E9603D" w14:textId="12BDA7FD" w:rsidR="00916D4C" w:rsidRDefault="00916D4C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results revealed the following evolutions of the estimated risk parameter as an average of the predictions</w:t>
      </w:r>
      <w:r w:rsidR="0073778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as presented in the below table:</w:t>
      </w:r>
    </w:p>
    <w:p w14:paraId="413491CB" w14:textId="77777777" w:rsidR="00916D4C" w:rsidRDefault="00916D4C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249"/>
        <w:gridCol w:w="1246"/>
        <w:gridCol w:w="1288"/>
        <w:gridCol w:w="1474"/>
        <w:gridCol w:w="2469"/>
      </w:tblGrid>
      <w:tr w:rsidR="00B87F31" w14:paraId="47470F40" w14:textId="77777777" w:rsidTr="008605C9">
        <w:tc>
          <w:tcPr>
            <w:tcW w:w="1074" w:type="dxa"/>
          </w:tcPr>
          <w:p w14:paraId="60BA0BDA" w14:textId="383F2377" w:rsidR="00916D4C" w:rsidRDefault="00916D4C" w:rsidP="0078270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Independent variable</w:t>
            </w:r>
          </w:p>
        </w:tc>
        <w:tc>
          <w:tcPr>
            <w:tcW w:w="1543" w:type="dxa"/>
          </w:tcPr>
          <w:p w14:paraId="1FE800CA" w14:textId="59B4F1F0" w:rsidR="00916D4C" w:rsidRDefault="00916D4C" w:rsidP="0078270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Average Baseline</w:t>
            </w:r>
          </w:p>
        </w:tc>
        <w:tc>
          <w:tcPr>
            <w:tcW w:w="1539" w:type="dxa"/>
          </w:tcPr>
          <w:p w14:paraId="5C65A288" w14:textId="7B4BA438" w:rsidR="00916D4C" w:rsidRDefault="00916D4C" w:rsidP="0078270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Average Increase</w:t>
            </w:r>
          </w:p>
        </w:tc>
        <w:tc>
          <w:tcPr>
            <w:tcW w:w="1593" w:type="dxa"/>
          </w:tcPr>
          <w:p w14:paraId="421915C5" w14:textId="4D7832A9" w:rsidR="00916D4C" w:rsidRDefault="00916D4C" w:rsidP="0078270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Average Decrease</w:t>
            </w:r>
          </w:p>
        </w:tc>
        <w:tc>
          <w:tcPr>
            <w:tcW w:w="1727" w:type="dxa"/>
          </w:tcPr>
          <w:p w14:paraId="576502A7" w14:textId="64C9A4AB" w:rsidR="00916D4C" w:rsidRDefault="00916D4C" w:rsidP="0078270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Relative diff increase</w:t>
            </w:r>
          </w:p>
        </w:tc>
        <w:tc>
          <w:tcPr>
            <w:tcW w:w="1874" w:type="dxa"/>
          </w:tcPr>
          <w:p w14:paraId="5923A392" w14:textId="20F1910F" w:rsidR="00916D4C" w:rsidRDefault="00916D4C" w:rsidP="0078270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Relative diff decrease</w:t>
            </w:r>
          </w:p>
        </w:tc>
      </w:tr>
      <w:tr w:rsidR="00B87F31" w14:paraId="33F2B3C4" w14:textId="77777777" w:rsidTr="008605C9">
        <w:tc>
          <w:tcPr>
            <w:tcW w:w="1074" w:type="dxa"/>
          </w:tcPr>
          <w:p w14:paraId="0C20E3B8" w14:textId="1AFB71B5" w:rsidR="00970FED" w:rsidRDefault="008605C9" w:rsidP="00970FED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{#sensitivityTable}</w:t>
            </w:r>
            <w:r w:rsidR="00E1277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{</w:t>
            </w:r>
            <w:r w:rsidR="00E12771" w:rsidRPr="00E1277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Variable BPV Analysis</w:t>
            </w:r>
            <w:r w:rsidR="00E1277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1543" w:type="dxa"/>
          </w:tcPr>
          <w:p w14:paraId="2204BAB1" w14:textId="3546FB07" w:rsidR="00970FED" w:rsidRPr="000C4E68" w:rsidRDefault="00B87F31" w:rsidP="00970FED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{</w:t>
            </w:r>
            <w:r w:rsidR="000471E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Average_Baseline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1539" w:type="dxa"/>
          </w:tcPr>
          <w:p w14:paraId="64CCB8AC" w14:textId="42BD570C" w:rsidR="00970FED" w:rsidRPr="000C4E68" w:rsidRDefault="00B87F31" w:rsidP="00970FED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{</w:t>
            </w:r>
            <w:r w:rsidR="00970FED" w:rsidRPr="000C4E6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Average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_</w:t>
            </w:r>
            <w:r w:rsidR="00970FED" w:rsidRPr="000C4E6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Increase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1593" w:type="dxa"/>
          </w:tcPr>
          <w:p w14:paraId="1CD58C7B" w14:textId="56D25A30" w:rsidR="00970FED" w:rsidRPr="000C4E68" w:rsidRDefault="008605C9" w:rsidP="00970FED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{</w:t>
            </w:r>
            <w:r w:rsidR="00D76906" w:rsidRPr="00D76906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Average_Decrease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1727" w:type="dxa"/>
          </w:tcPr>
          <w:p w14:paraId="477B1709" w14:textId="53D08EB7" w:rsidR="00970FED" w:rsidRPr="000C4E68" w:rsidRDefault="008605C9" w:rsidP="00970FED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{</w:t>
            </w:r>
            <w:r w:rsidR="00E13D35" w:rsidRPr="000C4E6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Relative_diff_increase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1874" w:type="dxa"/>
          </w:tcPr>
          <w:p w14:paraId="582F91A1" w14:textId="35C6EFC5" w:rsidR="00970FED" w:rsidRPr="000C4E68" w:rsidRDefault="008605C9" w:rsidP="00970FED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{</w:t>
            </w:r>
            <w:r w:rsidR="000C4E68" w:rsidRPr="000C4E68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Relative_diff_decrease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}</w:t>
            </w:r>
            <w:r w:rsidRPr="008605C9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{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/</w:t>
            </w:r>
            <w:r w:rsidRPr="008605C9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sensitivityTable}</w:t>
            </w:r>
          </w:p>
        </w:tc>
      </w:tr>
    </w:tbl>
    <w:p w14:paraId="581A67F6" w14:textId="77777777" w:rsidR="00916D4C" w:rsidRDefault="00916D4C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0D83A4D1" w14:textId="77777777" w:rsidR="00916D4C" w:rsidRDefault="00916D4C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5AE8332" w14:textId="39F168C3" w:rsidR="00D32733" w:rsidRDefault="00D32733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3273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results of this sensitivity analysis indicate that the model remains stable under </w:t>
      </w:r>
      <w:r w:rsidR="00D0655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stressed</w:t>
      </w:r>
      <w:r w:rsidR="00D06556" w:rsidRPr="00D3273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="00D0655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scenario</w:t>
      </w:r>
      <w:r w:rsidRPr="00D3273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="00D0655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applied on </w:t>
      </w:r>
      <w:r w:rsidRPr="00D3273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macroeconomic environment. The outcomes provide confidence in the model's predictive power </w:t>
      </w:r>
      <w:r w:rsidR="00D0655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and confirm that the model is fit for use in predicting the evolution of the risk parameter of the portfolio. </w:t>
      </w:r>
    </w:p>
    <w:p w14:paraId="7E1DEE2C" w14:textId="77777777" w:rsidR="00F451E1" w:rsidRPr="0078270B" w:rsidRDefault="00F451E1" w:rsidP="0078270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FA95220" w14:textId="7B1F16A3" w:rsidR="007A4A99" w:rsidRDefault="007A4A99">
      <w:pPr>
        <w:rPr>
          <w:lang w:val="ro-RO"/>
        </w:rPr>
      </w:pPr>
      <w:r>
        <w:rPr>
          <w:lang w:val="ro-RO"/>
        </w:rPr>
        <w:br w:type="page"/>
      </w:r>
    </w:p>
    <w:p w14:paraId="6D533A98" w14:textId="77777777" w:rsidR="007A4A99" w:rsidRPr="007A4A99" w:rsidRDefault="007A4A99" w:rsidP="007A4A99">
      <w:pPr>
        <w:keepNext/>
        <w:widowControl w:val="0"/>
        <w:autoSpaceDE w:val="0"/>
        <w:autoSpaceDN w:val="0"/>
        <w:adjustRightInd w:val="0"/>
        <w:spacing w:after="0" w:line="280" w:lineRule="atLeast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0"/>
          <w14:ligatures w14:val="none"/>
        </w:rPr>
      </w:pPr>
      <w:r w:rsidRPr="007A4A99">
        <w:rPr>
          <w:rFonts w:ascii="Calibri" w:eastAsia="Times New Roman" w:hAnsi="Calibri" w:cs="Calibri"/>
          <w:b/>
          <w:bCs/>
          <w:color w:val="000000"/>
          <w:kern w:val="0"/>
          <w:sz w:val="24"/>
          <w:szCs w:val="20"/>
          <w14:ligatures w14:val="none"/>
        </w:rPr>
        <w:lastRenderedPageBreak/>
        <w:t>Annex 1</w:t>
      </w:r>
    </w:p>
    <w:p w14:paraId="2CFBBE60" w14:textId="77777777" w:rsidR="007A4A99" w:rsidRPr="007A4A99" w:rsidRDefault="007A4A99" w:rsidP="007A4A99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15"/>
        <w:gridCol w:w="6504"/>
      </w:tblGrid>
      <w:tr w:rsidR="007A4A99" w:rsidRPr="007A4A99" w14:paraId="72E8954A" w14:textId="77777777" w:rsidTr="009F458C">
        <w:tc>
          <w:tcPr>
            <w:tcW w:w="2515" w:type="dxa"/>
          </w:tcPr>
          <w:p w14:paraId="50C324BE" w14:textId="77777777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 w:rsidRPr="007A4A99">
              <w:rPr>
                <w:rFonts w:ascii="Calibri" w:eastAsia="Calibri" w:hAnsi="Calibri" w:cs="Calibri"/>
                <w:sz w:val="24"/>
                <w:szCs w:val="28"/>
              </w:rPr>
              <w:t>Reference</w:t>
            </w:r>
          </w:p>
        </w:tc>
        <w:tc>
          <w:tcPr>
            <w:tcW w:w="6504" w:type="dxa"/>
          </w:tcPr>
          <w:p w14:paraId="69656BE1" w14:textId="77777777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 w:rsidRPr="007A4A99">
              <w:rPr>
                <w:rFonts w:ascii="Calibri" w:eastAsia="Calibri" w:hAnsi="Calibri" w:cs="Calibri"/>
                <w:sz w:val="24"/>
                <w:szCs w:val="28"/>
              </w:rPr>
              <w:t>File name</w:t>
            </w:r>
          </w:p>
        </w:tc>
      </w:tr>
      <w:tr w:rsidR="007A4A99" w:rsidRPr="007A4A99" w14:paraId="36B891D9" w14:textId="77777777" w:rsidTr="009F458C">
        <w:tc>
          <w:tcPr>
            <w:tcW w:w="2515" w:type="dxa"/>
          </w:tcPr>
          <w:p w14:paraId="5FB43011" w14:textId="77777777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 w:rsidRPr="007A4A99">
              <w:rPr>
                <w:rFonts w:ascii="Calibri" w:eastAsia="Calibri" w:hAnsi="Calibri" w:cs="Calibri"/>
                <w:sz w:val="24"/>
                <w:szCs w:val="28"/>
              </w:rPr>
              <w:t>4</w:t>
            </w:r>
          </w:p>
        </w:tc>
        <w:tc>
          <w:tcPr>
            <w:tcW w:w="6504" w:type="dxa"/>
          </w:tcPr>
          <w:p w14:paraId="1EA4E381" w14:textId="77777777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 w:rsidRPr="007A4A99">
              <w:rPr>
                <w:rFonts w:ascii="Calibri" w:eastAsia="Calibri" w:hAnsi="Calibri" w:cs="Calibri"/>
                <w:sz w:val="24"/>
                <w:szCs w:val="28"/>
              </w:rPr>
              <w:t>{stationarityFileName}</w:t>
            </w:r>
          </w:p>
        </w:tc>
      </w:tr>
      <w:tr w:rsidR="007A4A99" w:rsidRPr="007A4A99" w14:paraId="429A1262" w14:textId="77777777" w:rsidTr="009F458C">
        <w:tc>
          <w:tcPr>
            <w:tcW w:w="2515" w:type="dxa"/>
          </w:tcPr>
          <w:p w14:paraId="61BFFE55" w14:textId="77777777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 w:rsidRPr="007A4A99">
              <w:rPr>
                <w:rFonts w:ascii="Calibri" w:eastAsia="Calibri" w:hAnsi="Calibri" w:cs="Calibri"/>
                <w:sz w:val="24"/>
                <w:szCs w:val="28"/>
              </w:rPr>
              <w:t>8</w:t>
            </w:r>
          </w:p>
        </w:tc>
        <w:tc>
          <w:tcPr>
            <w:tcW w:w="6504" w:type="dxa"/>
          </w:tcPr>
          <w:p w14:paraId="1D8CEE2E" w14:textId="77777777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 w:rsidRPr="007A4A99">
              <w:rPr>
                <w:rFonts w:ascii="Calibri" w:eastAsia="Calibri" w:hAnsi="Calibri" w:cs="Calibri"/>
                <w:sz w:val="24"/>
                <w:szCs w:val="28"/>
              </w:rPr>
              <w:t>{finalSubsetFileName}</w:t>
            </w:r>
          </w:p>
        </w:tc>
      </w:tr>
      <w:tr w:rsidR="007A4A99" w:rsidRPr="007A4A99" w14:paraId="28868DE5" w14:textId="77777777" w:rsidTr="009F458C">
        <w:tc>
          <w:tcPr>
            <w:tcW w:w="2515" w:type="dxa"/>
          </w:tcPr>
          <w:p w14:paraId="2BC011DE" w14:textId="77777777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 w:rsidRPr="007A4A99">
              <w:rPr>
                <w:rFonts w:ascii="Calibri" w:eastAsia="Calibri" w:hAnsi="Calibri" w:cs="Calibri"/>
                <w:sz w:val="24"/>
                <w:szCs w:val="28"/>
              </w:rPr>
              <w:t>12</w:t>
            </w:r>
          </w:p>
        </w:tc>
        <w:tc>
          <w:tcPr>
            <w:tcW w:w="6504" w:type="dxa"/>
          </w:tcPr>
          <w:p w14:paraId="027A4A71" w14:textId="77777777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 w:rsidRPr="007A4A99">
              <w:rPr>
                <w:rFonts w:ascii="Calibri" w:eastAsia="Calibri" w:hAnsi="Calibri" w:cs="Calibri"/>
                <w:sz w:val="24"/>
                <w:szCs w:val="28"/>
              </w:rPr>
              <w:t>{finalFeasibleFileName}</w:t>
            </w:r>
          </w:p>
        </w:tc>
      </w:tr>
      <w:tr w:rsidR="007A4A99" w:rsidRPr="007A4A99" w14:paraId="546CA38A" w14:textId="77777777" w:rsidTr="009F458C">
        <w:tc>
          <w:tcPr>
            <w:tcW w:w="2515" w:type="dxa"/>
          </w:tcPr>
          <w:p w14:paraId="6751EBE1" w14:textId="0BA86126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>
              <w:rPr>
                <w:rFonts w:ascii="Calibri" w:eastAsia="Calibri" w:hAnsi="Calibri" w:cs="Calibri"/>
                <w:sz w:val="24"/>
                <w:szCs w:val="28"/>
              </w:rPr>
              <w:t>13</w:t>
            </w:r>
          </w:p>
        </w:tc>
        <w:tc>
          <w:tcPr>
            <w:tcW w:w="6504" w:type="dxa"/>
          </w:tcPr>
          <w:p w14:paraId="4CD2F778" w14:textId="615F95F5" w:rsidR="007A4A99" w:rsidRPr="007A4A99" w:rsidRDefault="007A4A99" w:rsidP="007A4A99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Calibri" w:eastAsia="Calibri" w:hAnsi="Calibri" w:cs="Calibri"/>
                <w:sz w:val="24"/>
                <w:szCs w:val="28"/>
              </w:rPr>
            </w:pPr>
            <w:r>
              <w:rPr>
                <w:rFonts w:ascii="Calibri" w:eastAsia="Calibri" w:hAnsi="Calibri" w:cs="Calibri"/>
                <w:sz w:val="24"/>
                <w:szCs w:val="28"/>
              </w:rPr>
              <w:t>{sensitivityAnalysisFileName}</w:t>
            </w:r>
          </w:p>
        </w:tc>
      </w:tr>
    </w:tbl>
    <w:p w14:paraId="72B4601A" w14:textId="77777777" w:rsidR="00B00E73" w:rsidRDefault="00B00E73" w:rsidP="00B00E73">
      <w:pPr>
        <w:rPr>
          <w:lang w:val="ro-RO"/>
        </w:rPr>
      </w:pPr>
    </w:p>
    <w:p w14:paraId="41EB9F8F" w14:textId="77777777" w:rsidR="008E74FB" w:rsidRPr="00B00E73" w:rsidRDefault="008E74FB" w:rsidP="00B00E73">
      <w:pPr>
        <w:rPr>
          <w:lang w:val="ro-RO"/>
        </w:rPr>
      </w:pPr>
    </w:p>
    <w:sectPr w:rsidR="008E74FB" w:rsidRPr="00B0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3"/>
    <w:rsid w:val="000471E7"/>
    <w:rsid w:val="000C4E68"/>
    <w:rsid w:val="00107AE2"/>
    <w:rsid w:val="00147A78"/>
    <w:rsid w:val="00174AD1"/>
    <w:rsid w:val="00191709"/>
    <w:rsid w:val="00193A7C"/>
    <w:rsid w:val="00295AC5"/>
    <w:rsid w:val="002C3143"/>
    <w:rsid w:val="002D6353"/>
    <w:rsid w:val="002E300C"/>
    <w:rsid w:val="002F0C5A"/>
    <w:rsid w:val="00345D48"/>
    <w:rsid w:val="00353A52"/>
    <w:rsid w:val="00442047"/>
    <w:rsid w:val="0048090C"/>
    <w:rsid w:val="0048701B"/>
    <w:rsid w:val="004D7039"/>
    <w:rsid w:val="00566A20"/>
    <w:rsid w:val="005C4507"/>
    <w:rsid w:val="0061501B"/>
    <w:rsid w:val="006328BB"/>
    <w:rsid w:val="00737786"/>
    <w:rsid w:val="007566AE"/>
    <w:rsid w:val="0078270B"/>
    <w:rsid w:val="007A4A99"/>
    <w:rsid w:val="007C75BA"/>
    <w:rsid w:val="007E2BCD"/>
    <w:rsid w:val="007E2BE6"/>
    <w:rsid w:val="0083097B"/>
    <w:rsid w:val="008605C9"/>
    <w:rsid w:val="00867C44"/>
    <w:rsid w:val="0087296E"/>
    <w:rsid w:val="00881B59"/>
    <w:rsid w:val="008E74FB"/>
    <w:rsid w:val="00911A02"/>
    <w:rsid w:val="00916D4C"/>
    <w:rsid w:val="00965C4A"/>
    <w:rsid w:val="00970FED"/>
    <w:rsid w:val="009B2397"/>
    <w:rsid w:val="00A12577"/>
    <w:rsid w:val="00A54E6A"/>
    <w:rsid w:val="00B00E73"/>
    <w:rsid w:val="00B0192B"/>
    <w:rsid w:val="00B36461"/>
    <w:rsid w:val="00B3798D"/>
    <w:rsid w:val="00B4665D"/>
    <w:rsid w:val="00B85476"/>
    <w:rsid w:val="00B858F5"/>
    <w:rsid w:val="00B87F31"/>
    <w:rsid w:val="00BF1659"/>
    <w:rsid w:val="00C10FBF"/>
    <w:rsid w:val="00C47BF4"/>
    <w:rsid w:val="00C67167"/>
    <w:rsid w:val="00C86ED4"/>
    <w:rsid w:val="00D06556"/>
    <w:rsid w:val="00D32733"/>
    <w:rsid w:val="00D573CF"/>
    <w:rsid w:val="00D76906"/>
    <w:rsid w:val="00E12771"/>
    <w:rsid w:val="00E13D35"/>
    <w:rsid w:val="00E172A4"/>
    <w:rsid w:val="00E36D8B"/>
    <w:rsid w:val="00E44CD3"/>
    <w:rsid w:val="00E5651E"/>
    <w:rsid w:val="00E932B4"/>
    <w:rsid w:val="00EA711C"/>
    <w:rsid w:val="00EF195B"/>
    <w:rsid w:val="00F451E1"/>
    <w:rsid w:val="00F54407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6293"/>
  <w15:chartTrackingRefBased/>
  <w15:docId w15:val="{A8588BB5-DF10-480E-A1AE-BC96FB4F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00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00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E73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06556"/>
    <w:pPr>
      <w:spacing w:after="0" w:line="240" w:lineRule="auto"/>
    </w:pPr>
  </w:style>
  <w:style w:type="table" w:styleId="TableGrid">
    <w:name w:val="Table Grid"/>
    <w:basedOn w:val="TableNormal"/>
    <w:uiPriority w:val="39"/>
    <w:rsid w:val="0091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6D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6D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6D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4C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7A4A9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E16A0-C0E4-42E6-992E-72C97D29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256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Artan</dc:creator>
  <cp:keywords/>
  <dc:description/>
  <cp:lastModifiedBy>Madalin Radu</cp:lastModifiedBy>
  <cp:revision>26</cp:revision>
  <dcterms:created xsi:type="dcterms:W3CDTF">2024-09-11T06:12:00Z</dcterms:created>
  <dcterms:modified xsi:type="dcterms:W3CDTF">2024-09-17T13:43:00Z</dcterms:modified>
</cp:coreProperties>
</file>