
<file path=[Content_Types].xml><?xml version="1.0" encoding="utf-8"?>
<Types xmlns="http://schemas.openxmlformats.org/package/2006/content-types">
  <Default Extension="wmf" ContentType="image/x-w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0BF4BE">
      <w:pPr>
        <w:jc w:val="center"/>
        <w:rPr>
          <w:rFonts w:eastAsia="黑体"/>
          <w:b/>
          <w:sz w:val="44"/>
        </w:rPr>
      </w:pPr>
      <w:r>
        <w:rPr>
          <w:rFonts w:eastAsia="方正舒体"/>
          <w:b/>
          <w:sz w:val="84"/>
        </w:rPr>
        <w:drawing>
          <wp:inline distT="0" distB="0" distL="0" distR="0">
            <wp:extent cx="1485900" cy="361950"/>
            <wp:effectExtent l="0" t="0" r="0" b="0"/>
            <wp:docPr id="1" name="图片 1" descr="tjd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jdx"/>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485900" cy="361950"/>
                    </a:xfrm>
                    <a:prstGeom prst="rect">
                      <a:avLst/>
                    </a:prstGeom>
                    <a:noFill/>
                    <a:ln>
                      <a:noFill/>
                    </a:ln>
                  </pic:spPr>
                </pic:pic>
              </a:graphicData>
            </a:graphic>
          </wp:inline>
        </w:drawing>
      </w:r>
    </w:p>
    <w:p w14:paraId="757BF3C7">
      <w:pPr>
        <w:jc w:val="center"/>
        <w:rPr>
          <w:b/>
          <w:sz w:val="36"/>
        </w:rPr>
      </w:pPr>
      <w:r>
        <w:rPr>
          <w:rFonts w:hint="eastAsia"/>
          <w:b/>
          <w:sz w:val="36"/>
        </w:rPr>
        <w:t>本科生毕业论文答辩记录书</w:t>
      </w:r>
    </w:p>
    <w:p w14:paraId="07C944A9"/>
    <w:p w14:paraId="2023454D">
      <w:pPr>
        <w:ind w:firstLine="210" w:firstLineChars="100"/>
      </w:pPr>
      <w:r>
        <w:rPr>
          <w:rFonts w:hint="eastAsia"/>
          <w:u w:val="single"/>
        </w:rPr>
        <w:t>智能与计算学部</w:t>
      </w:r>
      <w:r>
        <w:rPr>
          <w:rFonts w:hint="eastAsia"/>
        </w:rPr>
        <w:t xml:space="preserve">学院   </w:t>
      </w:r>
      <w:r>
        <w:rPr>
          <w:rFonts w:hint="eastAsia"/>
          <w:u w:val="single"/>
        </w:rPr>
        <w:t>软件工程</w:t>
      </w:r>
      <w:r>
        <w:rPr>
          <w:rFonts w:hint="eastAsia"/>
        </w:rPr>
        <w:t xml:space="preserve">专业     </w:t>
      </w:r>
      <w:r>
        <w:rPr>
          <w:rFonts w:hint="eastAsia"/>
          <w:u w:val="single"/>
        </w:rPr>
        <w:t>2022</w:t>
      </w:r>
      <w:r>
        <w:rPr>
          <w:rFonts w:hint="eastAsia"/>
        </w:rPr>
        <w:t>年级    学生</w:t>
      </w:r>
      <w:r>
        <w:rPr>
          <w:rFonts w:hint="eastAsia"/>
          <w:u w:val="single"/>
        </w:rPr>
        <w:t>陈俊为</w:t>
      </w:r>
    </w:p>
    <w:tbl>
      <w:tblPr>
        <w:tblStyle w:val="4"/>
        <w:tblW w:w="884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390"/>
        <w:gridCol w:w="379"/>
        <w:gridCol w:w="1301"/>
        <w:gridCol w:w="468"/>
        <w:gridCol w:w="897"/>
        <w:gridCol w:w="872"/>
        <w:gridCol w:w="493"/>
        <w:gridCol w:w="1276"/>
        <w:gridCol w:w="89"/>
        <w:gridCol w:w="1680"/>
      </w:tblGrid>
      <w:tr w14:paraId="7C25F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85" w:hRule="atLeast"/>
        </w:trPr>
        <w:tc>
          <w:tcPr>
            <w:tcW w:w="1390" w:type="dxa"/>
            <w:vAlign w:val="center"/>
          </w:tcPr>
          <w:p w14:paraId="7565A8F0">
            <w:pPr>
              <w:jc w:val="center"/>
            </w:pPr>
            <w:r>
              <w:rPr>
                <w:rFonts w:hint="eastAsia"/>
              </w:rPr>
              <w:t>毕业设计(论文)题目</w:t>
            </w:r>
          </w:p>
        </w:tc>
        <w:tc>
          <w:tcPr>
            <w:tcW w:w="7455" w:type="dxa"/>
            <w:gridSpan w:val="9"/>
            <w:vAlign w:val="center"/>
          </w:tcPr>
          <w:p w14:paraId="6D65BF07">
            <w:pPr>
              <w:ind w:firstLine="420" w:firstLineChars="200"/>
              <w:jc w:val="center"/>
            </w:pPr>
            <w:r>
              <w:rPr>
                <w:rFonts w:hint="eastAsia"/>
              </w:rPr>
              <w:t>基于脉冲神经网络的连续控制强化学习算法研究</w:t>
            </w:r>
          </w:p>
        </w:tc>
      </w:tr>
      <w:tr w14:paraId="65966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85" w:hRule="atLeast"/>
        </w:trPr>
        <w:tc>
          <w:tcPr>
            <w:tcW w:w="1390" w:type="dxa"/>
            <w:vAlign w:val="center"/>
          </w:tcPr>
          <w:p w14:paraId="62329F65">
            <w:pPr>
              <w:jc w:val="center"/>
            </w:pPr>
            <w:r>
              <w:rPr>
                <w:rFonts w:hint="eastAsia"/>
              </w:rPr>
              <w:t>答辩委员会</w:t>
            </w:r>
          </w:p>
          <w:p w14:paraId="11C3AB51">
            <w:pPr>
              <w:jc w:val="center"/>
            </w:pPr>
            <w:r>
              <w:rPr>
                <w:rFonts w:hint="eastAsia"/>
              </w:rPr>
              <w:t>主席</w:t>
            </w:r>
          </w:p>
        </w:tc>
        <w:tc>
          <w:tcPr>
            <w:tcW w:w="1680" w:type="dxa"/>
            <w:gridSpan w:val="2"/>
            <w:vAlign w:val="center"/>
          </w:tcPr>
          <w:p w14:paraId="02D1B07F">
            <w:pPr>
              <w:ind w:firstLine="420" w:firstLineChars="200"/>
              <w:jc w:val="center"/>
            </w:pPr>
            <w:r>
              <w:rPr>
                <w:rFonts w:hint="eastAsia"/>
              </w:rPr>
              <w:t>刘世光</w:t>
            </w:r>
          </w:p>
        </w:tc>
        <w:tc>
          <w:tcPr>
            <w:tcW w:w="1365" w:type="dxa"/>
            <w:gridSpan w:val="2"/>
            <w:vAlign w:val="center"/>
          </w:tcPr>
          <w:p w14:paraId="7C3504E3">
            <w:pPr>
              <w:jc w:val="center"/>
            </w:pPr>
            <w:r>
              <w:rPr>
                <w:rFonts w:hint="eastAsia"/>
              </w:rPr>
              <w:t>职称</w:t>
            </w:r>
          </w:p>
        </w:tc>
        <w:tc>
          <w:tcPr>
            <w:tcW w:w="1365" w:type="dxa"/>
            <w:gridSpan w:val="2"/>
            <w:vAlign w:val="center"/>
          </w:tcPr>
          <w:p w14:paraId="49E8148D">
            <w:pPr>
              <w:jc w:val="center"/>
            </w:pPr>
            <w:r>
              <w:rPr>
                <w:rFonts w:hint="eastAsia"/>
              </w:rPr>
              <w:t>教授</w:t>
            </w:r>
          </w:p>
        </w:tc>
        <w:tc>
          <w:tcPr>
            <w:tcW w:w="1365" w:type="dxa"/>
            <w:gridSpan w:val="2"/>
            <w:vAlign w:val="center"/>
          </w:tcPr>
          <w:p w14:paraId="31CA51F7">
            <w:pPr>
              <w:jc w:val="center"/>
            </w:pPr>
            <w:r>
              <w:rPr>
                <w:rFonts w:hint="eastAsia"/>
              </w:rPr>
              <w:t>答辩委员会</w:t>
            </w:r>
          </w:p>
          <w:p w14:paraId="7B10B6CC">
            <w:pPr>
              <w:jc w:val="center"/>
            </w:pPr>
            <w:r>
              <w:rPr>
                <w:rFonts w:hint="eastAsia"/>
              </w:rPr>
              <w:t>秘书</w:t>
            </w:r>
          </w:p>
        </w:tc>
        <w:tc>
          <w:tcPr>
            <w:tcW w:w="1680" w:type="dxa"/>
            <w:vAlign w:val="center"/>
          </w:tcPr>
          <w:p w14:paraId="4D79E47B">
            <w:pPr>
              <w:jc w:val="center"/>
            </w:pPr>
            <w:r>
              <w:rPr>
                <w:rFonts w:hint="eastAsia"/>
              </w:rPr>
              <w:t>周玉灿</w:t>
            </w:r>
          </w:p>
        </w:tc>
      </w:tr>
      <w:tr w14:paraId="0AB0C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85" w:hRule="atLeast"/>
        </w:trPr>
        <w:tc>
          <w:tcPr>
            <w:tcW w:w="1390" w:type="dxa"/>
            <w:vAlign w:val="center"/>
          </w:tcPr>
          <w:p w14:paraId="20E3BF67">
            <w:pPr>
              <w:jc w:val="center"/>
            </w:pPr>
            <w:r>
              <w:rPr>
                <w:rFonts w:hint="eastAsia"/>
              </w:rPr>
              <w:t>答辩委员会</w:t>
            </w:r>
          </w:p>
          <w:p w14:paraId="15FDCA08">
            <w:pPr>
              <w:jc w:val="center"/>
            </w:pPr>
            <w:r>
              <w:rPr>
                <w:rFonts w:hint="eastAsia"/>
              </w:rPr>
              <w:t>成员</w:t>
            </w:r>
          </w:p>
        </w:tc>
        <w:tc>
          <w:tcPr>
            <w:tcW w:w="7455" w:type="dxa"/>
            <w:gridSpan w:val="9"/>
            <w:vAlign w:val="center"/>
          </w:tcPr>
          <w:p w14:paraId="29F9807C">
            <w:pPr>
              <w:jc w:val="center"/>
            </w:pPr>
            <w:r>
              <w:rPr>
                <w:rFonts w:hint="eastAsia"/>
                <w:lang w:val="en-US" w:eastAsia="zh-CN"/>
              </w:rPr>
              <w:t xml:space="preserve">孙提 翟洋 </w:t>
            </w:r>
            <w:r>
              <w:rPr>
                <w:rFonts w:hint="eastAsia"/>
              </w:rPr>
              <w:t>岳祥虎</w:t>
            </w:r>
          </w:p>
        </w:tc>
      </w:tr>
      <w:tr w14:paraId="34BC8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85" w:hRule="atLeast"/>
        </w:trPr>
        <w:tc>
          <w:tcPr>
            <w:tcW w:w="1769" w:type="dxa"/>
            <w:gridSpan w:val="2"/>
            <w:vAlign w:val="center"/>
          </w:tcPr>
          <w:p w14:paraId="142585DC">
            <w:pPr>
              <w:jc w:val="center"/>
            </w:pPr>
            <w:r>
              <w:rPr>
                <w:rFonts w:hint="eastAsia"/>
              </w:rPr>
              <w:t>开题报告评分</w:t>
            </w:r>
          </w:p>
          <w:p w14:paraId="6824042E">
            <w:pPr>
              <w:jc w:val="center"/>
            </w:pPr>
            <w:r>
              <w:rPr>
                <w:rFonts w:hint="eastAsia"/>
              </w:rPr>
              <w:t>（占5%）</w:t>
            </w:r>
          </w:p>
        </w:tc>
        <w:tc>
          <w:tcPr>
            <w:tcW w:w="1769" w:type="dxa"/>
            <w:gridSpan w:val="2"/>
            <w:vAlign w:val="center"/>
          </w:tcPr>
          <w:p w14:paraId="0C2AC07B">
            <w:pPr>
              <w:jc w:val="center"/>
            </w:pPr>
            <w:r>
              <w:rPr>
                <w:rFonts w:hint="eastAsia"/>
              </w:rPr>
              <w:t>指导教师评分</w:t>
            </w:r>
          </w:p>
          <w:p w14:paraId="1B124A88">
            <w:pPr>
              <w:jc w:val="center"/>
            </w:pPr>
            <w:r>
              <w:rPr>
                <w:rFonts w:hint="eastAsia"/>
              </w:rPr>
              <w:t>（占25%）</w:t>
            </w:r>
          </w:p>
        </w:tc>
        <w:tc>
          <w:tcPr>
            <w:tcW w:w="1769" w:type="dxa"/>
            <w:gridSpan w:val="2"/>
            <w:vAlign w:val="center"/>
          </w:tcPr>
          <w:p w14:paraId="48863B1B">
            <w:pPr>
              <w:jc w:val="center"/>
            </w:pPr>
            <w:r>
              <w:rPr>
                <w:rFonts w:hint="eastAsia"/>
              </w:rPr>
              <w:t>评阅教师评分</w:t>
            </w:r>
          </w:p>
          <w:p w14:paraId="326DC4B9">
            <w:pPr>
              <w:jc w:val="center"/>
            </w:pPr>
            <w:r>
              <w:rPr>
                <w:rFonts w:hint="eastAsia"/>
              </w:rPr>
              <w:t>（占20%）</w:t>
            </w:r>
          </w:p>
        </w:tc>
        <w:tc>
          <w:tcPr>
            <w:tcW w:w="1769" w:type="dxa"/>
            <w:gridSpan w:val="2"/>
            <w:vAlign w:val="center"/>
          </w:tcPr>
          <w:p w14:paraId="59BBE083">
            <w:pPr>
              <w:jc w:val="center"/>
            </w:pPr>
            <w:r>
              <w:rPr>
                <w:rFonts w:hint="eastAsia"/>
              </w:rPr>
              <w:t>答辩委员会评分</w:t>
            </w:r>
          </w:p>
          <w:p w14:paraId="3AA1D15A">
            <w:pPr>
              <w:jc w:val="center"/>
            </w:pPr>
            <w:r>
              <w:rPr>
                <w:rFonts w:hint="eastAsia"/>
              </w:rPr>
              <w:t>（占</w:t>
            </w:r>
            <w:r>
              <w:t>50</w:t>
            </w:r>
            <w:r>
              <w:rPr>
                <w:rFonts w:hint="eastAsia"/>
              </w:rPr>
              <w:t>%）</w:t>
            </w:r>
          </w:p>
        </w:tc>
        <w:tc>
          <w:tcPr>
            <w:tcW w:w="1769" w:type="dxa"/>
            <w:gridSpan w:val="2"/>
            <w:vAlign w:val="center"/>
          </w:tcPr>
          <w:p w14:paraId="71681C6F">
            <w:pPr>
              <w:jc w:val="center"/>
            </w:pPr>
            <w:r>
              <w:rPr>
                <w:rFonts w:hint="eastAsia"/>
              </w:rPr>
              <w:t>设计（论文）</w:t>
            </w:r>
          </w:p>
          <w:p w14:paraId="4C811DCE">
            <w:pPr>
              <w:jc w:val="center"/>
            </w:pPr>
            <w:r>
              <w:rPr>
                <w:rFonts w:hint="eastAsia"/>
              </w:rPr>
              <w:t>总成绩</w:t>
            </w:r>
          </w:p>
        </w:tc>
      </w:tr>
      <w:tr w14:paraId="3D30E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85" w:hRule="atLeast"/>
        </w:trPr>
        <w:tc>
          <w:tcPr>
            <w:tcW w:w="1769" w:type="dxa"/>
            <w:gridSpan w:val="2"/>
            <w:vAlign w:val="center"/>
          </w:tcPr>
          <w:p w14:paraId="1641B192">
            <w:pPr>
              <w:jc w:val="center"/>
            </w:pPr>
            <w:r>
              <w:rPr>
                <w:rFonts w:hint="eastAsia"/>
              </w:rPr>
              <w:t>92</w:t>
            </w:r>
          </w:p>
        </w:tc>
        <w:tc>
          <w:tcPr>
            <w:tcW w:w="1769" w:type="dxa"/>
            <w:gridSpan w:val="2"/>
            <w:vAlign w:val="center"/>
          </w:tcPr>
          <w:p w14:paraId="05912447">
            <w:pPr>
              <w:jc w:val="center"/>
            </w:pPr>
            <w:r>
              <w:rPr>
                <w:rFonts w:hint="eastAsia"/>
              </w:rPr>
              <w:t>92</w:t>
            </w:r>
          </w:p>
        </w:tc>
        <w:tc>
          <w:tcPr>
            <w:tcW w:w="1769" w:type="dxa"/>
            <w:gridSpan w:val="2"/>
            <w:vAlign w:val="center"/>
          </w:tcPr>
          <w:p w14:paraId="30FAEEFB">
            <w:pPr>
              <w:jc w:val="center"/>
            </w:pPr>
            <w:r>
              <w:rPr>
                <w:rFonts w:hint="eastAsia"/>
              </w:rPr>
              <w:t>82</w:t>
            </w:r>
          </w:p>
        </w:tc>
        <w:tc>
          <w:tcPr>
            <w:tcW w:w="1769" w:type="dxa"/>
            <w:gridSpan w:val="2"/>
            <w:vAlign w:val="center"/>
          </w:tcPr>
          <w:p w14:paraId="56AF3AD0">
            <w:pPr>
              <w:jc w:val="center"/>
            </w:pPr>
            <w:r>
              <w:rPr>
                <w:rFonts w:hint="eastAsia"/>
              </w:rPr>
              <w:t>80.6</w:t>
            </w:r>
          </w:p>
        </w:tc>
        <w:tc>
          <w:tcPr>
            <w:tcW w:w="1769" w:type="dxa"/>
            <w:gridSpan w:val="2"/>
            <w:vAlign w:val="center"/>
          </w:tcPr>
          <w:p w14:paraId="11EAA215">
            <w:pPr>
              <w:jc w:val="center"/>
            </w:pPr>
            <w:r>
              <w:rPr>
                <w:rFonts w:hint="eastAsia"/>
              </w:rPr>
              <w:t>84.3</w:t>
            </w:r>
          </w:p>
        </w:tc>
      </w:tr>
      <w:tr w14:paraId="1B13E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789" w:hRule="atLeast"/>
        </w:trPr>
        <w:tc>
          <w:tcPr>
            <w:tcW w:w="8845" w:type="dxa"/>
            <w:gridSpan w:val="10"/>
            <w:vAlign w:val="center"/>
          </w:tcPr>
          <w:p w14:paraId="23AE565F">
            <w:pPr>
              <w:ind w:firstLine="33" w:firstLineChars="14"/>
              <w:rPr>
                <w:sz w:val="24"/>
              </w:rPr>
            </w:pPr>
            <w:r>
              <w:rPr>
                <w:rFonts w:hint="eastAsia"/>
                <w:sz w:val="24"/>
              </w:rPr>
              <w:t>1</w:t>
            </w:r>
            <w:r>
              <w:rPr>
                <w:rFonts w:hint="eastAsia" w:ascii="宋体" w:hAnsi="宋体"/>
                <w:sz w:val="24"/>
              </w:rPr>
              <w:t xml:space="preserve">. </w:t>
            </w:r>
            <w:r>
              <w:rPr>
                <w:rFonts w:hint="eastAsia"/>
                <w:sz w:val="24"/>
              </w:rPr>
              <w:t>综合评价</w:t>
            </w:r>
          </w:p>
          <w:p w14:paraId="5145B1A9">
            <w:pPr>
              <w:rPr>
                <w:rFonts w:ascii="宋体" w:hAnsi="宋体"/>
                <w:sz w:val="24"/>
                <w:szCs w:val="24"/>
              </w:rPr>
            </w:pPr>
            <w:r>
              <w:rPr>
                <w:rFonts w:hint="eastAsia" w:ascii="宋体" w:hAnsi="宋体"/>
                <w:sz w:val="24"/>
                <w:szCs w:val="24"/>
              </w:rPr>
              <w:t>该论文围绕代理目标框架下脉冲策略网络在连续控制强化学习任务中的训练机制展开研究，选题具有一定的理论意义和应用价值。论文针对脉冲神经网络用于连续动作输出时存在的梯度传播困难、训练稳定性不足以及神经元时间常数作用机理不清等问题，结合连续控制强化学习算法和脉冲神经元模型进行了较为系统的分析。论文能够从强化学习、脉冲神经网络、代理梯度、时空反向传播以及代理目标框架等方面建立理论基础，并进一步结合具体代码实现说明脉冲策略网络的结构、训练流程和参数设置，研究内容与题目具有较好的一致性。</w:t>
            </w:r>
            <w:r>
              <w:rPr>
                <w:rFonts w:hint="eastAsia" w:ascii="宋体" w:hAnsi="宋体"/>
                <w:sz w:val="24"/>
                <w:szCs w:val="24"/>
              </w:rPr>
              <w:br w:type="textWrapping"/>
            </w:r>
            <w:r>
              <w:rPr>
                <w:rFonts w:hint="eastAsia" w:ascii="宋体" w:hAnsi="宋体"/>
                <w:sz w:val="24"/>
                <w:szCs w:val="24"/>
              </w:rPr>
              <w:br w:type="textWrapping"/>
            </w:r>
            <w:r>
              <w:rPr>
                <w:rFonts w:hint="eastAsia" w:ascii="宋体" w:hAnsi="宋体"/>
                <w:sz w:val="24"/>
                <w:szCs w:val="24"/>
              </w:rPr>
              <w:t>在实验部分，论文基于多个连续控制环境对不同类型策略网络进行了比较，重点分析固定时间常数与可学习时间常数脉冲神经元在代理目标框架下的性能表现和训练机制差异。作者没有简单停留在最终回报对比上，而是进一步结合学习曲线、放电率、代理梯度窗口、有效梯度、膜电位保留项以及时间常数演化等诊断指标，对训练失败和训练成功条件下的内部机制进行了分析。论文能够指出可学习时间常数并不必然带来稳定的性能提升，其作用更多体现为对脉冲策略网络时间尺度的自适应调节，这一结论较为客观，也体现出作者对实验现象的辨析能力。</w:t>
            </w:r>
            <w:r>
              <w:rPr>
                <w:rFonts w:hint="eastAsia" w:ascii="宋体" w:hAnsi="宋体"/>
                <w:sz w:val="24"/>
                <w:szCs w:val="24"/>
              </w:rPr>
              <w:br w:type="textWrapping"/>
            </w:r>
            <w:r>
              <w:rPr>
                <w:rFonts w:hint="eastAsia" w:ascii="宋体" w:hAnsi="宋体"/>
                <w:sz w:val="24"/>
                <w:szCs w:val="24"/>
              </w:rPr>
              <w:br w:type="textWrapping"/>
            </w:r>
            <w:r>
              <w:rPr>
                <w:rFonts w:hint="eastAsia" w:ascii="宋体" w:hAnsi="宋体"/>
                <w:sz w:val="24"/>
                <w:szCs w:val="24"/>
              </w:rPr>
              <w:t>论文结构基本完整，章节安排较为清晰，能够按照研究背景、问题提出、理论基础、网络结构、实验设计、结果分析和总结展望的逻辑展开。文中图表能够支撑主要分析，实验结果与机制讨论之间具有较强联系。论文写作总体规范，表述较为准确，能够体现一定的工程实现能力、实验整理能力和问题分析能力。答辩过程中，作者能够围绕研究目标、方法设计、实验结果和主要结论进行说明，并对评委提出的问题作出回应，表明其对论文工作内容有较为充分的理解。</w:t>
            </w:r>
          </w:p>
          <w:p w14:paraId="20C212CF">
            <w:pPr>
              <w:rPr>
                <w:rFonts w:ascii="宋体" w:hAnsi="宋体"/>
                <w:sz w:val="24"/>
                <w:szCs w:val="24"/>
              </w:rPr>
            </w:pPr>
          </w:p>
          <w:p w14:paraId="1843D9EC"/>
          <w:p w14:paraId="64045FB3">
            <w:pPr>
              <w:spacing w:line="480" w:lineRule="auto"/>
              <w:ind w:firstLine="3600" w:firstLineChars="1500"/>
              <w:rPr>
                <w:rFonts w:hint="eastAsia" w:eastAsia="宋体"/>
                <w:sz w:val="24"/>
                <w:lang w:val="en-US" w:eastAsia="zh-CN"/>
              </w:rPr>
            </w:pPr>
            <w:r>
              <w:rPr>
                <w:rFonts w:hint="eastAsia" w:eastAsia="宋体"/>
                <w:sz w:val="24"/>
                <w:lang w:val="en-US" w:eastAsia="zh-CN"/>
              </w:rPr>
              <w:drawing>
                <wp:anchor distT="0" distB="0" distL="114300" distR="114300" simplePos="0" relativeHeight="251661312" behindDoc="1" locked="0" layoutInCell="1" allowOverlap="1">
                  <wp:simplePos x="0" y="0"/>
                  <wp:positionH relativeFrom="column">
                    <wp:posOffset>4128135</wp:posOffset>
                  </wp:positionH>
                  <wp:positionV relativeFrom="paragraph">
                    <wp:posOffset>-90170</wp:posOffset>
                  </wp:positionV>
                  <wp:extent cx="703580" cy="488950"/>
                  <wp:effectExtent l="0" t="0" r="7620" b="6350"/>
                  <wp:wrapNone/>
                  <wp:docPr id="4" name="图片 4" descr="微信图片_20260607134516_1995_38_去横线_AI_原尺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60607134516_1995_38_去横线_AI_原尺寸"/>
                          <pic:cNvPicPr>
                            <a:picLocks noChangeAspect="1"/>
                          </pic:cNvPicPr>
                        </pic:nvPicPr>
                        <pic:blipFill>
                          <a:blip r:embed="rId7"/>
                          <a:stretch>
                            <a:fillRect/>
                          </a:stretch>
                        </pic:blipFill>
                        <pic:spPr>
                          <a:xfrm>
                            <a:off x="0" y="0"/>
                            <a:ext cx="703580" cy="488950"/>
                          </a:xfrm>
                          <a:prstGeom prst="rect">
                            <a:avLst/>
                          </a:prstGeom>
                        </pic:spPr>
                      </pic:pic>
                    </a:graphicData>
                  </a:graphic>
                </wp:anchor>
              </w:drawing>
            </w:r>
            <w:r>
              <w:rPr>
                <w:rFonts w:hint="eastAsia"/>
                <w:sz w:val="24"/>
              </w:rPr>
              <w:t>答辩委员会主席（签字）：</w:t>
            </w:r>
          </w:p>
          <w:p w14:paraId="7DBD7EE7">
            <w:pPr>
              <w:spacing w:line="480" w:lineRule="auto"/>
              <w:ind w:firstLine="6960" w:firstLineChars="2900"/>
            </w:pPr>
            <w:bookmarkStart w:id="0" w:name="_GoBack"/>
            <w:bookmarkEnd w:id="0"/>
            <w:r>
              <w:rPr>
                <w:rFonts w:hint="eastAsia"/>
                <w:sz w:val="24"/>
                <w:lang w:val="en-US" w:eastAsia="zh-CN"/>
              </w:rPr>
              <w:t>2026</w:t>
            </w:r>
            <w:r>
              <w:rPr>
                <w:rFonts w:hint="eastAsia"/>
                <w:sz w:val="24"/>
              </w:rPr>
              <w:t>年</w:t>
            </w:r>
            <w:r>
              <w:rPr>
                <w:rFonts w:hint="eastAsia"/>
                <w:sz w:val="24"/>
                <w:lang w:val="en-US" w:eastAsia="zh-CN"/>
              </w:rPr>
              <w:t>6</w:t>
            </w:r>
            <w:r>
              <w:rPr>
                <w:rFonts w:hint="eastAsia"/>
                <w:sz w:val="24"/>
              </w:rPr>
              <w:t>月</w:t>
            </w:r>
            <w:r>
              <w:rPr>
                <w:rFonts w:hint="eastAsia"/>
                <w:sz w:val="24"/>
                <w:lang w:val="en-US" w:eastAsia="zh-CN"/>
              </w:rPr>
              <w:t>4</w:t>
            </w:r>
            <w:r>
              <w:rPr>
                <w:rFonts w:hint="eastAsia"/>
                <w:sz w:val="24"/>
              </w:rPr>
              <w:t>日</w:t>
            </w:r>
          </w:p>
        </w:tc>
      </w:tr>
      <w:tr w14:paraId="71D38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18" w:hRule="atLeast"/>
        </w:trPr>
        <w:tc>
          <w:tcPr>
            <w:tcW w:w="8845" w:type="dxa"/>
            <w:gridSpan w:val="10"/>
            <w:vAlign w:val="center"/>
          </w:tcPr>
          <w:p w14:paraId="495D3170">
            <w:pPr>
              <w:ind w:firstLine="33" w:firstLineChars="14"/>
            </w:pPr>
            <w:r>
              <w:rPr>
                <w:rFonts w:hint="eastAsia"/>
                <w:sz w:val="24"/>
              </w:rPr>
              <w:t>2</w:t>
            </w:r>
            <w:r>
              <w:rPr>
                <w:rFonts w:hint="eastAsia" w:ascii="宋体" w:hAnsi="宋体"/>
                <w:sz w:val="24"/>
              </w:rPr>
              <w:t>.答辩记录</w:t>
            </w:r>
          </w:p>
          <w:p w14:paraId="6AE06AE2">
            <w:pPr>
              <w:rPr>
                <w:rFonts w:ascii="宋体" w:hAnsi="宋体"/>
                <w:sz w:val="24"/>
                <w:szCs w:val="24"/>
              </w:rPr>
            </w:pPr>
            <w:r>
              <w:rPr>
                <w:rFonts w:hint="eastAsia" w:ascii="宋体" w:hAnsi="宋体"/>
                <w:sz w:val="24"/>
                <w:szCs w:val="24"/>
              </w:rPr>
              <w:t>一、答辩问答记录</w:t>
            </w:r>
            <w:r>
              <w:rPr>
                <w:rFonts w:hint="eastAsia" w:ascii="宋体" w:hAnsi="宋体"/>
                <w:sz w:val="24"/>
                <w:szCs w:val="24"/>
              </w:rPr>
              <w:br w:type="textWrapping"/>
            </w:r>
            <w:r>
              <w:rPr>
                <w:rFonts w:hint="eastAsia" w:ascii="宋体" w:hAnsi="宋体"/>
                <w:sz w:val="24"/>
                <w:szCs w:val="24"/>
              </w:rPr>
              <w:br w:type="textWrapping"/>
            </w:r>
            <w:r>
              <w:rPr>
                <w:rFonts w:hint="eastAsia" w:ascii="宋体" w:hAnsi="宋体"/>
                <w:sz w:val="24"/>
                <w:szCs w:val="24"/>
              </w:rPr>
              <w:t>问题一：请简要介绍本文的研究内容。</w:t>
            </w:r>
            <w:r>
              <w:rPr>
                <w:rFonts w:hint="eastAsia" w:ascii="宋体" w:hAnsi="宋体"/>
                <w:sz w:val="24"/>
                <w:szCs w:val="24"/>
              </w:rPr>
              <w:br w:type="textWrapping"/>
            </w:r>
            <w:r>
              <w:rPr>
                <w:rFonts w:hint="eastAsia" w:ascii="宋体" w:hAnsi="宋体"/>
                <w:sz w:val="24"/>
                <w:szCs w:val="24"/>
              </w:rPr>
              <w:t>答：本文主要研究代理目标框架下脉冲策略网络在连续控制强化学习任务中的训练机制。论文以脉冲神经网络策略网络为研究对象，比较固定时间常数神经元与可学习时间常数神经元在连续控制任务中的表现，并结合放电率、代理梯度窗口、梯度传递、膜电位保留项和时间常数演化等指标，对训练成功与失败现象进行分析。本文重点不在于提出全新的强化学习算法，而是从实验和机制层面对脉冲策略网络的训练稳定性进行研究。</w:t>
            </w:r>
            <w:r>
              <w:rPr>
                <w:rFonts w:hint="eastAsia" w:ascii="宋体" w:hAnsi="宋体"/>
                <w:sz w:val="24"/>
                <w:szCs w:val="24"/>
              </w:rPr>
              <w:br w:type="textWrapping"/>
            </w:r>
            <w:r>
              <w:rPr>
                <w:rFonts w:hint="eastAsia" w:ascii="宋体" w:hAnsi="宋体"/>
                <w:sz w:val="24"/>
                <w:szCs w:val="24"/>
              </w:rPr>
              <w:br w:type="textWrapping"/>
            </w:r>
            <w:r>
              <w:rPr>
                <w:rFonts w:hint="eastAsia" w:ascii="宋体" w:hAnsi="宋体"/>
                <w:sz w:val="24"/>
                <w:szCs w:val="24"/>
              </w:rPr>
              <w:t>问题二：本文为什么要引入代理目标框架？</w:t>
            </w:r>
            <w:r>
              <w:rPr>
                <w:rFonts w:hint="eastAsia" w:ascii="宋体" w:hAnsi="宋体"/>
                <w:sz w:val="24"/>
                <w:szCs w:val="24"/>
              </w:rPr>
              <w:br w:type="textWrapping"/>
            </w:r>
            <w:r>
              <w:rPr>
                <w:rFonts w:hint="eastAsia" w:ascii="宋体" w:hAnsi="宋体"/>
                <w:sz w:val="24"/>
                <w:szCs w:val="24"/>
              </w:rPr>
              <w:t>答：连续控制强化学习要求策略网络输出连续动作，而脉冲神经网络内部以离散脉冲进行信息传递，直接将其用于目标网络更新时容易造成训练目标不平滑。代理目标框架通过引入连续可微的代理目标网络来拟合在线脉冲策略网络，使目标动作的生成更加稳定，从而缓解脉冲网络与连续控制算法之间的不匹配问题。</w:t>
            </w:r>
            <w:r>
              <w:rPr>
                <w:rFonts w:hint="eastAsia" w:ascii="宋体" w:hAnsi="宋体"/>
                <w:sz w:val="24"/>
                <w:szCs w:val="24"/>
              </w:rPr>
              <w:br w:type="textWrapping"/>
            </w:r>
            <w:r>
              <w:rPr>
                <w:rFonts w:hint="eastAsia" w:ascii="宋体" w:hAnsi="宋体"/>
                <w:sz w:val="24"/>
                <w:szCs w:val="24"/>
              </w:rPr>
              <w:br w:type="textWrapping"/>
            </w:r>
            <w:r>
              <w:rPr>
                <w:rFonts w:hint="eastAsia" w:ascii="宋体" w:hAnsi="宋体"/>
                <w:sz w:val="24"/>
                <w:szCs w:val="24"/>
              </w:rPr>
              <w:t>问题三：本文比较固定时间常数和可学习时间常数神经元的意义是什么？</w:t>
            </w:r>
            <w:r>
              <w:rPr>
                <w:rFonts w:hint="eastAsia" w:ascii="宋体" w:hAnsi="宋体"/>
                <w:sz w:val="24"/>
                <w:szCs w:val="24"/>
              </w:rPr>
              <w:br w:type="textWrapping"/>
            </w:r>
            <w:r>
              <w:rPr>
                <w:rFonts w:hint="eastAsia" w:ascii="宋体" w:hAnsi="宋体"/>
                <w:sz w:val="24"/>
                <w:szCs w:val="24"/>
              </w:rPr>
              <w:t>答：固定时间常数神经元结构简单，但各层的膜电位保留能力在训练前已经确定；可学习时间常数神经元能够在训练过程中调整不同层的时间尺度。本文比较二者，是为了分析可学习时间常数是否能够改善脉冲策略网络的训练表现，以及它是否会使网络形成不同的内部训练机制。</w:t>
            </w:r>
            <w:r>
              <w:rPr>
                <w:rFonts w:hint="eastAsia" w:ascii="宋体" w:hAnsi="宋体"/>
                <w:sz w:val="24"/>
                <w:szCs w:val="24"/>
              </w:rPr>
              <w:br w:type="textWrapping"/>
            </w:r>
            <w:r>
              <w:rPr>
                <w:rFonts w:hint="eastAsia" w:ascii="宋体" w:hAnsi="宋体"/>
                <w:sz w:val="24"/>
                <w:szCs w:val="24"/>
              </w:rPr>
              <w:br w:type="textWrapping"/>
            </w:r>
            <w:r>
              <w:rPr>
                <w:rFonts w:hint="eastAsia" w:ascii="宋体" w:hAnsi="宋体"/>
                <w:sz w:val="24"/>
                <w:szCs w:val="24"/>
              </w:rPr>
              <w:t>问题四：本文的主要特色或工作重点是什么？</w:t>
            </w:r>
            <w:r>
              <w:rPr>
                <w:rFonts w:hint="eastAsia" w:ascii="宋体" w:hAnsi="宋体"/>
                <w:sz w:val="24"/>
                <w:szCs w:val="24"/>
              </w:rPr>
              <w:br w:type="textWrapping"/>
            </w:r>
            <w:r>
              <w:rPr>
                <w:rFonts w:hint="eastAsia" w:ascii="宋体" w:hAnsi="宋体"/>
                <w:sz w:val="24"/>
                <w:szCs w:val="24"/>
              </w:rPr>
              <w:t>答：本文的主要特色在于没有只从最终回报判断模型优劣，而是进一步结合训练过程中的内部诊断指标分析脉冲策略网络的训练机制。论文通过对放电状态、代理梯度有效窗口、梯度传递和时间常数演化等现象的分析，说明可学习时间常数并不必然带来稳定的性能提升，其作用更多体现为对时间尺度的自适应调节。同时，本文也对训练失败现象进行了机制层面的解释。</w:t>
            </w:r>
            <w:r>
              <w:rPr>
                <w:rFonts w:hint="eastAsia" w:ascii="宋体" w:hAnsi="宋体"/>
                <w:sz w:val="24"/>
                <w:szCs w:val="24"/>
              </w:rPr>
              <w:br w:type="textWrapping"/>
            </w:r>
            <w:r>
              <w:rPr>
                <w:rFonts w:hint="eastAsia" w:ascii="宋体" w:hAnsi="宋体"/>
                <w:sz w:val="24"/>
                <w:szCs w:val="24"/>
              </w:rPr>
              <w:br w:type="textWrapping"/>
            </w:r>
            <w:r>
              <w:rPr>
                <w:rFonts w:hint="eastAsia" w:ascii="宋体" w:hAnsi="宋体"/>
                <w:sz w:val="24"/>
                <w:szCs w:val="24"/>
              </w:rPr>
              <w:t>问题五：实验结果说明了什么？</w:t>
            </w:r>
            <w:r>
              <w:rPr>
                <w:rFonts w:hint="eastAsia" w:ascii="宋体" w:hAnsi="宋体"/>
                <w:sz w:val="24"/>
                <w:szCs w:val="24"/>
              </w:rPr>
              <w:br w:type="textWrapping"/>
            </w:r>
            <w:r>
              <w:rPr>
                <w:rFonts w:hint="eastAsia" w:ascii="宋体" w:hAnsi="宋体"/>
                <w:sz w:val="24"/>
                <w:szCs w:val="24"/>
              </w:rPr>
              <w:t>答：实验结果表明，在当前代理目标框架和连续控制任务设置下，可学习时间常数脉冲策略网络与固定时间常数脉冲策略网络的总体性能较为接近，并没有表现出稳定、普适的回报优势。机制分析进一步表明，部分训练失败并不是由于脉冲活动完全消失，而是由于有效代理梯度难以持续传递，导致策略网络参数难以继续获得有效更新。</w:t>
            </w:r>
            <w:r>
              <w:rPr>
                <w:rFonts w:hint="eastAsia" w:ascii="宋体" w:hAnsi="宋体"/>
                <w:sz w:val="24"/>
                <w:szCs w:val="24"/>
              </w:rPr>
              <w:br w:type="textWrapping"/>
            </w:r>
            <w:r>
              <w:rPr>
                <w:rFonts w:hint="eastAsia" w:ascii="宋体" w:hAnsi="宋体"/>
                <w:sz w:val="24"/>
                <w:szCs w:val="24"/>
              </w:rPr>
              <w:br w:type="textWrapping"/>
            </w:r>
            <w:r>
              <w:rPr>
                <w:rFonts w:hint="eastAsia" w:ascii="宋体" w:hAnsi="宋体"/>
                <w:sz w:val="24"/>
                <w:szCs w:val="24"/>
              </w:rPr>
              <w:t>问题六：本文还存在哪些不足？</w:t>
            </w:r>
            <w:r>
              <w:rPr>
                <w:rFonts w:hint="eastAsia" w:ascii="宋体" w:hAnsi="宋体"/>
                <w:sz w:val="24"/>
                <w:szCs w:val="24"/>
              </w:rPr>
              <w:br w:type="textWrapping"/>
            </w:r>
            <w:r>
              <w:rPr>
                <w:rFonts w:hint="eastAsia" w:ascii="宋体" w:hAnsi="宋体"/>
                <w:sz w:val="24"/>
                <w:szCs w:val="24"/>
              </w:rPr>
              <w:t>答：本文仍存在一些不足。首先，实验环境和随机种子数量有限，结论还需要更多实验进一步验证。其次，部分超参数之间可能存在耦合关系，当前实验还不能完全区分各因素的独立影响。最后，本文主要关注训练机制和实验表现，对脉冲神经网络在实际硬件上的能耗优势尚未进行直接评估。</w:t>
            </w:r>
            <w:r>
              <w:rPr>
                <w:rFonts w:hint="eastAsia" w:ascii="宋体" w:hAnsi="宋体"/>
                <w:sz w:val="24"/>
                <w:szCs w:val="24"/>
              </w:rPr>
              <w:br w:type="textWrapping"/>
            </w:r>
            <w:r>
              <w:rPr>
                <w:rFonts w:hint="eastAsia" w:ascii="宋体" w:hAnsi="宋体"/>
                <w:sz w:val="24"/>
                <w:szCs w:val="24"/>
              </w:rPr>
              <w:br w:type="textWrapping"/>
            </w:r>
            <w:r>
              <w:rPr>
                <w:rFonts w:hint="eastAsia" w:ascii="宋体" w:hAnsi="宋体"/>
                <w:sz w:val="24"/>
                <w:szCs w:val="24"/>
              </w:rPr>
              <w:t>二、答辩委员修改意见记录</w:t>
            </w:r>
            <w:r>
              <w:rPr>
                <w:rFonts w:hint="eastAsia" w:ascii="宋体" w:hAnsi="宋体"/>
                <w:sz w:val="24"/>
                <w:szCs w:val="24"/>
              </w:rPr>
              <w:br w:type="textWrapping"/>
            </w:r>
            <w:r>
              <w:rPr>
                <w:rFonts w:hint="eastAsia" w:ascii="宋体" w:hAnsi="宋体"/>
                <w:sz w:val="24"/>
                <w:szCs w:val="24"/>
              </w:rPr>
              <w:br w:type="textWrapping"/>
            </w:r>
            <w:r>
              <w:rPr>
                <w:rFonts w:hint="eastAsia" w:ascii="宋体" w:hAnsi="宋体"/>
                <w:sz w:val="24"/>
                <w:szCs w:val="24"/>
              </w:rPr>
              <w:t>意见一：论文题目较为宽泛，未能充分体现论文的具体研究对象和主要工作。</w:t>
            </w:r>
            <w:r>
              <w:rPr>
                <w:rFonts w:hint="eastAsia" w:ascii="宋体" w:hAnsi="宋体"/>
                <w:sz w:val="24"/>
                <w:szCs w:val="24"/>
              </w:rPr>
              <w:br w:type="textWrapping"/>
            </w:r>
            <w:r>
              <w:rPr>
                <w:rFonts w:hint="eastAsia" w:ascii="宋体" w:hAnsi="宋体"/>
                <w:sz w:val="24"/>
                <w:szCs w:val="24"/>
              </w:rPr>
              <w:t>答：已接受该意见。原题目表述范围较大，容易使读者理解为对类脑神经网络强化学习算法的全面研究。后续拟将题目修改为更加具体的表述，突出代理目标框架、脉冲策略网络和连续控制强化学习等核心内容，使题目与论文实际研究范围更加一致。</w:t>
            </w:r>
            <w:r>
              <w:rPr>
                <w:rFonts w:hint="eastAsia" w:ascii="宋体" w:hAnsi="宋体"/>
                <w:sz w:val="24"/>
                <w:szCs w:val="24"/>
              </w:rPr>
              <w:br w:type="textWrapping"/>
            </w:r>
            <w:r>
              <w:rPr>
                <w:rFonts w:hint="eastAsia" w:ascii="宋体" w:hAnsi="宋体"/>
                <w:sz w:val="24"/>
                <w:szCs w:val="24"/>
              </w:rPr>
              <w:br w:type="textWrapping"/>
            </w:r>
            <w:r>
              <w:rPr>
                <w:rFonts w:hint="eastAsia" w:ascii="宋体" w:hAnsi="宋体"/>
                <w:sz w:val="24"/>
                <w:szCs w:val="24"/>
              </w:rPr>
              <w:t>意见二：论文第四章篇幅较短，与第五章内容联系较紧密，可考虑并入第五章。</w:t>
            </w:r>
            <w:r>
              <w:rPr>
                <w:rFonts w:hint="eastAsia" w:ascii="宋体" w:hAnsi="宋体"/>
                <w:sz w:val="24"/>
                <w:szCs w:val="24"/>
              </w:rPr>
              <w:br w:type="textWrapping"/>
            </w:r>
            <w:r>
              <w:rPr>
                <w:rFonts w:hint="eastAsia" w:ascii="宋体" w:hAnsi="宋体"/>
                <w:sz w:val="24"/>
                <w:szCs w:val="24"/>
              </w:rPr>
              <w:t>答：已接受该意见。第四章主要介绍实验设置、比较对象和训练参数，内容相对偏说明性，与第五章实验结果和分析关系密切。后续将考虑对章节结构进行调整，将第四章中的实验设计与配置说明并入第五章实验结果分析部分，减少章节割裂感，使论文结构更加紧凑。</w:t>
            </w:r>
            <w:r>
              <w:rPr>
                <w:rFonts w:hint="eastAsia" w:ascii="宋体" w:hAnsi="宋体"/>
                <w:sz w:val="24"/>
                <w:szCs w:val="24"/>
              </w:rPr>
              <w:br w:type="textWrapping"/>
            </w:r>
            <w:r>
              <w:rPr>
                <w:rFonts w:hint="eastAsia" w:ascii="宋体" w:hAnsi="宋体"/>
                <w:sz w:val="24"/>
                <w:szCs w:val="24"/>
              </w:rPr>
              <w:br w:type="textWrapping"/>
            </w:r>
            <w:r>
              <w:rPr>
                <w:rFonts w:hint="eastAsia" w:ascii="宋体" w:hAnsi="宋体"/>
                <w:sz w:val="24"/>
                <w:szCs w:val="24"/>
              </w:rPr>
              <w:t>意见三：参考文献数量不够充分。</w:t>
            </w:r>
            <w:r>
              <w:rPr>
                <w:rFonts w:hint="eastAsia" w:ascii="宋体" w:hAnsi="宋体"/>
                <w:sz w:val="24"/>
                <w:szCs w:val="24"/>
              </w:rPr>
              <w:br w:type="textWrapping"/>
            </w:r>
            <w:r>
              <w:rPr>
                <w:rFonts w:hint="eastAsia" w:ascii="宋体" w:hAnsi="宋体"/>
                <w:sz w:val="24"/>
                <w:szCs w:val="24"/>
              </w:rPr>
              <w:t>答：已接受该意见。后续将进一步补充与连续控制强化学习、脉冲神经网络、代理梯度学习、时空反向传播、神经形态计算以及代理目标框架相关的参考文献，并在理论基础和相关工作部分增加引用支撑，使论文论述更加充分、规范。</w:t>
            </w:r>
          </w:p>
          <w:p w14:paraId="600BBD5E">
            <w:pPr>
              <w:rPr>
                <w:rFonts w:ascii="宋体" w:hAnsi="宋体"/>
                <w:sz w:val="24"/>
                <w:szCs w:val="24"/>
              </w:rPr>
            </w:pPr>
          </w:p>
          <w:p w14:paraId="789B30CB">
            <w:pPr>
              <w:rPr>
                <w:rFonts w:hint="eastAsia"/>
              </w:rPr>
            </w:pPr>
            <w:r>
              <w:rPr>
                <w:rFonts w:hint="eastAsia" w:eastAsia="宋体"/>
                <w:sz w:val="24"/>
                <w:lang w:eastAsia="zh-CN"/>
              </w:rPr>
              <w:drawing>
                <wp:anchor distT="0" distB="0" distL="114300" distR="114300" simplePos="0" relativeHeight="251659264" behindDoc="0" locked="0" layoutInCell="1" allowOverlap="1">
                  <wp:simplePos x="0" y="0"/>
                  <wp:positionH relativeFrom="column">
                    <wp:posOffset>4197985</wp:posOffset>
                  </wp:positionH>
                  <wp:positionV relativeFrom="paragraph">
                    <wp:posOffset>-55880</wp:posOffset>
                  </wp:positionV>
                  <wp:extent cx="515620" cy="780415"/>
                  <wp:effectExtent l="0" t="0" r="6985" b="5080"/>
                  <wp:wrapNone/>
                  <wp:docPr id="2" name="图片 2" descr="af0a55f51d2f716ab60fbad6e554ff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0a55f51d2f716ab60fbad6e554ffc5"/>
                          <pic:cNvPicPr>
                            <a:picLocks noChangeAspect="1"/>
                          </pic:cNvPicPr>
                        </pic:nvPicPr>
                        <pic:blipFill>
                          <a:blip r:embed="rId8"/>
                          <a:stretch>
                            <a:fillRect/>
                          </a:stretch>
                        </pic:blipFill>
                        <pic:spPr>
                          <a:xfrm rot="16200000">
                            <a:off x="0" y="0"/>
                            <a:ext cx="515620" cy="780415"/>
                          </a:xfrm>
                          <a:prstGeom prst="rect">
                            <a:avLst/>
                          </a:prstGeom>
                        </pic:spPr>
                      </pic:pic>
                    </a:graphicData>
                  </a:graphic>
                </wp:anchor>
              </w:drawing>
            </w:r>
          </w:p>
          <w:p w14:paraId="3FC2CA42">
            <w:pPr>
              <w:spacing w:line="480" w:lineRule="auto"/>
              <w:ind w:firstLine="3600" w:firstLineChars="1500"/>
              <w:rPr>
                <w:rFonts w:hint="eastAsia" w:eastAsia="宋体"/>
                <w:sz w:val="24"/>
                <w:lang w:eastAsia="zh-CN"/>
              </w:rPr>
            </w:pPr>
            <w:r>
              <w:rPr>
                <w:rFonts w:hint="eastAsia"/>
                <w:sz w:val="24"/>
              </w:rPr>
              <w:t>答辩委员会秘书（签字）：</w:t>
            </w:r>
          </w:p>
          <w:p w14:paraId="1B1214FE">
            <w:pPr>
              <w:spacing w:line="480" w:lineRule="auto"/>
              <w:ind w:firstLine="6960" w:firstLineChars="2900"/>
            </w:pPr>
            <w:r>
              <w:rPr>
                <w:rFonts w:hint="eastAsia"/>
                <w:sz w:val="24"/>
                <w:lang w:val="en-US" w:eastAsia="zh-CN"/>
              </w:rPr>
              <w:t>2026</w:t>
            </w:r>
            <w:r>
              <w:rPr>
                <w:rFonts w:hint="eastAsia"/>
                <w:sz w:val="24"/>
              </w:rPr>
              <w:t>年</w:t>
            </w:r>
            <w:r>
              <w:rPr>
                <w:rFonts w:hint="eastAsia"/>
                <w:sz w:val="24"/>
                <w:lang w:val="en-US" w:eastAsia="zh-CN"/>
              </w:rPr>
              <w:t>6</w:t>
            </w:r>
            <w:r>
              <w:rPr>
                <w:rFonts w:hint="eastAsia"/>
                <w:sz w:val="24"/>
              </w:rPr>
              <w:t>月</w:t>
            </w:r>
            <w:r>
              <w:rPr>
                <w:rFonts w:hint="eastAsia"/>
                <w:sz w:val="24"/>
                <w:lang w:val="en-US" w:eastAsia="zh-CN"/>
              </w:rPr>
              <w:t>4</w:t>
            </w:r>
            <w:r>
              <w:rPr>
                <w:rFonts w:hint="eastAsia"/>
                <w:sz w:val="24"/>
              </w:rPr>
              <w:t>日</w:t>
            </w:r>
          </w:p>
        </w:tc>
      </w:tr>
    </w:tbl>
    <w:p w14:paraId="233574B4">
      <w:pPr>
        <w:tabs>
          <w:tab w:val="left" w:pos="1393"/>
          <w:tab w:val="left" w:pos="3283"/>
          <w:tab w:val="left" w:pos="4530"/>
          <w:tab w:val="left" w:pos="6004"/>
          <w:tab w:val="left" w:pos="7478"/>
          <w:tab w:val="left" w:pos="8953"/>
        </w:tabs>
        <w:ind w:left="108"/>
        <w:jc w:val="left"/>
        <w:rPr>
          <w:b/>
          <w:sz w:val="24"/>
        </w:rPr>
      </w:pPr>
    </w:p>
    <w:p w14:paraId="0BCDCDCA">
      <w:r>
        <w:rPr>
          <w:rFonts w:hint="eastAsia" w:eastAsia="宋体"/>
          <w:sz w:val="24"/>
          <w:lang w:eastAsia="zh-CN"/>
        </w:rPr>
        <w:drawing>
          <wp:anchor distT="0" distB="0" distL="114300" distR="114300" simplePos="0" relativeHeight="251660288" behindDoc="0" locked="0" layoutInCell="1" allowOverlap="1">
            <wp:simplePos x="0" y="0"/>
            <wp:positionH relativeFrom="column">
              <wp:posOffset>4493895</wp:posOffset>
            </wp:positionH>
            <wp:positionV relativeFrom="paragraph">
              <wp:posOffset>-158750</wp:posOffset>
            </wp:positionV>
            <wp:extent cx="544195" cy="951865"/>
            <wp:effectExtent l="0" t="0" r="635" b="1905"/>
            <wp:wrapNone/>
            <wp:docPr id="3" name="图片 3" descr="bdf9c07307e352c3c49825ef72c87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df9c07307e352c3c49825ef72c87908"/>
                    <pic:cNvPicPr>
                      <a:picLocks noChangeAspect="1"/>
                    </pic:cNvPicPr>
                  </pic:nvPicPr>
                  <pic:blipFill>
                    <a:blip r:embed="rId9"/>
                    <a:stretch>
                      <a:fillRect/>
                    </a:stretch>
                  </pic:blipFill>
                  <pic:spPr>
                    <a:xfrm rot="16200000">
                      <a:off x="0" y="0"/>
                      <a:ext cx="544195" cy="951865"/>
                    </a:xfrm>
                    <a:prstGeom prst="rect">
                      <a:avLst/>
                    </a:prstGeom>
                  </pic:spPr>
                </pic:pic>
              </a:graphicData>
            </a:graphic>
          </wp:anchor>
        </w:drawing>
      </w:r>
    </w:p>
    <w:p w14:paraId="2F536B20">
      <w:pPr>
        <w:spacing w:line="480" w:lineRule="auto"/>
        <w:jc w:val="left"/>
        <w:rPr>
          <w:rFonts w:hint="eastAsia" w:eastAsia="宋体"/>
          <w:sz w:val="24"/>
          <w:lang w:eastAsia="zh-CN"/>
        </w:rPr>
      </w:pP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 xml:space="preserve"> 院长（签章） </w:t>
      </w:r>
    </w:p>
    <w:p w14:paraId="2172578C">
      <w:pPr>
        <w:spacing w:line="480" w:lineRule="auto"/>
        <w:jc w:val="left"/>
        <w:rPr>
          <w:sz w:val="24"/>
        </w:rPr>
      </w:pPr>
      <w:r>
        <w:rPr>
          <w:rFonts w:hint="eastAsia"/>
          <w:sz w:val="24"/>
        </w:rPr>
        <w:t xml:space="preserve"> </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 xml:space="preserve">   </w:t>
      </w:r>
      <w:r>
        <w:rPr>
          <w:rFonts w:hint="eastAsia"/>
          <w:sz w:val="24"/>
          <w:lang w:val="en-US" w:eastAsia="zh-CN"/>
        </w:rPr>
        <w:t xml:space="preserve">   2026</w:t>
      </w:r>
      <w:r>
        <w:rPr>
          <w:rFonts w:hint="eastAsia"/>
          <w:sz w:val="24"/>
        </w:rPr>
        <w:t>年</w:t>
      </w:r>
      <w:r>
        <w:rPr>
          <w:rFonts w:hint="eastAsia"/>
          <w:sz w:val="24"/>
          <w:lang w:val="en-US" w:eastAsia="zh-CN"/>
        </w:rPr>
        <w:t>6</w:t>
      </w:r>
      <w:r>
        <w:rPr>
          <w:rFonts w:hint="eastAsia"/>
          <w:sz w:val="24"/>
        </w:rPr>
        <w:t>月</w:t>
      </w:r>
      <w:r>
        <w:rPr>
          <w:rFonts w:hint="eastAsia"/>
          <w:sz w:val="24"/>
          <w:lang w:val="en-US" w:eastAsia="zh-CN"/>
        </w:rPr>
        <w:t>4</w:t>
      </w:r>
      <w:r>
        <w:rPr>
          <w:rFonts w:hint="eastAsia"/>
          <w:sz w:val="24"/>
        </w:rPr>
        <w:t>日</w:t>
      </w:r>
    </w:p>
    <w:p w14:paraId="62EF91F5"/>
    <w:sectPr>
      <w:footerReference r:id="rId3" w:type="default"/>
      <w:footerReference r:id="rId4" w:type="even"/>
      <w:pgSz w:w="11164" w:h="15485"/>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4073D">
    <w:pPr>
      <w:pStyle w:val="2"/>
      <w:framePr w:wrap="around" w:vAnchor="text" w:hAnchor="margin" w:xAlign="center" w:y="1"/>
      <w:rPr>
        <w:rStyle w:val="6"/>
      </w:rPr>
    </w:pPr>
    <w:r>
      <w:rPr>
        <w:rStyle w:val="6"/>
      </w:rPr>
      <w:t>I</w:t>
    </w:r>
    <w:r>
      <w:rPr>
        <w:rStyle w:val="6"/>
      </w:rPr>
      <w:fldChar w:fldCharType="begin"/>
    </w:r>
    <w:r>
      <w:rPr>
        <w:rStyle w:val="6"/>
      </w:rPr>
      <w:instrText xml:space="preserve">PAGE  </w:instrText>
    </w:r>
    <w:r>
      <w:rPr>
        <w:rStyle w:val="6"/>
      </w:rPr>
      <w:fldChar w:fldCharType="separate"/>
    </w:r>
    <w:r>
      <w:rPr>
        <w:rStyle w:val="6"/>
      </w:rPr>
      <w:t>1</w:t>
    </w:r>
    <w:r>
      <w:rPr>
        <w:rStyle w:val="6"/>
      </w:rPr>
      <w:fldChar w:fldCharType="end"/>
    </w:r>
  </w:p>
  <w:p w14:paraId="51C22949">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685F3">
    <w:pPr>
      <w:pStyle w:val="2"/>
      <w:framePr w:wrap="around" w:vAnchor="text" w:hAnchor="margin" w:xAlign="center" w:y="1"/>
      <w:rPr>
        <w:rStyle w:val="6"/>
      </w:rPr>
    </w:pPr>
    <w:r>
      <w:rPr>
        <w:rStyle w:val="6"/>
      </w:rPr>
      <w:fldChar w:fldCharType="begin"/>
    </w:r>
    <w:r>
      <w:rPr>
        <w:rStyle w:val="6"/>
      </w:rPr>
      <w:instrText xml:space="preserve">PAGE  </w:instrText>
    </w:r>
    <w:r>
      <w:rPr>
        <w:rStyle w:val="6"/>
      </w:rPr>
      <w:fldChar w:fldCharType="end"/>
    </w:r>
  </w:p>
  <w:p w14:paraId="7F453671">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F0E"/>
    <w:rsid w:val="000410D5"/>
    <w:rsid w:val="000C3B2B"/>
    <w:rsid w:val="001C105E"/>
    <w:rsid w:val="00395873"/>
    <w:rsid w:val="00495711"/>
    <w:rsid w:val="004971D1"/>
    <w:rsid w:val="004D39B7"/>
    <w:rsid w:val="00843434"/>
    <w:rsid w:val="009661FD"/>
    <w:rsid w:val="00B00CFC"/>
    <w:rsid w:val="00B330E1"/>
    <w:rsid w:val="00C01D10"/>
    <w:rsid w:val="00C13F12"/>
    <w:rsid w:val="00D7120D"/>
    <w:rsid w:val="00DB155E"/>
    <w:rsid w:val="00FF3F0E"/>
    <w:rsid w:val="044604A9"/>
    <w:rsid w:val="398F55C7"/>
    <w:rsid w:val="3A946897"/>
    <w:rsid w:val="42445101"/>
    <w:rsid w:val="494853E1"/>
    <w:rsid w:val="4A0360B3"/>
    <w:rsid w:val="62533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page number"/>
    <w:basedOn w:val="5"/>
    <w:qFormat/>
    <w:uiPriority w:val="0"/>
  </w:style>
  <w:style w:type="character" w:customStyle="1" w:styleId="7">
    <w:name w:val="页脚 字符"/>
    <w:basedOn w:val="5"/>
    <w:semiHidden/>
    <w:qFormat/>
    <w:uiPriority w:val="99"/>
    <w:rPr>
      <w:sz w:val="18"/>
      <w:szCs w:val="18"/>
    </w:rPr>
  </w:style>
  <w:style w:type="character" w:customStyle="1" w:styleId="8">
    <w:name w:val="页脚 字符1"/>
    <w:basedOn w:val="5"/>
    <w:link w:val="2"/>
    <w:uiPriority w:val="0"/>
    <w:rPr>
      <w:rFonts w:ascii="Times New Roman" w:hAnsi="Times New Roman" w:eastAsia="宋体" w:cs="Times New Roman"/>
      <w:sz w:val="18"/>
      <w:szCs w:val="18"/>
    </w:rPr>
  </w:style>
  <w:style w:type="character" w:customStyle="1" w:styleId="9">
    <w:name w:val="页眉 字符"/>
    <w:basedOn w:val="5"/>
    <w:link w:val="3"/>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DoubleOX</Company>
  <Pages>3</Pages>
  <Words>2347</Words>
  <Characters>2374</Characters>
  <Lines>4</Lines>
  <Paragraphs>1</Paragraphs>
  <TotalTime>27</TotalTime>
  <ScaleCrop>false</ScaleCrop>
  <LinksUpToDate>false</LinksUpToDate>
  <CharactersWithSpaces>2433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2023-08-11T06:58:00Z</dcterms:created>
  <dc:creator>Admin</dc:creator>
  <cp:lastModifiedBy>Mercy</cp:lastModifiedBy>
  <dcterms:modified xsi:type="dcterms:W3CDTF">2026-06-07T06:01:18Z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eyJoZGlkIjoiNWQ0YjZjNzE2ZmU2MGU5MDU5ZWVjZTNkYjdiYzMwNWQiLCJ1c2VySWQiOiI2ODA3MzExNzgifQ==</vt:lpwstr>
  </property>
  <property fmtid="{D5CDD505-2E9C-101B-9397-08002B2CF9AE}" pid="3" name="KSOProductBuildVer">
    <vt:lpwstr>2052-12.1.0.26895</vt:lpwstr>
  </property>
  <property fmtid="{D5CDD505-2E9C-101B-9397-08002B2CF9AE}" pid="4" name="ICV">
    <vt:lpwstr>E6DE70E8113843FE8E987A4CE33F8597_12</vt:lpwstr>
  </property>
</Properties>
</file>