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5C608">
      <w:pPr>
        <w:jc w:val="center"/>
        <w:rPr>
          <w:rFonts w:eastAsia="黑体"/>
          <w:b/>
          <w:sz w:val="44"/>
        </w:rPr>
      </w:pPr>
      <w:r>
        <w:rPr>
          <w:rFonts w:hint="eastAsia" w:eastAsia="黑体"/>
          <w:b/>
          <w:sz w:val="44"/>
        </w:rPr>
        <w:drawing>
          <wp:inline distT="0" distB="0" distL="0" distR="0">
            <wp:extent cx="2562225" cy="838200"/>
            <wp:effectExtent l="0" t="0" r="9525" b="0"/>
            <wp:docPr id="1"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名"/>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7D0BF162">
      <w:pPr>
        <w:jc w:val="center"/>
        <w:rPr>
          <w:rFonts w:hint="eastAsia" w:eastAsia="黑体"/>
          <w:b/>
          <w:sz w:val="44"/>
          <w:lang w:eastAsia="zh-CN"/>
        </w:rPr>
      </w:pPr>
      <w:r>
        <w:rPr>
          <w:rFonts w:hint="eastAsia" w:eastAsia="黑体"/>
          <w:b/>
          <w:sz w:val="44"/>
        </w:rPr>
        <w:t>本科生毕业论文</w:t>
      </w:r>
      <w:r>
        <w:rPr>
          <w:rFonts w:hint="eastAsia" w:eastAsia="黑体"/>
          <w:b/>
          <w:sz w:val="44"/>
          <w:lang w:eastAsia="zh-CN"/>
        </w:rPr>
        <w:t>开题报告</w:t>
      </w:r>
    </w:p>
    <w:p w14:paraId="1266101E"/>
    <w:p w14:paraId="18575E1D"/>
    <w:p w14:paraId="72C95F28"/>
    <w:p w14:paraId="10ACFBC2"/>
    <w:p w14:paraId="317C8D73"/>
    <w:p w14:paraId="7C283152">
      <w:pPr>
        <w:jc w:val="center"/>
      </w:pPr>
      <w:r>
        <w:rPr>
          <w:rFonts w:hint="eastAsia"/>
        </w:rPr>
        <w:drawing>
          <wp:inline distT="0" distB="0" distL="0" distR="0">
            <wp:extent cx="2095500" cy="1924050"/>
            <wp:effectExtent l="0" t="0" r="0" b="0"/>
            <wp:docPr id="4" name="图片 4"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天津大学标准校徽"/>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3AA5C6EF">
      <w:pPr>
        <w:rPr>
          <w:sz w:val="10"/>
        </w:rPr>
      </w:pPr>
    </w:p>
    <w:p w14:paraId="1EEC587D">
      <w:r>
        <w:rPr>
          <w:rFonts w:hint="eastAsia" w:ascii="黑体" w:hAnsi="黑体" w:eastAsia="黑体"/>
          <w:b/>
          <w:sz w:val="32"/>
          <w:szCs w:val="36"/>
        </w:rPr>
        <w:t>题目： 基于脉冲神经网络的连续控制强化学习算法研究</w:t>
      </w:r>
    </w:p>
    <w:p w14:paraId="22C10802"/>
    <w:p w14:paraId="249EBE2C"/>
    <w:p w14:paraId="143976FC">
      <w:pPr>
        <w:ind w:firstLine="2249" w:firstLineChars="700"/>
        <w:rPr>
          <w:b/>
          <w:sz w:val="32"/>
          <w:u w:val="single"/>
        </w:rPr>
      </w:pPr>
      <w:r>
        <w:rPr>
          <w:rFonts w:hint="eastAsia"/>
          <w:b/>
          <w:sz w:val="32"/>
        </w:rPr>
        <w:t>学    院</w:t>
      </w:r>
      <w:r>
        <w:rPr>
          <w:rFonts w:hint="eastAsia"/>
          <w:b/>
          <w:sz w:val="32"/>
          <w:u w:val="single"/>
        </w:rPr>
        <w:t xml:space="preserve">  </w:t>
      </w:r>
      <w:r>
        <w:rPr>
          <w:rFonts w:hint="eastAsia"/>
          <w:b/>
          <w:sz w:val="32"/>
          <w:u w:val="single"/>
          <w:lang w:val="en-US" w:eastAsia="zh-CN"/>
        </w:rPr>
        <w:t xml:space="preserve">  智能与计算学部</w:t>
      </w:r>
      <w:r>
        <w:rPr>
          <w:rFonts w:hint="eastAsia"/>
          <w:b/>
          <w:sz w:val="32"/>
          <w:u w:val="single"/>
        </w:rPr>
        <w:t xml:space="preserve">        </w:t>
      </w:r>
    </w:p>
    <w:p w14:paraId="42AC492C">
      <w:pPr>
        <w:ind w:firstLine="2249" w:firstLineChars="700"/>
        <w:rPr>
          <w:b/>
          <w:sz w:val="32"/>
          <w:u w:val="single"/>
        </w:rPr>
      </w:pPr>
      <w:r>
        <w:rPr>
          <w:rFonts w:hint="eastAsia"/>
          <w:b/>
          <w:sz w:val="32"/>
        </w:rPr>
        <w:t>专    业</w:t>
      </w:r>
      <w:r>
        <w:rPr>
          <w:rFonts w:hint="eastAsia"/>
          <w:b/>
          <w:sz w:val="32"/>
          <w:u w:val="single"/>
        </w:rPr>
        <w:t xml:space="preserve">  </w:t>
      </w:r>
      <w:r>
        <w:rPr>
          <w:rFonts w:hint="eastAsia"/>
          <w:b/>
          <w:sz w:val="32"/>
          <w:u w:val="single"/>
          <w:lang w:val="en-US" w:eastAsia="zh-CN"/>
        </w:rPr>
        <w:t xml:space="preserve">     软件工程</w:t>
      </w:r>
      <w:r>
        <w:rPr>
          <w:rFonts w:hint="eastAsia"/>
          <w:b/>
          <w:sz w:val="32"/>
          <w:u w:val="single"/>
        </w:rPr>
        <w:t xml:space="preserve">          </w:t>
      </w:r>
    </w:p>
    <w:p w14:paraId="1F0872EF">
      <w:pPr>
        <w:ind w:firstLine="2249" w:firstLineChars="700"/>
        <w:rPr>
          <w:b/>
          <w:sz w:val="32"/>
          <w:u w:val="single"/>
        </w:rPr>
      </w:pPr>
      <w:r>
        <w:rPr>
          <w:rFonts w:hint="eastAsia"/>
          <w:b/>
          <w:sz w:val="32"/>
        </w:rPr>
        <w:t>年    级</w:t>
      </w:r>
      <w:r>
        <w:rPr>
          <w:rFonts w:hint="eastAsia"/>
          <w:b/>
          <w:sz w:val="32"/>
          <w:u w:val="single"/>
        </w:rPr>
        <w:t xml:space="preserve">  </w:t>
      </w:r>
      <w:r>
        <w:rPr>
          <w:rFonts w:hint="eastAsia"/>
          <w:b/>
          <w:sz w:val="32"/>
          <w:u w:val="single"/>
          <w:lang w:val="en-US" w:eastAsia="zh-CN"/>
        </w:rPr>
        <w:t xml:space="preserve">      2022级</w:t>
      </w:r>
      <w:r>
        <w:rPr>
          <w:rFonts w:hint="eastAsia"/>
          <w:b/>
          <w:sz w:val="32"/>
          <w:u w:val="single"/>
        </w:rPr>
        <w:t xml:space="preserve">           </w:t>
      </w:r>
    </w:p>
    <w:p w14:paraId="69209AE9">
      <w:pPr>
        <w:ind w:firstLine="2249" w:firstLineChars="700"/>
        <w:rPr>
          <w:b/>
          <w:sz w:val="32"/>
          <w:u w:val="single"/>
        </w:rPr>
      </w:pPr>
      <w:r>
        <w:rPr>
          <w:rFonts w:hint="eastAsia"/>
          <w:b/>
          <w:sz w:val="32"/>
        </w:rPr>
        <w:t>姓    名</w:t>
      </w:r>
      <w:r>
        <w:rPr>
          <w:rFonts w:hint="eastAsia"/>
          <w:b/>
          <w:sz w:val="32"/>
          <w:u w:val="single"/>
        </w:rPr>
        <w:t xml:space="preserve">  </w:t>
      </w:r>
      <w:r>
        <w:rPr>
          <w:rFonts w:hint="eastAsia"/>
          <w:b/>
          <w:sz w:val="32"/>
          <w:u w:val="single"/>
          <w:lang w:val="en-US" w:eastAsia="zh-CN"/>
        </w:rPr>
        <w:t xml:space="preserve">      陈俊为</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0B0647DD">
      <w:pPr>
        <w:ind w:firstLine="2249" w:firstLineChars="700"/>
        <w:rPr>
          <w:b/>
          <w:sz w:val="32"/>
          <w:u w:val="single"/>
        </w:rPr>
      </w:pPr>
      <w:r>
        <w:rPr>
          <w:rFonts w:hint="eastAsia"/>
          <w:b/>
          <w:sz w:val="32"/>
        </w:rPr>
        <w:t>学    号</w:t>
      </w:r>
      <w:r>
        <w:rPr>
          <w:rFonts w:hint="eastAsia"/>
          <w:b/>
          <w:sz w:val="32"/>
          <w:u w:val="single"/>
        </w:rPr>
        <w:t xml:space="preserve">  </w:t>
      </w:r>
      <w:r>
        <w:rPr>
          <w:rFonts w:hint="eastAsia"/>
          <w:b/>
          <w:sz w:val="32"/>
          <w:u w:val="single"/>
          <w:lang w:val="en-US" w:eastAsia="zh-CN"/>
        </w:rPr>
        <w:t xml:space="preserve">    3022234171</w:t>
      </w:r>
      <w:r>
        <w:rPr>
          <w:rFonts w:hint="eastAsia"/>
          <w:b/>
          <w:sz w:val="32"/>
          <w:u w:val="single"/>
        </w:rPr>
        <w:t xml:space="preserve">        </w:t>
      </w:r>
    </w:p>
    <w:p w14:paraId="7CB33728">
      <w:pPr>
        <w:ind w:firstLine="2249" w:firstLineChars="700"/>
        <w:rPr>
          <w:b/>
          <w:sz w:val="32"/>
          <w:u w:val="single"/>
        </w:rPr>
      </w:pPr>
      <w:r>
        <w:rPr>
          <w:rFonts w:hint="eastAsia"/>
          <w:b/>
          <w:sz w:val="32"/>
        </w:rPr>
        <w:t>指导教师</w:t>
      </w:r>
      <w:r>
        <w:rPr>
          <w:rFonts w:hint="eastAsia"/>
          <w:b/>
          <w:sz w:val="32"/>
          <w:u w:val="single"/>
        </w:rPr>
        <w:t xml:space="preserve">  </w:t>
      </w:r>
      <w:r>
        <w:rPr>
          <w:rFonts w:hint="eastAsia"/>
          <w:b/>
          <w:sz w:val="32"/>
          <w:u w:val="single"/>
          <w:lang w:val="en-US" w:eastAsia="zh-CN"/>
        </w:rPr>
        <w:t xml:space="preserve">      于强</w:t>
      </w:r>
      <w:r>
        <w:rPr>
          <w:rFonts w:hint="eastAsia"/>
          <w:b/>
          <w:sz w:val="32"/>
          <w:u w:val="single"/>
        </w:rPr>
        <w:t xml:space="preserve">           </w:t>
      </w:r>
    </w:p>
    <w:p w14:paraId="6AE7B823">
      <w:pPr>
        <w:jc w:val="both"/>
        <w:rPr>
          <w:b/>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1"/>
      </w:tblGrid>
      <w:tr w14:paraId="3901B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11" w:hRule="atLeast"/>
          <w:jc w:val="center"/>
        </w:trPr>
        <w:tc>
          <w:tcPr>
            <w:tcW w:w="8311" w:type="dxa"/>
          </w:tcPr>
          <w:p w14:paraId="26023310">
            <w:pPr>
              <w:pStyle w:val="8"/>
              <w:numPr>
                <w:ilvl w:val="0"/>
                <w:numId w:val="0"/>
              </w:numPr>
              <w:spacing w:line="300" w:lineRule="auto"/>
              <w:ind w:leftChars="0"/>
              <w:rPr>
                <w:rFonts w:hint="eastAsia" w:eastAsia="宋体"/>
                <w:color w:val="auto"/>
                <w:sz w:val="24"/>
                <w:lang w:eastAsia="zh-CN"/>
              </w:rPr>
            </w:pPr>
            <w:r>
              <w:rPr>
                <w:rFonts w:hint="eastAsia"/>
                <w:color w:val="auto"/>
                <w:sz w:val="24"/>
                <w:lang w:eastAsia="zh-CN"/>
              </w:rPr>
              <w:t>一、</w:t>
            </w:r>
            <w:r>
              <w:rPr>
                <w:rFonts w:hint="eastAsia"/>
                <w:sz w:val="24"/>
              </w:rPr>
              <w:t>课题的来源及意义</w:t>
            </w:r>
          </w:p>
          <w:p w14:paraId="3C9FA4F8">
            <w:pPr>
              <w:pStyle w:val="8"/>
              <w:numPr>
                <w:ilvl w:val="0"/>
                <w:numId w:val="0"/>
              </w:numPr>
              <w:spacing w:line="300" w:lineRule="auto"/>
              <w:ind w:leftChars="0" w:firstLine="480" w:firstLineChars="200"/>
              <w:rPr>
                <w:rFonts w:hint="eastAsia"/>
                <w:color w:val="auto"/>
                <w:sz w:val="24"/>
              </w:rPr>
            </w:pPr>
            <w:r>
              <w:rPr>
                <w:rFonts w:hint="eastAsia"/>
                <w:color w:val="auto"/>
                <w:sz w:val="24"/>
              </w:rPr>
              <w:t>本课题来源于人工智能与类脑计算的前沿交叉领域。随着深度强化学习在机器人控制、自动驾驶及复杂决策系统中的广泛应用，传统基于人工神经网络的算法虽然性能强大，但其高昂的计算成本与巨大的能源消耗已成为限制其在移动端及边缘设备大规模部署的关键瓶颈。脉冲神经网络作为第三代神经网络，凭借其类脑的稀疏发放与事件驱动特性，为实现低功耗智能提供了极具潜力的解决方案。然而，将脉冲神经网络应用于高维、动态的连续控制任务仍面临着严峻的挑战。一方面，离散的脉冲信号与连续的控制动作之间存在天然的失配，导致现有算法在训练过程中往往面临梯度估计困难、收敛不稳定的问题；另一方面，传统脉冲神经元模型往往采用固定的动力学参数，缺乏对复杂时变环境的自适应能力，限制了智能体的决策上限。因此，如何突破这些理论与技术壁垒，构建兼具高性能与高能效的控制算法，是当前学术界亟待解决的关键问题。</w:t>
            </w:r>
          </w:p>
          <w:p w14:paraId="13353F71">
            <w:pPr>
              <w:pStyle w:val="8"/>
              <w:numPr>
                <w:ilvl w:val="0"/>
                <w:numId w:val="0"/>
              </w:numPr>
              <w:spacing w:line="300" w:lineRule="auto"/>
              <w:ind w:leftChars="0" w:firstLine="480" w:firstLineChars="200"/>
              <w:rPr>
                <w:rFonts w:hint="eastAsia"/>
                <w:color w:val="auto"/>
                <w:sz w:val="24"/>
              </w:rPr>
            </w:pPr>
            <w:r>
              <w:rPr>
                <w:rFonts w:hint="eastAsia"/>
                <w:color w:val="auto"/>
                <w:sz w:val="24"/>
              </w:rPr>
              <w:t>开展本课题的研究具有重要的理论意义与广阔的应用前景。从理论层面看，探索能够弥合离散脉冲与连续控制之间鸿沟的训练机制，以及赋予神经元更灵活的时间尺度适应能力，有助于完善类脑计算在决策控制领域的理论框架，为理解生物智能的高效运作机制提供计算层面的解释。从应用层面看，解决上述问题将直接推动“绿色AI”的发展，为资源受限的嵌入式系统提供可行的智能化方案。</w:t>
            </w:r>
          </w:p>
          <w:p w14:paraId="12AB8A7E">
            <w:pPr>
              <w:pStyle w:val="8"/>
              <w:numPr>
                <w:ilvl w:val="0"/>
                <w:numId w:val="0"/>
              </w:numPr>
              <w:spacing w:line="300" w:lineRule="auto"/>
              <w:ind w:leftChars="0"/>
              <w:rPr>
                <w:rFonts w:hint="eastAsia" w:eastAsia="宋体"/>
                <w:color w:val="auto"/>
                <w:sz w:val="24"/>
                <w:lang w:eastAsia="zh-CN"/>
              </w:rPr>
            </w:pPr>
            <w:r>
              <w:rPr>
                <w:rFonts w:hint="eastAsia"/>
                <w:color w:val="auto"/>
                <w:sz w:val="24"/>
                <w:lang w:eastAsia="zh-CN"/>
              </w:rPr>
              <w:t>二、</w:t>
            </w:r>
            <w:r>
              <w:rPr>
                <w:rFonts w:hint="eastAsia"/>
                <w:sz w:val="24"/>
              </w:rPr>
              <w:t>国内外发展状况</w:t>
            </w:r>
          </w:p>
          <w:p w14:paraId="3CC2A49E">
            <w:pPr>
              <w:pStyle w:val="8"/>
              <w:numPr>
                <w:ilvl w:val="0"/>
                <w:numId w:val="0"/>
              </w:numPr>
              <w:spacing w:line="300" w:lineRule="auto"/>
              <w:ind w:leftChars="0" w:firstLine="480" w:firstLineChars="200"/>
              <w:rPr>
                <w:rFonts w:hint="eastAsia"/>
                <w:color w:val="auto"/>
                <w:sz w:val="24"/>
              </w:rPr>
            </w:pPr>
            <w:r>
              <w:rPr>
                <w:rFonts w:hint="eastAsia"/>
                <w:color w:val="auto"/>
                <w:sz w:val="24"/>
              </w:rPr>
              <w:t>深度强化学习结合了深度学习的感知能力和强化学习的决策能力，在Atari游戏、MuJoCo连续控制等任务上取得了巨大成功，但传统人工神经网络的高浮点运算量限制了其在移动端的应用。相比之下，SNN通过模拟生物神经元的脉冲发放机制，在神经形态硬件上可实现极低的能耗。近年来，研究者开始尝试将SNN引入强化学习，主要路线包括基于ANN训练后转换的方法和基于代理梯度的直接训练方法。虽然转换方法能获得较高精度，但往往需要较长的推理时间步，且难以处理实时动态任务；而直接训练方法虽然灵活，但在处理连续动作空间的策略梯度时，常因脉冲的不可微性面临梯度估计困难。</w:t>
            </w:r>
          </w:p>
          <w:p w14:paraId="1D225757">
            <w:pPr>
              <w:pStyle w:val="8"/>
              <w:numPr>
                <w:ilvl w:val="0"/>
                <w:numId w:val="0"/>
              </w:numPr>
              <w:spacing w:line="300" w:lineRule="auto"/>
              <w:ind w:leftChars="0"/>
              <w:rPr>
                <w:color w:val="auto"/>
                <w:sz w:val="24"/>
              </w:rPr>
            </w:pPr>
            <w:r>
              <w:rPr>
                <w:rFonts w:hint="eastAsia"/>
                <w:color w:val="auto"/>
                <w:sz w:val="24"/>
              </w:rPr>
              <w:t>针对连续控制任务中的“离散-连续”失配问题，Xu等人（2025）</w:t>
            </w:r>
            <w:r>
              <w:rPr>
                <w:rFonts w:hint="eastAsia"/>
                <w:color w:val="auto"/>
                <w:sz w:val="24"/>
                <w:lang w:eastAsia="zh-CN"/>
              </w:rPr>
              <w:fldChar w:fldCharType="begin"/>
            </w:r>
            <w:r>
              <w:rPr>
                <w:rFonts w:hint="eastAsia"/>
                <w:color w:val="auto"/>
                <w:sz w:val="24"/>
                <w:lang w:eastAsia="zh-CN"/>
              </w:rPr>
              <w:instrText xml:space="preserve"> REF _Ref4587 \r \h </w:instrText>
            </w:r>
            <w:r>
              <w:rPr>
                <w:rFonts w:hint="eastAsia"/>
                <w:color w:val="auto"/>
                <w:sz w:val="24"/>
                <w:lang w:eastAsia="zh-CN"/>
              </w:rPr>
              <w:fldChar w:fldCharType="separate"/>
            </w:r>
            <w:r>
              <w:rPr>
                <w:rFonts w:hint="eastAsia"/>
                <w:color w:val="auto"/>
                <w:sz w:val="24"/>
                <w:lang w:eastAsia="zh-CN"/>
              </w:rPr>
              <w:t>[4]</w:t>
            </w:r>
            <w:r>
              <w:rPr>
                <w:rFonts w:hint="eastAsia"/>
                <w:color w:val="auto"/>
                <w:sz w:val="24"/>
                <w:lang w:eastAsia="zh-CN"/>
              </w:rPr>
              <w:fldChar w:fldCharType="end"/>
            </w:r>
            <w:r>
              <w:rPr>
                <w:rFonts w:hint="eastAsia"/>
                <w:color w:val="auto"/>
                <w:sz w:val="24"/>
              </w:rPr>
              <w:t>指出了SNN的二值脉冲输出会导致目标网络的输出发生跳变，破坏了软更新所需的平滑性假设，严重影响算法收敛。为此，该研究提出了“代理目标”框架，通过引入一个连续值的辅助网络来平滑目标值的更新，并通过隐式模仿学习让辅助网络逼近SNN的行为，显著提升了训练稳定性和最终性能。而在神经元动力学方面，传统的SNN模型通常假设所有神经元具有相同的、固定的膜时间常数。</w:t>
            </w:r>
          </w:p>
          <w:p w14:paraId="5813B73A">
            <w:pPr>
              <w:pStyle w:val="8"/>
              <w:numPr>
                <w:ilvl w:val="0"/>
                <w:numId w:val="0"/>
              </w:numPr>
              <w:spacing w:line="300" w:lineRule="auto"/>
              <w:ind w:leftChars="0"/>
              <w:rPr>
                <w:color w:val="auto"/>
                <w:sz w:val="24"/>
              </w:rPr>
            </w:pPr>
          </w:p>
          <w:p w14:paraId="05019BC5">
            <w:pPr>
              <w:pStyle w:val="8"/>
              <w:numPr>
                <w:ilvl w:val="0"/>
                <w:numId w:val="0"/>
              </w:numPr>
              <w:spacing w:line="300" w:lineRule="auto"/>
              <w:ind w:leftChars="0"/>
              <w:rPr>
                <w:color w:val="auto"/>
                <w:sz w:val="24"/>
              </w:rPr>
            </w:pPr>
          </w:p>
          <w:p w14:paraId="123DEC97">
            <w:pPr>
              <w:pStyle w:val="8"/>
              <w:numPr>
                <w:ilvl w:val="0"/>
                <w:numId w:val="0"/>
              </w:numPr>
              <w:spacing w:line="300" w:lineRule="auto"/>
              <w:ind w:leftChars="0"/>
              <w:rPr>
                <w:color w:val="auto"/>
                <w:sz w:val="24"/>
              </w:rPr>
            </w:pPr>
          </w:p>
          <w:p w14:paraId="65709FFD">
            <w:pPr>
              <w:pStyle w:val="8"/>
              <w:numPr>
                <w:ilvl w:val="0"/>
                <w:numId w:val="0"/>
              </w:numPr>
              <w:spacing w:line="300" w:lineRule="auto"/>
              <w:ind w:leftChars="0"/>
              <w:rPr>
                <w:color w:val="auto"/>
                <w:sz w:val="24"/>
              </w:rPr>
            </w:pPr>
          </w:p>
          <w:p w14:paraId="7447FFBD">
            <w:pPr>
              <w:pStyle w:val="8"/>
              <w:numPr>
                <w:ilvl w:val="0"/>
                <w:numId w:val="0"/>
              </w:numPr>
              <w:spacing w:line="300" w:lineRule="auto"/>
              <w:ind w:leftChars="0"/>
              <w:rPr>
                <w:color w:val="auto"/>
                <w:sz w:val="24"/>
              </w:rPr>
            </w:pPr>
          </w:p>
          <w:p w14:paraId="5CFB429D">
            <w:pPr>
              <w:pStyle w:val="8"/>
              <w:numPr>
                <w:ilvl w:val="0"/>
                <w:numId w:val="0"/>
              </w:numPr>
              <w:spacing w:line="300" w:lineRule="auto"/>
              <w:ind w:leftChars="0"/>
              <w:rPr>
                <w:rFonts w:hint="eastAsia" w:eastAsia="宋体"/>
                <w:color w:val="auto"/>
                <w:sz w:val="24"/>
                <w:lang w:eastAsia="zh-CN"/>
              </w:rPr>
            </w:pPr>
          </w:p>
          <w:p w14:paraId="4D234619">
            <w:pPr>
              <w:pStyle w:val="8"/>
              <w:numPr>
                <w:ilvl w:val="0"/>
                <w:numId w:val="0"/>
              </w:numPr>
              <w:spacing w:line="300" w:lineRule="auto"/>
              <w:ind w:leftChars="0"/>
              <w:rPr>
                <w:color w:val="auto"/>
                <w:sz w:val="24"/>
              </w:rPr>
            </w:pPr>
          </w:p>
          <w:p w14:paraId="3BB5591E">
            <w:pPr>
              <w:pStyle w:val="8"/>
              <w:numPr>
                <w:ilvl w:val="0"/>
                <w:numId w:val="0"/>
              </w:numPr>
              <w:spacing w:line="300" w:lineRule="auto"/>
              <w:ind w:leftChars="0"/>
              <w:rPr>
                <w:color w:val="auto"/>
                <w:sz w:val="24"/>
              </w:rPr>
            </w:pPr>
          </w:p>
          <w:p w14:paraId="1761D9DE">
            <w:pPr>
              <w:pStyle w:val="8"/>
              <w:numPr>
                <w:ilvl w:val="0"/>
                <w:numId w:val="0"/>
              </w:numPr>
              <w:spacing w:line="300" w:lineRule="auto"/>
              <w:ind w:leftChars="0"/>
              <w:rPr>
                <w:color w:val="auto"/>
                <w:sz w:val="24"/>
              </w:rPr>
            </w:pPr>
          </w:p>
          <w:p w14:paraId="4D37CCCC">
            <w:pPr>
              <w:pStyle w:val="8"/>
              <w:numPr>
                <w:ilvl w:val="0"/>
                <w:numId w:val="0"/>
              </w:numPr>
              <w:spacing w:line="300" w:lineRule="auto"/>
              <w:ind w:leftChars="0"/>
              <w:rPr>
                <w:color w:val="auto"/>
                <w:sz w:val="24"/>
              </w:rPr>
            </w:pPr>
          </w:p>
          <w:p w14:paraId="11B43ACE">
            <w:pPr>
              <w:pStyle w:val="8"/>
              <w:numPr>
                <w:ilvl w:val="0"/>
                <w:numId w:val="0"/>
              </w:numPr>
              <w:spacing w:line="300" w:lineRule="auto"/>
              <w:ind w:leftChars="0"/>
              <w:rPr>
                <w:color w:val="auto"/>
                <w:sz w:val="24"/>
              </w:rPr>
            </w:pPr>
          </w:p>
          <w:p w14:paraId="44669367">
            <w:pPr>
              <w:pStyle w:val="8"/>
              <w:numPr>
                <w:ilvl w:val="0"/>
                <w:numId w:val="0"/>
              </w:numPr>
              <w:spacing w:line="300" w:lineRule="auto"/>
              <w:ind w:leftChars="0"/>
              <w:rPr>
                <w:color w:val="auto"/>
                <w:sz w:val="24"/>
              </w:rPr>
            </w:pPr>
          </w:p>
          <w:p w14:paraId="267E659E">
            <w:pPr>
              <w:pStyle w:val="8"/>
              <w:numPr>
                <w:ilvl w:val="0"/>
                <w:numId w:val="0"/>
              </w:numPr>
              <w:spacing w:line="300" w:lineRule="auto"/>
              <w:ind w:leftChars="0"/>
              <w:rPr>
                <w:color w:val="auto"/>
                <w:sz w:val="24"/>
              </w:rPr>
            </w:pPr>
          </w:p>
          <w:p w14:paraId="1811B9B2">
            <w:pPr>
              <w:pStyle w:val="8"/>
              <w:numPr>
                <w:ilvl w:val="0"/>
                <w:numId w:val="0"/>
              </w:numPr>
              <w:spacing w:line="300" w:lineRule="auto"/>
              <w:ind w:leftChars="0"/>
              <w:rPr>
                <w:color w:val="auto"/>
                <w:sz w:val="24"/>
              </w:rPr>
            </w:pPr>
          </w:p>
          <w:p w14:paraId="1A66D9FD">
            <w:pPr>
              <w:pStyle w:val="8"/>
              <w:numPr>
                <w:ilvl w:val="0"/>
                <w:numId w:val="0"/>
              </w:numPr>
              <w:spacing w:line="300" w:lineRule="auto"/>
              <w:ind w:leftChars="0"/>
              <w:rPr>
                <w:color w:val="auto"/>
                <w:sz w:val="24"/>
              </w:rPr>
            </w:pPr>
          </w:p>
          <w:p w14:paraId="4AB18B56">
            <w:pPr>
              <w:pStyle w:val="8"/>
              <w:numPr>
                <w:ilvl w:val="0"/>
                <w:numId w:val="0"/>
              </w:numPr>
              <w:spacing w:line="300" w:lineRule="auto"/>
              <w:ind w:leftChars="0"/>
              <w:rPr>
                <w:color w:val="auto"/>
                <w:sz w:val="24"/>
              </w:rPr>
            </w:pPr>
          </w:p>
          <w:p w14:paraId="54815558">
            <w:pPr>
              <w:pStyle w:val="8"/>
              <w:numPr>
                <w:ilvl w:val="0"/>
                <w:numId w:val="0"/>
              </w:numPr>
              <w:spacing w:line="300" w:lineRule="auto"/>
              <w:ind w:leftChars="0"/>
              <w:rPr>
                <w:color w:val="auto"/>
                <w:sz w:val="24"/>
              </w:rPr>
            </w:pPr>
          </w:p>
          <w:p w14:paraId="3239D4ED">
            <w:pPr>
              <w:pStyle w:val="8"/>
              <w:numPr>
                <w:ilvl w:val="0"/>
                <w:numId w:val="0"/>
              </w:numPr>
              <w:spacing w:line="300" w:lineRule="auto"/>
              <w:ind w:leftChars="0"/>
              <w:rPr>
                <w:color w:val="auto"/>
                <w:sz w:val="24"/>
              </w:rPr>
            </w:pPr>
          </w:p>
        </w:tc>
      </w:tr>
      <w:tr w14:paraId="618AB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01" w:hRule="atLeast"/>
          <w:jc w:val="center"/>
        </w:trPr>
        <w:tc>
          <w:tcPr>
            <w:tcW w:w="8311" w:type="dxa"/>
          </w:tcPr>
          <w:p w14:paraId="24021208">
            <w:pPr>
              <w:numPr>
                <w:ilvl w:val="0"/>
                <w:numId w:val="0"/>
              </w:numPr>
              <w:spacing w:line="300" w:lineRule="auto"/>
              <w:rPr>
                <w:rFonts w:hint="eastAsia"/>
                <w:sz w:val="24"/>
              </w:rPr>
            </w:pPr>
            <w:r>
              <w:rPr>
                <w:rFonts w:hint="eastAsia"/>
                <w:sz w:val="24"/>
              </w:rPr>
              <w:t>然而，生物学证据表明大脑不同区域的神经元具有显著的时间尺度异质性。Fang等人（2021）</w:t>
            </w:r>
            <w:r>
              <w:rPr>
                <w:rFonts w:hint="eastAsia"/>
                <w:sz w:val="24"/>
                <w:lang w:eastAsia="zh-CN"/>
              </w:rPr>
              <w:fldChar w:fldCharType="begin"/>
            </w:r>
            <w:r>
              <w:rPr>
                <w:rFonts w:hint="eastAsia"/>
                <w:sz w:val="24"/>
                <w:lang w:eastAsia="zh-CN"/>
              </w:rPr>
              <w:instrText xml:space="preserve"> REF _Ref4714 \r \h </w:instrText>
            </w:r>
            <w:r>
              <w:rPr>
                <w:rFonts w:hint="eastAsia"/>
                <w:sz w:val="24"/>
                <w:lang w:eastAsia="zh-CN"/>
              </w:rPr>
              <w:fldChar w:fldCharType="separate"/>
            </w:r>
            <w:r>
              <w:rPr>
                <w:rFonts w:hint="eastAsia"/>
                <w:sz w:val="24"/>
                <w:lang w:eastAsia="zh-CN"/>
              </w:rPr>
              <w:t>[1]</w:t>
            </w:r>
            <w:r>
              <w:rPr>
                <w:rFonts w:hint="eastAsia"/>
                <w:sz w:val="24"/>
                <w:lang w:eastAsia="zh-CN"/>
              </w:rPr>
              <w:fldChar w:fldCharType="end"/>
            </w:r>
            <w:r>
              <w:rPr>
                <w:rFonts w:hint="eastAsia"/>
                <w:sz w:val="24"/>
              </w:rPr>
              <w:t>提出的参数化LIF（PLIF）模型允许膜时间常数作为可训练参数通过反向传播进行优化，研究表明PLIF能显著提升SNN的泛化能力和收敛速度。尽管Proxy Target解决了训练稳定性问题，PLIF解决了时间尺度适应性问题，但目前尚无研究将二者结合应用于连续控制任务。本课题拟填补这一空白，将PLIF引入Proxy Target框架，探究可学习的时间常数是否能进一步挖掘SNN在复杂动态环境中的潜力。</w:t>
            </w:r>
          </w:p>
          <w:p w14:paraId="54A0DE56">
            <w:pPr>
              <w:numPr>
                <w:ilvl w:val="0"/>
                <w:numId w:val="1"/>
              </w:numPr>
              <w:spacing w:line="300" w:lineRule="auto"/>
              <w:rPr>
                <w:rFonts w:hint="eastAsia"/>
                <w:sz w:val="24"/>
              </w:rPr>
            </w:pPr>
            <w:r>
              <w:rPr>
                <w:rFonts w:hint="eastAsia"/>
                <w:sz w:val="24"/>
              </w:rPr>
              <w:t>研究目标、研究内容</w:t>
            </w:r>
            <w:r>
              <w:rPr>
                <w:rFonts w:hint="eastAsia"/>
                <w:sz w:val="24"/>
                <w:lang w:eastAsia="zh-CN"/>
              </w:rPr>
              <w:t>与</w:t>
            </w:r>
            <w:r>
              <w:rPr>
                <w:rFonts w:hint="eastAsia"/>
                <w:sz w:val="24"/>
              </w:rPr>
              <w:t>研究方法</w:t>
            </w:r>
          </w:p>
          <w:p w14:paraId="4D7CA357">
            <w:pPr>
              <w:numPr>
                <w:ilvl w:val="0"/>
                <w:numId w:val="0"/>
              </w:numPr>
              <w:spacing w:line="300" w:lineRule="auto"/>
              <w:rPr>
                <w:rFonts w:hint="eastAsia"/>
                <w:sz w:val="24"/>
                <w:lang w:eastAsia="zh-CN"/>
              </w:rPr>
            </w:pPr>
            <w:r>
              <w:rPr>
                <w:rFonts w:hint="eastAsia"/>
                <w:sz w:val="24"/>
                <w:lang w:eastAsia="zh-CN"/>
              </w:rPr>
              <w:t>本课题的主要研究目标是设计并实现一种基于PT-PLIF的脉冲强化学习算法。具体而言，旨在构建一个融合算法框架，成功将PLIF神经元嵌入到Proxy Target的Actor-Critic架构中；并在标准连续控制基准上，验证新算法相较于原始固定时间常数的算法和传统ANN算法在收敛速度、累积奖励和稳定性上的提升；同时通过评估算法的脉冲发放率和可视化训练过程中时间常数的变化，验证其低功耗特性及对环境动态的自适应能力。</w:t>
            </w:r>
          </w:p>
          <w:p w14:paraId="3FB5324F">
            <w:pPr>
              <w:numPr>
                <w:ilvl w:val="0"/>
                <w:numId w:val="0"/>
              </w:numPr>
              <w:spacing w:line="300" w:lineRule="auto"/>
              <w:rPr>
                <w:rFonts w:hint="eastAsia"/>
                <w:sz w:val="24"/>
                <w:lang w:eastAsia="zh-CN"/>
              </w:rPr>
            </w:pPr>
            <w:r>
              <w:rPr>
                <w:rFonts w:hint="eastAsia"/>
                <w:sz w:val="24"/>
                <w:lang w:eastAsia="zh-CN"/>
              </w:rPr>
              <w:t>为实现上述目标，研究内容将涵盖理论基础研究、算法设计、平台搭建及实验分析四个方面。首先将深入研读强化学习TD3算法、Proxy Target平滑更新机制以及PLIF神经元的微分动力学方程。其次进行算法设计，重点在于将Proxy Target框架中Actor网络的LIF神经元替换为PLIF神经元，设计以sigmoid函数为基础的参数化方法，并推导在RL损失函数下针对时间常数参数的梯度计算路径，确保其能与突触权重协同更新。随后，基于Python和PyTorch搭建包含OpenAI Gym环境的强化学习训练平台。最后开展对比实验，设置多种基线模型，记录训练曲线与测试数据，分析不同初始分布的影响，并统计推理阶段的能耗数据。</w:t>
            </w:r>
          </w:p>
          <w:p w14:paraId="60FF78B8">
            <w:pPr>
              <w:numPr>
                <w:ilvl w:val="0"/>
                <w:numId w:val="0"/>
              </w:numPr>
              <w:spacing w:line="300" w:lineRule="auto"/>
              <w:rPr>
                <w:rFonts w:hint="eastAsia"/>
                <w:sz w:val="24"/>
                <w:lang w:eastAsia="zh-CN"/>
              </w:rPr>
            </w:pPr>
            <w:r>
              <w:rPr>
                <w:rFonts w:hint="eastAsia"/>
                <w:sz w:val="24"/>
                <w:lang w:eastAsia="zh-CN"/>
              </w:rPr>
              <w:t>在研究方法上，本课题将综合运用文献分析法、数学建模法、控制变量实验法和数据可视化分析法。首先系统梳理相关文献确立数学基础；利用微分方程和链式法则建立PT-PLIF的数学模型；在实验环节，严格控制超参数和随机种子，仅改变神经元类型以验证改进点的有效性；最后利用TensorBoard等工具绘制奖励曲线和脉冲栅格图，对模型行为进行直观的定量与定性分析。</w:t>
            </w:r>
          </w:p>
          <w:p w14:paraId="565C063C">
            <w:pPr>
              <w:numPr>
                <w:ilvl w:val="0"/>
                <w:numId w:val="0"/>
              </w:numPr>
              <w:spacing w:line="300" w:lineRule="auto"/>
              <w:rPr>
                <w:rFonts w:hint="eastAsia" w:eastAsia="宋体"/>
                <w:sz w:val="24"/>
                <w:lang w:eastAsia="zh-CN"/>
              </w:rPr>
            </w:pPr>
            <w:r>
              <w:rPr>
                <w:rFonts w:hint="eastAsia"/>
                <w:sz w:val="24"/>
                <w:lang w:eastAsia="zh-CN"/>
              </w:rPr>
              <w:t>四、</w:t>
            </w:r>
            <w:r>
              <w:rPr>
                <w:rFonts w:hint="eastAsia"/>
                <w:sz w:val="24"/>
              </w:rPr>
              <w:t>进度安排</w:t>
            </w:r>
          </w:p>
          <w:p w14:paraId="790E4096">
            <w:pPr>
              <w:spacing w:line="300" w:lineRule="auto"/>
              <w:rPr>
                <w:rFonts w:hint="eastAsia"/>
                <w:sz w:val="24"/>
              </w:rPr>
            </w:pPr>
            <w:r>
              <w:rPr>
                <w:rFonts w:hint="eastAsia"/>
                <w:sz w:val="24"/>
              </w:rPr>
              <w:t>本课题的研究进度将严格遵循学校2026届本科生毕业设计工作的时间节点进行安排，主要分为开题准备、系统实现与中期检查、深入实验与论文撰写、答辩与归档四个阶段。</w:t>
            </w:r>
          </w:p>
          <w:p w14:paraId="321D790C">
            <w:pPr>
              <w:spacing w:line="300" w:lineRule="auto"/>
              <w:rPr>
                <w:rFonts w:hint="eastAsia"/>
                <w:sz w:val="24"/>
              </w:rPr>
            </w:pPr>
            <w:r>
              <w:rPr>
                <w:rFonts w:hint="eastAsia"/>
                <w:sz w:val="24"/>
              </w:rPr>
              <w:t>目前至2026年1月30日为开题准备与理论研究阶段。在此期间，通过文献调研完成对深度强化学习、Proxy Target算法及PLIF神经元模型的理论梳理，并完成外文文献翻译；同时，根据任务书要求完善研究方案，撰写毕业设计开题</w:t>
            </w:r>
          </w:p>
          <w:p w14:paraId="100CE319">
            <w:pPr>
              <w:spacing w:line="300" w:lineRule="auto"/>
              <w:rPr>
                <w:rFonts w:hint="eastAsia"/>
                <w:sz w:val="24"/>
              </w:rPr>
            </w:pPr>
          </w:p>
          <w:p w14:paraId="695CD274">
            <w:pPr>
              <w:spacing w:line="300" w:lineRule="auto"/>
              <w:rPr>
                <w:rFonts w:hint="eastAsia"/>
                <w:sz w:val="24"/>
              </w:rPr>
            </w:pPr>
          </w:p>
          <w:p w14:paraId="56854C37">
            <w:pPr>
              <w:spacing w:line="300" w:lineRule="auto"/>
              <w:rPr>
                <w:rFonts w:hint="eastAsia"/>
                <w:sz w:val="24"/>
              </w:rPr>
            </w:pPr>
          </w:p>
          <w:p w14:paraId="1F96C1CE">
            <w:pPr>
              <w:spacing w:line="300" w:lineRule="auto"/>
              <w:rPr>
                <w:rFonts w:hint="eastAsia"/>
                <w:sz w:val="24"/>
              </w:rPr>
            </w:pPr>
          </w:p>
          <w:p w14:paraId="4FD8C6CB">
            <w:pPr>
              <w:spacing w:line="300" w:lineRule="auto"/>
              <w:rPr>
                <w:rFonts w:hint="eastAsia"/>
                <w:sz w:val="24"/>
              </w:rPr>
            </w:pPr>
          </w:p>
          <w:p w14:paraId="6D88FF0B">
            <w:pPr>
              <w:spacing w:line="300" w:lineRule="auto"/>
              <w:rPr>
                <w:rFonts w:hint="eastAsia"/>
                <w:sz w:val="24"/>
              </w:rPr>
            </w:pPr>
          </w:p>
          <w:p w14:paraId="15358FE5">
            <w:pPr>
              <w:spacing w:line="300" w:lineRule="auto"/>
              <w:rPr>
                <w:rFonts w:hint="eastAsia"/>
                <w:sz w:val="24"/>
              </w:rPr>
            </w:pPr>
          </w:p>
          <w:p w14:paraId="15D24700">
            <w:pPr>
              <w:spacing w:line="300" w:lineRule="auto"/>
              <w:rPr>
                <w:rFonts w:hint="eastAsia"/>
                <w:sz w:val="24"/>
              </w:rPr>
            </w:pPr>
          </w:p>
          <w:p w14:paraId="786A5DE0">
            <w:pPr>
              <w:spacing w:line="300" w:lineRule="auto"/>
              <w:rPr>
                <w:rFonts w:hint="eastAsia"/>
                <w:sz w:val="24"/>
              </w:rPr>
            </w:pPr>
          </w:p>
          <w:p w14:paraId="4B50D1C0">
            <w:pPr>
              <w:spacing w:line="300" w:lineRule="auto"/>
              <w:rPr>
                <w:rFonts w:hint="eastAsia"/>
                <w:sz w:val="24"/>
              </w:rPr>
            </w:pPr>
          </w:p>
          <w:p w14:paraId="104C2B59">
            <w:pPr>
              <w:spacing w:line="300" w:lineRule="auto"/>
              <w:rPr>
                <w:rFonts w:hint="eastAsia"/>
                <w:sz w:val="24"/>
              </w:rPr>
            </w:pPr>
          </w:p>
          <w:p w14:paraId="3F308776">
            <w:pPr>
              <w:spacing w:line="300" w:lineRule="auto"/>
              <w:rPr>
                <w:rFonts w:hint="eastAsia"/>
                <w:sz w:val="24"/>
              </w:rPr>
            </w:pPr>
          </w:p>
          <w:p w14:paraId="621A1CF6">
            <w:pPr>
              <w:spacing w:line="300" w:lineRule="auto"/>
              <w:rPr>
                <w:rFonts w:hint="eastAsia"/>
                <w:sz w:val="24"/>
              </w:rPr>
            </w:pPr>
          </w:p>
          <w:p w14:paraId="61B3F075">
            <w:pPr>
              <w:spacing w:line="300" w:lineRule="auto"/>
              <w:rPr>
                <w:rFonts w:hint="eastAsia"/>
                <w:sz w:val="24"/>
              </w:rPr>
            </w:pPr>
          </w:p>
        </w:tc>
      </w:tr>
      <w:tr w14:paraId="07FF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9" w:hRule="atLeast"/>
          <w:jc w:val="center"/>
        </w:trPr>
        <w:tc>
          <w:tcPr>
            <w:tcW w:w="8311" w:type="dxa"/>
          </w:tcPr>
          <w:p w14:paraId="64D75128">
            <w:pPr>
              <w:spacing w:line="300" w:lineRule="auto"/>
              <w:rPr>
                <w:rFonts w:hint="eastAsia"/>
                <w:sz w:val="24"/>
                <w:lang w:eastAsia="zh-CN"/>
              </w:rPr>
            </w:pPr>
            <w:r>
              <w:rPr>
                <w:rFonts w:hint="eastAsia"/>
                <w:sz w:val="24"/>
                <w:lang w:eastAsia="zh-CN"/>
              </w:rPr>
              <w:t>报告并上传至毕设管理系统，配合指导教师完成审核及学校的线上抽查工作，确保研究路线的科学性与可行性。</w:t>
            </w:r>
          </w:p>
          <w:p w14:paraId="4986E115">
            <w:pPr>
              <w:spacing w:line="300" w:lineRule="auto"/>
              <w:rPr>
                <w:rFonts w:hint="eastAsia"/>
                <w:sz w:val="24"/>
                <w:lang w:eastAsia="zh-CN"/>
              </w:rPr>
            </w:pPr>
            <w:r>
              <w:rPr>
                <w:rFonts w:hint="eastAsia"/>
                <w:sz w:val="24"/>
                <w:lang w:eastAsia="zh-CN"/>
              </w:rPr>
              <w:t>2026年2月1日至4月10日为核心算法实现与中期检查阶段。利用寒假及开学初期的时间，搭建基于PyTorch和OpenAI Gym的仿真实验平台，复现原始TD3及基于LIF的Proxy Target算法以确立基准性能。在此基础上，重点攻克PLIF神经元的代码实现及其在Proxy Target框架中的集成工作，在简单环境下进行初步调试与验证。在4月10日之前，整理阶段性仿真数据和代码开发进度，在毕设系统中如实填写中期检查报告，接受指导教师的审核及学院的中期检查，确保项目按计划推进。</w:t>
            </w:r>
          </w:p>
          <w:p w14:paraId="1E21FDF3">
            <w:pPr>
              <w:spacing w:line="300" w:lineRule="auto"/>
              <w:rPr>
                <w:rFonts w:hint="eastAsia"/>
                <w:sz w:val="24"/>
                <w:lang w:eastAsia="zh-CN"/>
              </w:rPr>
            </w:pPr>
            <w:r>
              <w:rPr>
                <w:rFonts w:hint="eastAsia"/>
                <w:sz w:val="24"/>
                <w:lang w:eastAsia="zh-CN"/>
              </w:rPr>
              <w:t>2026年4月11日至5月25日为大规模对比实验与论文撰写阶段。将在Ant-v4、HalfCheetah-v4等复杂控制环境中开展多随机种子的对比实验，收集收敛曲线、能耗数据及时间常数演化图表，并进行深入的消融实验分析。同步进行毕业论文的撰写工作，完成从绪论到结论的全部章节，确保逻辑严密、数据详实。在5月25日前，完成论文定稿、指导教师评阅及同行专家盲审，并进行毕业论文查重检测，确保查重率符合学校要求，同时上传包含签名的独创性声明。</w:t>
            </w:r>
          </w:p>
          <w:p w14:paraId="02A0A41F">
            <w:pPr>
              <w:spacing w:line="300" w:lineRule="auto"/>
              <w:rPr>
                <w:rFonts w:hint="eastAsia"/>
                <w:sz w:val="24"/>
                <w:lang w:eastAsia="zh-CN"/>
              </w:rPr>
            </w:pPr>
            <w:r>
              <w:rPr>
                <w:rFonts w:hint="eastAsia"/>
                <w:sz w:val="24"/>
                <w:lang w:eastAsia="zh-CN"/>
              </w:rPr>
              <w:t>2026年5月26日至6月7日为答辩准备与归档阶段。根据论文内容制作答辩演示文稿（PPT），精炼核心创新点与实验成果，参加学院组织的线下答辩，并接受教学督导专家的随机抽查。答辩结束后，根据答辩委员会的意见对论文进行最终修订，于6月7日前在系统中完成论文的二次提交及相关资料的归档工作，配合学院完成成绩录入，至此完成全部毕业设计任务。</w:t>
            </w:r>
          </w:p>
          <w:p w14:paraId="6DC7F9B5">
            <w:pPr>
              <w:numPr>
                <w:ilvl w:val="0"/>
                <w:numId w:val="0"/>
              </w:numPr>
              <w:spacing w:line="300" w:lineRule="auto"/>
              <w:ind w:leftChars="0"/>
              <w:rPr>
                <w:rFonts w:hint="eastAsia"/>
                <w:sz w:val="24"/>
              </w:rPr>
            </w:pPr>
            <w:r>
              <w:rPr>
                <w:rFonts w:hint="eastAsia"/>
                <w:sz w:val="24"/>
                <w:lang w:val="en-US" w:eastAsia="zh-CN"/>
              </w:rPr>
              <w:t>五</w:t>
            </w:r>
            <w:r>
              <w:rPr>
                <w:rFonts w:hint="eastAsia"/>
                <w:sz w:val="24"/>
                <w:lang w:eastAsia="zh-CN"/>
              </w:rPr>
              <w:t>、研究或</w:t>
            </w:r>
            <w:r>
              <w:rPr>
                <w:rFonts w:hint="eastAsia"/>
                <w:sz w:val="24"/>
              </w:rPr>
              <w:t>实验方案的可行性分析</w:t>
            </w:r>
          </w:p>
          <w:p w14:paraId="05F53AB8">
            <w:pPr>
              <w:numPr>
                <w:ilvl w:val="0"/>
                <w:numId w:val="0"/>
              </w:numPr>
              <w:spacing w:line="300" w:lineRule="auto"/>
              <w:ind w:leftChars="0"/>
              <w:rPr>
                <w:rFonts w:hint="eastAsia"/>
                <w:sz w:val="24"/>
                <w:lang w:eastAsia="zh-CN"/>
              </w:rPr>
            </w:pPr>
            <w:r>
              <w:rPr>
                <w:rFonts w:hint="eastAsia"/>
                <w:sz w:val="24"/>
                <w:lang w:eastAsia="zh-CN"/>
              </w:rPr>
              <w:t>本研究方案在理论、技术、实验条件及个人能力方面均具备较高的可行性。在理论层面，本课题基于两篇高水平论文的成果：Proxy Target证明了辅助网络解决SNN离散性问题的有效性，而PLIF证明了梯度下降优化膜时间常数的可行性。两者分别作用于损失函数计算与前向传播动力学，在数学上逻辑自洽且互补。在技术层面，Python和PyTorch作为深度学习领域最成熟的工具，拥有强大的社区支持，且两篇核心参考文献均已开源代码，为算法复现和改进提供了坚实基础，降低了开发风险。</w:t>
            </w:r>
          </w:p>
          <w:p w14:paraId="0730C483">
            <w:pPr>
              <w:numPr>
                <w:ilvl w:val="0"/>
                <w:numId w:val="0"/>
              </w:numPr>
              <w:spacing w:line="300" w:lineRule="auto"/>
              <w:ind w:leftChars="0"/>
              <w:rPr>
                <w:rFonts w:hint="eastAsia"/>
                <w:sz w:val="24"/>
                <w:lang w:eastAsia="zh-CN"/>
              </w:rPr>
            </w:pPr>
            <w:r>
              <w:rPr>
                <w:rFonts w:hint="eastAsia"/>
                <w:sz w:val="24"/>
                <w:lang w:eastAsia="zh-CN"/>
              </w:rPr>
              <w:t>在实验条件方面，OpenAI Gym和MuJoCo作为强化学习领域的标准环境，获取便捷且文档齐全，便于进行标准化的性能评估。在个人能力方面，学生在本科阶段已修读机器学习与神经网络相关课程，具备Python编程能力和PyTorch框架使用经验，能够阅读英文文献并进行算法复现。综上所述，本课题研究目标明确，路径清晰，具备顺利完成的条件。</w:t>
            </w:r>
          </w:p>
          <w:p w14:paraId="49B8433B">
            <w:pPr>
              <w:spacing w:line="300" w:lineRule="auto"/>
              <w:rPr>
                <w:rFonts w:hint="eastAsia"/>
                <w:sz w:val="24"/>
                <w:lang w:eastAsia="zh-CN"/>
              </w:rPr>
            </w:pPr>
          </w:p>
          <w:p w14:paraId="29049133">
            <w:pPr>
              <w:spacing w:line="300" w:lineRule="auto"/>
              <w:rPr>
                <w:rFonts w:hint="eastAsia" w:eastAsia="宋体"/>
                <w:sz w:val="24"/>
                <w:lang w:eastAsia="zh-CN"/>
              </w:rPr>
            </w:pPr>
            <w:r>
              <w:rPr>
                <w:rFonts w:hint="eastAsia"/>
                <w:sz w:val="24"/>
                <w:lang w:eastAsia="zh-CN"/>
              </w:rPr>
              <w:t>六、</w:t>
            </w:r>
            <w:r>
              <w:rPr>
                <w:rFonts w:hint="eastAsia"/>
                <w:sz w:val="24"/>
              </w:rPr>
              <w:t>主要参考文献</w:t>
            </w:r>
          </w:p>
          <w:p w14:paraId="56ABB56C">
            <w:pPr>
              <w:spacing w:line="300" w:lineRule="auto"/>
              <w:rPr>
                <w:rFonts w:hint="eastAsia"/>
                <w:sz w:val="24"/>
              </w:rPr>
            </w:pPr>
          </w:p>
          <w:p w14:paraId="053A3B06">
            <w:pPr>
              <w:spacing w:line="300" w:lineRule="auto"/>
              <w:rPr>
                <w:rFonts w:hint="eastAsia"/>
                <w:sz w:val="24"/>
              </w:rPr>
            </w:pPr>
          </w:p>
          <w:p w14:paraId="0B84E662">
            <w:pPr>
              <w:spacing w:line="300" w:lineRule="auto"/>
              <w:rPr>
                <w:rFonts w:hint="eastAsia"/>
                <w:sz w:val="24"/>
              </w:rPr>
            </w:pPr>
          </w:p>
          <w:p w14:paraId="71F2B5BA">
            <w:pPr>
              <w:spacing w:line="300" w:lineRule="auto"/>
              <w:rPr>
                <w:rFonts w:hint="eastAsia"/>
                <w:sz w:val="24"/>
              </w:rPr>
            </w:pPr>
          </w:p>
          <w:p w14:paraId="70C8D512">
            <w:pPr>
              <w:spacing w:line="300" w:lineRule="auto"/>
              <w:rPr>
                <w:rFonts w:hint="eastAsia"/>
                <w:sz w:val="24"/>
              </w:rPr>
            </w:pPr>
          </w:p>
          <w:p w14:paraId="7D199954">
            <w:pPr>
              <w:spacing w:line="300" w:lineRule="auto"/>
              <w:rPr>
                <w:rFonts w:hint="eastAsia"/>
                <w:sz w:val="24"/>
              </w:rPr>
            </w:pPr>
          </w:p>
          <w:p w14:paraId="58FB57A1">
            <w:pPr>
              <w:spacing w:line="300" w:lineRule="auto"/>
              <w:rPr>
                <w:rFonts w:hint="eastAsia"/>
                <w:sz w:val="24"/>
              </w:rPr>
            </w:pPr>
          </w:p>
          <w:p w14:paraId="43B991E8">
            <w:pPr>
              <w:spacing w:line="300" w:lineRule="auto"/>
              <w:rPr>
                <w:rFonts w:hint="eastAsia"/>
                <w:sz w:val="24"/>
              </w:rPr>
            </w:pPr>
          </w:p>
        </w:tc>
      </w:tr>
      <w:tr w14:paraId="59267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97" w:hRule="atLeast"/>
          <w:jc w:val="center"/>
        </w:trPr>
        <w:tc>
          <w:tcPr>
            <w:tcW w:w="8311" w:type="dxa"/>
          </w:tcPr>
          <w:p w14:paraId="65026608">
            <w:pPr>
              <w:numPr>
                <w:ilvl w:val="0"/>
                <w:numId w:val="2"/>
              </w:numPr>
              <w:spacing w:line="360" w:lineRule="auto"/>
              <w:ind w:left="425" w:leftChars="0" w:hanging="425" w:firstLineChars="0"/>
              <w:rPr>
                <w:rFonts w:hint="default" w:ascii="Times New Roman" w:hAnsi="Times New Roman" w:cs="Times New Roman"/>
                <w:sz w:val="24"/>
              </w:rPr>
            </w:pPr>
            <w:bookmarkStart w:id="0" w:name="_Ref4714"/>
            <w:r>
              <w:rPr>
                <w:rFonts w:hint="default" w:ascii="Times New Roman" w:hAnsi="Times New Roman" w:cs="Times New Roman"/>
                <w:sz w:val="24"/>
              </w:rPr>
              <w:t>Fang W, Yu Z, Chen Y, et al. Incorporating learnable membrane time constant to enhance learning of spiking neural networks[C]//Proceedings of the IEEE/CVF international conference on computer vision. 2021: 2661-2671.</w:t>
            </w:r>
            <w:bookmarkEnd w:id="0"/>
          </w:p>
          <w:p w14:paraId="56CDEC4D">
            <w:pPr>
              <w:numPr>
                <w:ilvl w:val="0"/>
                <w:numId w:val="2"/>
              </w:numPr>
              <w:spacing w:line="360" w:lineRule="auto"/>
              <w:ind w:left="425" w:leftChars="0" w:hanging="425" w:firstLineChars="0"/>
              <w:rPr>
                <w:rFonts w:hint="default" w:ascii="Times New Roman" w:hAnsi="Times New Roman" w:cs="Times New Roman"/>
                <w:sz w:val="24"/>
              </w:rPr>
            </w:pPr>
            <w:r>
              <w:rPr>
                <w:rFonts w:hint="default" w:ascii="Times New Roman" w:hAnsi="Times New Roman" w:cs="Times New Roman"/>
                <w:sz w:val="24"/>
              </w:rPr>
              <w:t>Zhang D, Zhang T, Jia S, et al. Multi-sacle dynamic coding improved spiking actor network for reinforcement learning[C]//Proceedings of the AAAI conference on artificial intelligence. 2022, 36(1): 59-67.</w:t>
            </w:r>
          </w:p>
          <w:p w14:paraId="1F8E773E">
            <w:pPr>
              <w:numPr>
                <w:ilvl w:val="0"/>
                <w:numId w:val="2"/>
              </w:numPr>
              <w:spacing w:line="360" w:lineRule="auto"/>
              <w:ind w:left="425" w:leftChars="0" w:hanging="425" w:firstLineChars="0"/>
              <w:rPr>
                <w:rFonts w:hint="default" w:ascii="Times New Roman" w:hAnsi="Times New Roman" w:cs="Times New Roman"/>
                <w:sz w:val="24"/>
              </w:rPr>
            </w:pPr>
            <w:r>
              <w:rPr>
                <w:rFonts w:hint="default" w:ascii="Times New Roman" w:hAnsi="Times New Roman" w:cs="Times New Roman"/>
                <w:sz w:val="24"/>
              </w:rPr>
              <w:t>Chen D, Peng P, Huang T, et al. Fully spiking actor network with intralayer connections for reinforcement learning[J]. IEEE Transactions on Neural Networks and Learning Systems, 2024, 36(2): 2881-2893.</w:t>
            </w:r>
          </w:p>
          <w:p w14:paraId="6A0D5FB1">
            <w:pPr>
              <w:numPr>
                <w:ilvl w:val="0"/>
                <w:numId w:val="2"/>
              </w:numPr>
              <w:spacing w:line="360" w:lineRule="auto"/>
              <w:ind w:left="425" w:leftChars="0" w:hanging="425" w:firstLineChars="0"/>
              <w:rPr>
                <w:rFonts w:hint="default" w:ascii="Times New Roman" w:hAnsi="Times New Roman" w:cs="Times New Roman"/>
                <w:sz w:val="24"/>
              </w:rPr>
            </w:pPr>
            <w:bookmarkStart w:id="1" w:name="_Ref4587"/>
            <w:r>
              <w:rPr>
                <w:rFonts w:hint="default" w:ascii="Times New Roman" w:hAnsi="Times New Roman" w:cs="Times New Roman"/>
                <w:sz w:val="24"/>
              </w:rPr>
              <w:t>Xu Z, Bu T, Hao Z, et al. Proxy Target: Bridging the Gap Between Discrete Spiking Neural Networks and Continuous Control[J]. arXiv preprint arXiv:2505.24161, 2025.</w:t>
            </w:r>
            <w:bookmarkEnd w:id="1"/>
          </w:p>
          <w:p w14:paraId="234A1E58">
            <w:pPr>
              <w:numPr>
                <w:ilvl w:val="0"/>
                <w:numId w:val="2"/>
              </w:numPr>
              <w:spacing w:line="360" w:lineRule="auto"/>
              <w:ind w:left="425" w:leftChars="0" w:hanging="425" w:firstLineChars="0"/>
              <w:rPr>
                <w:sz w:val="24"/>
              </w:rPr>
            </w:pPr>
            <w:r>
              <w:rPr>
                <w:rFonts w:hint="default" w:ascii="Times New Roman" w:hAnsi="Times New Roman" w:cs="Times New Roman"/>
                <w:sz w:val="24"/>
              </w:rPr>
              <w:t>Fujimoto S, Hoof H, Meger D. Addressing function approximation error in actor-critic methods[C]//International conference on machine learning. PMLR, 2018: 1587-1596.</w:t>
            </w:r>
          </w:p>
        </w:tc>
      </w:tr>
      <w:tr w14:paraId="1368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87" w:hRule="atLeast"/>
          <w:jc w:val="center"/>
        </w:trPr>
        <w:tc>
          <w:tcPr>
            <w:tcW w:w="8311" w:type="dxa"/>
          </w:tcPr>
          <w:p w14:paraId="4430D057">
            <w:pPr>
              <w:spacing w:line="360" w:lineRule="auto"/>
              <w:rPr>
                <w:rFonts w:ascii="宋体" w:hAnsi="宋体"/>
                <w:sz w:val="24"/>
              </w:rPr>
            </w:pPr>
            <w:r>
              <w:rPr>
                <w:rFonts w:hint="eastAsia" w:ascii="宋体" w:hAnsi="宋体"/>
                <w:sz w:val="24"/>
              </w:rPr>
              <w:t>选题是否合适： 是</w:t>
            </w:r>
            <w:r>
              <w:rPr>
                <w:rFonts w:hint="eastAsia" w:ascii="宋体" w:hAnsi="宋体"/>
                <w:sz w:val="24"/>
                <w:lang w:eastAsia="zh-CN"/>
              </w:rPr>
              <w:t>☑</w:t>
            </w:r>
            <w:r>
              <w:rPr>
                <w:rFonts w:hint="eastAsia" w:ascii="宋体" w:hAnsi="宋体"/>
                <w:sz w:val="24"/>
              </w:rPr>
              <w:t xml:space="preserve">  否□</w:t>
            </w:r>
          </w:p>
          <w:p w14:paraId="7862D238">
            <w:pPr>
              <w:spacing w:line="360" w:lineRule="auto"/>
              <w:rPr>
                <w:rFonts w:ascii="宋体" w:hAnsi="宋体"/>
                <w:sz w:val="24"/>
              </w:rPr>
            </w:pPr>
            <w:r>
              <w:rPr>
                <w:rFonts w:hint="eastAsia" w:eastAsia="宋体"/>
                <w:sz w:val="24"/>
                <w:lang w:eastAsia="zh-CN"/>
              </w:rPr>
              <w:drawing>
                <wp:anchor distT="0" distB="0" distL="114300" distR="114300" simplePos="0" relativeHeight="251660288" behindDoc="0" locked="0" layoutInCell="1" allowOverlap="1">
                  <wp:simplePos x="0" y="0"/>
                  <wp:positionH relativeFrom="column">
                    <wp:posOffset>4021455</wp:posOffset>
                  </wp:positionH>
                  <wp:positionV relativeFrom="paragraph">
                    <wp:posOffset>159385</wp:posOffset>
                  </wp:positionV>
                  <wp:extent cx="711835" cy="564515"/>
                  <wp:effectExtent l="0" t="0" r="12065" b="6985"/>
                  <wp:wrapNone/>
                  <wp:docPr id="5" name="图片 5" descr="signature_yu_qi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ignature_yu_qiang"/>
                          <pic:cNvPicPr>
                            <a:picLocks noChangeAspect="1"/>
                          </pic:cNvPicPr>
                        </pic:nvPicPr>
                        <pic:blipFill>
                          <a:blip r:embed="rId7"/>
                          <a:stretch>
                            <a:fillRect/>
                          </a:stretch>
                        </pic:blipFill>
                        <pic:spPr>
                          <a:xfrm>
                            <a:off x="0" y="0"/>
                            <a:ext cx="711835" cy="564515"/>
                          </a:xfrm>
                          <a:prstGeom prst="rect">
                            <a:avLst/>
                          </a:prstGeom>
                        </pic:spPr>
                      </pic:pic>
                    </a:graphicData>
                  </a:graphic>
                </wp:anchor>
              </w:drawing>
            </w:r>
            <w:r>
              <w:rPr>
                <w:rFonts w:hint="eastAsia" w:ascii="宋体" w:hAnsi="宋体"/>
                <w:sz w:val="24"/>
              </w:rPr>
              <w:t>课题能否实现： 能</w:t>
            </w:r>
            <w:r>
              <w:rPr>
                <w:rFonts w:hint="eastAsia" w:ascii="宋体" w:hAnsi="宋体"/>
                <w:sz w:val="24"/>
                <w:lang w:eastAsia="zh-CN"/>
              </w:rPr>
              <w:t>☑</w:t>
            </w:r>
            <w:r>
              <w:rPr>
                <w:rFonts w:hint="eastAsia" w:ascii="宋体" w:hAnsi="宋体"/>
                <w:sz w:val="24"/>
              </w:rPr>
              <w:t xml:space="preserve">  不能□</w:t>
            </w:r>
          </w:p>
          <w:p w14:paraId="557BC6F1">
            <w:pPr>
              <w:spacing w:line="480" w:lineRule="auto"/>
              <w:ind w:firstLine="4320" w:firstLineChars="1800"/>
              <w:rPr>
                <w:rFonts w:hint="eastAsia" w:eastAsia="宋体"/>
                <w:sz w:val="24"/>
                <w:lang w:eastAsia="zh-CN"/>
              </w:rPr>
            </w:pPr>
            <w:r>
              <w:rPr>
                <w:rFonts w:hint="eastAsia"/>
                <w:sz w:val="24"/>
              </w:rPr>
              <w:t>指导教师（签字）</w:t>
            </w:r>
          </w:p>
          <w:p w14:paraId="2626E623">
            <w:pPr>
              <w:spacing w:line="480" w:lineRule="auto"/>
              <w:ind w:firstLine="5760" w:firstLineChars="2400"/>
              <w:rPr>
                <w:sz w:val="24"/>
              </w:rPr>
            </w:pPr>
            <w:r>
              <w:rPr>
                <w:rFonts w:hint="eastAsia"/>
                <w:sz w:val="24"/>
                <w:lang w:val="en-US" w:eastAsia="zh-CN"/>
              </w:rPr>
              <w:t>2026</w:t>
            </w:r>
            <w:r>
              <w:rPr>
                <w:rFonts w:hint="eastAsia"/>
                <w:sz w:val="24"/>
              </w:rPr>
              <w:t>年</w:t>
            </w:r>
            <w:r>
              <w:rPr>
                <w:rFonts w:hint="eastAsia"/>
                <w:sz w:val="24"/>
                <w:lang w:val="en-US" w:eastAsia="zh-CN"/>
              </w:rPr>
              <w:t xml:space="preserve"> 1</w:t>
            </w:r>
            <w:r>
              <w:rPr>
                <w:rFonts w:hint="eastAsia"/>
                <w:sz w:val="24"/>
              </w:rPr>
              <w:t xml:space="preserve">月 </w:t>
            </w:r>
            <w:r>
              <w:rPr>
                <w:rFonts w:hint="eastAsia"/>
                <w:sz w:val="24"/>
                <w:lang w:val="en-US" w:eastAsia="zh-CN"/>
              </w:rPr>
              <w:t>20</w:t>
            </w:r>
            <w:r>
              <w:rPr>
                <w:rFonts w:hint="eastAsia"/>
                <w:sz w:val="24"/>
              </w:rPr>
              <w:t>日</w:t>
            </w:r>
          </w:p>
        </w:tc>
      </w:tr>
      <w:tr w14:paraId="266E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87" w:hRule="atLeast"/>
          <w:jc w:val="center"/>
        </w:trPr>
        <w:tc>
          <w:tcPr>
            <w:tcW w:w="8311" w:type="dxa"/>
          </w:tcPr>
          <w:p w14:paraId="466EF366">
            <w:pPr>
              <w:spacing w:line="360" w:lineRule="auto"/>
              <w:rPr>
                <w:rFonts w:ascii="宋体" w:hAnsi="宋体"/>
                <w:sz w:val="24"/>
              </w:rPr>
            </w:pPr>
            <w:r>
              <w:rPr>
                <w:rFonts w:hint="eastAsia" w:ascii="宋体" w:hAnsi="宋体"/>
                <w:sz w:val="24"/>
              </w:rPr>
              <w:t>选题是否合适： 是</w:t>
            </w:r>
            <w:r>
              <w:rPr>
                <w:rFonts w:hint="eastAsia" w:ascii="宋体" w:hAnsi="宋体"/>
                <w:sz w:val="24"/>
                <w:lang w:eastAsia="zh-CN"/>
              </w:rPr>
              <w:t>☑</w:t>
            </w:r>
            <w:r>
              <w:rPr>
                <w:rFonts w:hint="eastAsia" w:ascii="宋体" w:hAnsi="宋体"/>
                <w:sz w:val="24"/>
              </w:rPr>
              <w:t xml:space="preserve">  否□</w:t>
            </w:r>
          </w:p>
          <w:p w14:paraId="5DAC8F6B">
            <w:pPr>
              <w:spacing w:line="360" w:lineRule="auto"/>
              <w:rPr>
                <w:rFonts w:ascii="宋体" w:hAnsi="宋体"/>
                <w:sz w:val="24"/>
              </w:rPr>
            </w:pPr>
            <w:r>
              <w:rPr>
                <w:rFonts w:hint="eastAsia" w:eastAsia="宋体"/>
                <w:sz w:val="24"/>
                <w:lang w:eastAsia="zh-CN"/>
              </w:rPr>
              <w:drawing>
                <wp:anchor distT="0" distB="0" distL="114300" distR="114300" simplePos="0" relativeHeight="251659264" behindDoc="0" locked="0" layoutInCell="1" allowOverlap="1">
                  <wp:simplePos x="0" y="0"/>
                  <wp:positionH relativeFrom="column">
                    <wp:posOffset>4038600</wp:posOffset>
                  </wp:positionH>
                  <wp:positionV relativeFrom="paragraph">
                    <wp:posOffset>180340</wp:posOffset>
                  </wp:positionV>
                  <wp:extent cx="831215" cy="450215"/>
                  <wp:effectExtent l="0" t="0" r="6985" b="6985"/>
                  <wp:wrapNone/>
                  <wp:docPr id="3" name="图片 3" descr="0e2e3982bbfac64a509263a98105b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e2e3982bbfac64a509263a98105b75f"/>
                          <pic:cNvPicPr>
                            <a:picLocks noChangeAspect="1"/>
                          </pic:cNvPicPr>
                        </pic:nvPicPr>
                        <pic:blipFill>
                          <a:blip r:embed="rId8"/>
                          <a:stretch>
                            <a:fillRect/>
                          </a:stretch>
                        </pic:blipFill>
                        <pic:spPr>
                          <a:xfrm>
                            <a:off x="0" y="0"/>
                            <a:ext cx="831215" cy="450215"/>
                          </a:xfrm>
                          <a:prstGeom prst="rect">
                            <a:avLst/>
                          </a:prstGeom>
                        </pic:spPr>
                      </pic:pic>
                    </a:graphicData>
                  </a:graphic>
                </wp:anchor>
              </w:drawing>
            </w:r>
            <w:r>
              <w:rPr>
                <w:rFonts w:hint="eastAsia" w:ascii="宋体" w:hAnsi="宋体"/>
                <w:sz w:val="24"/>
              </w:rPr>
              <w:t>课题能否实现： 能</w:t>
            </w:r>
            <w:r>
              <w:rPr>
                <w:rFonts w:hint="eastAsia" w:ascii="宋体" w:hAnsi="宋体"/>
                <w:sz w:val="24"/>
                <w:lang w:eastAsia="zh-CN"/>
              </w:rPr>
              <w:t>☑</w:t>
            </w:r>
            <w:r>
              <w:rPr>
                <w:rFonts w:hint="eastAsia" w:ascii="宋体" w:hAnsi="宋体"/>
                <w:sz w:val="24"/>
              </w:rPr>
              <w:t xml:space="preserve">  不能□</w:t>
            </w:r>
          </w:p>
          <w:p w14:paraId="2EDB2CB0">
            <w:pPr>
              <w:spacing w:line="480" w:lineRule="auto"/>
              <w:ind w:firstLine="3840" w:firstLineChars="1600"/>
              <w:rPr>
                <w:rFonts w:hint="eastAsia" w:eastAsia="宋体"/>
                <w:sz w:val="24"/>
                <w:lang w:eastAsia="zh-CN"/>
              </w:rPr>
            </w:pPr>
            <w:r>
              <w:rPr>
                <w:rFonts w:hint="eastAsia"/>
                <w:sz w:val="24"/>
              </w:rPr>
              <w:t>审题小组组长（签字）</w:t>
            </w:r>
          </w:p>
          <w:p w14:paraId="0A7F4312">
            <w:pPr>
              <w:spacing w:line="480" w:lineRule="auto"/>
              <w:ind w:firstLine="6000" w:firstLineChars="2500"/>
              <w:rPr>
                <w:rFonts w:hint="eastAsia"/>
                <w:sz w:val="24"/>
              </w:rPr>
            </w:pPr>
            <w:r>
              <w:rPr>
                <w:rFonts w:hint="eastAsia"/>
                <w:sz w:val="24"/>
                <w:lang w:val="en-US" w:eastAsia="zh-CN"/>
              </w:rPr>
              <w:t>2026</w:t>
            </w:r>
            <w:r>
              <w:rPr>
                <w:rFonts w:hint="eastAsia"/>
                <w:sz w:val="24"/>
              </w:rPr>
              <w:t>年</w:t>
            </w:r>
            <w:r>
              <w:rPr>
                <w:rFonts w:hint="eastAsia"/>
                <w:sz w:val="24"/>
                <w:lang w:val="en-US" w:eastAsia="zh-CN"/>
              </w:rPr>
              <w:t>1</w:t>
            </w:r>
            <w:r>
              <w:rPr>
                <w:rFonts w:hint="eastAsia"/>
                <w:sz w:val="24"/>
              </w:rPr>
              <w:t>月</w:t>
            </w:r>
            <w:r>
              <w:rPr>
                <w:rFonts w:hint="eastAsia"/>
                <w:sz w:val="24"/>
                <w:lang w:val="en-US" w:eastAsia="zh-CN"/>
              </w:rPr>
              <w:t>20</w:t>
            </w:r>
            <w:bookmarkStart w:id="2" w:name="_GoBack"/>
            <w:bookmarkEnd w:id="2"/>
            <w:r>
              <w:rPr>
                <w:rFonts w:hint="eastAsia"/>
                <w:sz w:val="24"/>
              </w:rPr>
              <w:t>日</w:t>
            </w:r>
          </w:p>
        </w:tc>
      </w:tr>
    </w:tbl>
    <w:p w14:paraId="5C2D4D6D"/>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42C84">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08195E">
                          <w:pPr>
                            <w:pStyle w:val="3"/>
                            <w:rPr>
                              <w:rFonts w:hint="eastAsia" w:eastAsia="宋体"/>
                              <w:lang w:eastAsia="zh-CN"/>
                            </w:rPr>
                          </w:pPr>
                          <w:r>
                            <w:rPr>
                              <w:rFonts w:hint="eastAsia"/>
                              <w:lang w:val="en-US" w:eastAsia="zh-CN"/>
                            </w:rPr>
                            <w:t>B</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908195E">
                    <w:pPr>
                      <w:pStyle w:val="3"/>
                      <w:rPr>
                        <w:rFonts w:hint="eastAsia" w:eastAsia="宋体"/>
                        <w:lang w:eastAsia="zh-CN"/>
                      </w:rPr>
                    </w:pPr>
                    <w:r>
                      <w:rPr>
                        <w:rFonts w:hint="eastAsia"/>
                        <w:lang w:val="en-US" w:eastAsia="zh-CN"/>
                      </w:rPr>
                      <w:t>B</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C321B"/>
    <w:multiLevelType w:val="singleLevel"/>
    <w:tmpl w:val="00FC321B"/>
    <w:lvl w:ilvl="0" w:tentative="0">
      <w:start w:val="1"/>
      <w:numFmt w:val="decimal"/>
      <w:lvlText w:val="[%1]"/>
      <w:lvlJc w:val="left"/>
      <w:pPr>
        <w:tabs>
          <w:tab w:val="left" w:pos="420"/>
        </w:tabs>
        <w:ind w:left="425" w:leftChars="0" w:hanging="425" w:firstLineChars="0"/>
      </w:pPr>
      <w:rPr>
        <w:rFonts w:hint="default"/>
      </w:rPr>
    </w:lvl>
  </w:abstractNum>
  <w:abstractNum w:abstractNumId="1">
    <w:nsid w:val="26AE1B63"/>
    <w:multiLevelType w:val="singleLevel"/>
    <w:tmpl w:val="26AE1B63"/>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A17FEA"/>
    <w:rsid w:val="00BB3557"/>
    <w:rsid w:val="05184EB6"/>
    <w:rsid w:val="05FB7553"/>
    <w:rsid w:val="0AAF0151"/>
    <w:rsid w:val="0D476D86"/>
    <w:rsid w:val="100D609D"/>
    <w:rsid w:val="116946CB"/>
    <w:rsid w:val="12FE44F4"/>
    <w:rsid w:val="16AE6FA1"/>
    <w:rsid w:val="1CA17FEA"/>
    <w:rsid w:val="247C25F6"/>
    <w:rsid w:val="25A477D9"/>
    <w:rsid w:val="374B49BA"/>
    <w:rsid w:val="479909E0"/>
    <w:rsid w:val="52943390"/>
    <w:rsid w:val="5F647939"/>
    <w:rsid w:val="631A470B"/>
    <w:rsid w:val="6D0C589E"/>
    <w:rsid w:val="6E7471A4"/>
    <w:rsid w:val="7BDD2A78"/>
    <w:rsid w:val="7CAA5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rPr>
      <w:sz w:val="24"/>
    </w:r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3246</Words>
  <Characters>4270</Characters>
  <Lines>0</Lines>
  <Paragraphs>0</Paragraphs>
  <TotalTime>27</TotalTime>
  <ScaleCrop>false</ScaleCrop>
  <LinksUpToDate>false</LinksUpToDate>
  <CharactersWithSpaces>4545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2020-10-08T07:32:00Z</dcterms:created>
  <dc:creator>菲菲</dc:creator>
  <cp:lastModifiedBy>Mercy</cp:lastModifiedBy>
  <dcterms:modified xsi:type="dcterms:W3CDTF">2026-06-07T06:46:49Z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eyJoZGlkIjoiNWQ0YjZjNzE2ZmU2MGU5MDU5ZWVjZTNkYjdiYzMwNWQiLCJ1c2VySWQiOiI2ODA3MzExNzgifQ==</vt:lpwstr>
  </property>
  <property fmtid="{D5CDD505-2E9C-101B-9397-08002B2CF9AE}" pid="4" name="ICV">
    <vt:lpwstr>DD24358F82C74553BFEF231C4D54ED5E_13</vt:lpwstr>
  </property>
</Properties>
</file>