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6DCB9"/>
    <w:p w14:paraId="47AB7469">
      <w:pPr>
        <w:jc w:val="center"/>
        <w:rPr>
          <w:rFonts w:eastAsia="黑体"/>
          <w:b/>
          <w:sz w:val="44"/>
        </w:rPr>
      </w:pPr>
      <w:r>
        <w:rPr>
          <w:rFonts w:hint="eastAsia" w:eastAsia="黑体"/>
          <w:b/>
          <w:sz w:val="44"/>
        </w:rPr>
        <w:drawing>
          <wp:inline distT="0" distB="0" distL="0" distR="0">
            <wp:extent cx="2562225" cy="923925"/>
            <wp:effectExtent l="0" t="0" r="9525" b="9525"/>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562225" cy="923925"/>
                    </a:xfrm>
                    <a:prstGeom prst="rect">
                      <a:avLst/>
                    </a:prstGeom>
                    <a:noFill/>
                    <a:ln>
                      <a:noFill/>
                    </a:ln>
                  </pic:spPr>
                </pic:pic>
              </a:graphicData>
            </a:graphic>
          </wp:inline>
        </w:drawing>
      </w:r>
    </w:p>
    <w:p w14:paraId="77839964">
      <w:pPr>
        <w:jc w:val="center"/>
        <w:rPr>
          <w:b/>
          <w:sz w:val="44"/>
        </w:rPr>
      </w:pPr>
      <w:r>
        <w:rPr>
          <w:rFonts w:hint="eastAsia" w:eastAsia="黑体"/>
          <w:b/>
          <w:sz w:val="44"/>
        </w:rPr>
        <w:t>本科生毕业论文任务书</w:t>
      </w:r>
    </w:p>
    <w:p w14:paraId="64C9C2B0"/>
    <w:p w14:paraId="7131AAA0"/>
    <w:p w14:paraId="4721D7A5"/>
    <w:p w14:paraId="7612D124"/>
    <w:p w14:paraId="7BF705C0"/>
    <w:p w14:paraId="196671C2">
      <w:pPr>
        <w:jc w:val="center"/>
      </w:pPr>
      <w:r>
        <w:rPr>
          <w:rFonts w:hint="eastAsia"/>
        </w:rPr>
        <w:drawing>
          <wp:inline distT="0" distB="0" distL="0" distR="0">
            <wp:extent cx="2095500" cy="1924050"/>
            <wp:effectExtent l="0" t="0" r="0" b="0"/>
            <wp:docPr id="3" name="图片 3"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天津大学标准校徽"/>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71656939">
      <w:pPr>
        <w:rPr>
          <w:sz w:val="10"/>
        </w:rPr>
      </w:pPr>
    </w:p>
    <w:p w14:paraId="22C10802">
      <w:r>
        <w:rPr>
          <w:rFonts w:hint="eastAsia" w:ascii="黑体" w:hAnsi="黑体" w:eastAsia="黑体"/>
          <w:b/>
          <w:sz w:val="32"/>
          <w:szCs w:val="36"/>
        </w:rPr>
        <w:t>题目： 基于脉冲神经网络的连续控制强化学习算法研究</w:t>
      </w:r>
    </w:p>
    <w:p w14:paraId="249EBE2C"/>
    <w:p w14:paraId="143976FC">
      <w:pPr>
        <w:ind w:firstLine="2249" w:firstLineChars="700"/>
        <w:rPr>
          <w:b/>
          <w:sz w:val="32"/>
          <w:u w:val="single"/>
        </w:rPr>
      </w:pPr>
      <w:r>
        <w:rPr>
          <w:rFonts w:hint="eastAsia"/>
          <w:b/>
          <w:sz w:val="32"/>
        </w:rPr>
        <w:t>学    院</w:t>
      </w:r>
      <w:r>
        <w:rPr>
          <w:rFonts w:hint="eastAsia"/>
          <w:b/>
          <w:sz w:val="32"/>
          <w:u w:val="single"/>
        </w:rPr>
        <w:t xml:space="preserve">  </w:t>
      </w:r>
      <w:r>
        <w:rPr>
          <w:rFonts w:hint="eastAsia"/>
          <w:b/>
          <w:sz w:val="32"/>
          <w:u w:val="single"/>
          <w:lang w:val="en-US" w:eastAsia="zh-CN"/>
        </w:rPr>
        <w:t xml:space="preserve"> 智能与计算学部</w:t>
      </w:r>
      <w:r>
        <w:rPr>
          <w:rFonts w:hint="eastAsia"/>
          <w:b/>
          <w:sz w:val="32"/>
          <w:u w:val="single"/>
        </w:rPr>
        <w:t xml:space="preserve">        </w:t>
      </w:r>
    </w:p>
    <w:p w14:paraId="42AC492C">
      <w:pPr>
        <w:ind w:firstLine="2249" w:firstLineChars="700"/>
        <w:rPr>
          <w:b/>
          <w:sz w:val="32"/>
          <w:u w:val="single"/>
        </w:rPr>
      </w:pPr>
      <w:r>
        <w:rPr>
          <w:rFonts w:hint="eastAsia"/>
          <w:b/>
          <w:sz w:val="32"/>
        </w:rPr>
        <w:t>专    业</w:t>
      </w:r>
      <w:r>
        <w:rPr>
          <w:rFonts w:hint="eastAsia"/>
          <w:b/>
          <w:sz w:val="32"/>
          <w:u w:val="single"/>
        </w:rPr>
        <w:t xml:space="preserve">  </w:t>
      </w:r>
      <w:r>
        <w:rPr>
          <w:rFonts w:hint="eastAsia"/>
          <w:b/>
          <w:sz w:val="32"/>
          <w:u w:val="single"/>
          <w:lang w:val="en-US" w:eastAsia="zh-CN"/>
        </w:rPr>
        <w:t xml:space="preserve">    软件工程</w:t>
      </w:r>
      <w:r>
        <w:rPr>
          <w:rFonts w:hint="eastAsia"/>
          <w:b/>
          <w:sz w:val="32"/>
          <w:u w:val="single"/>
        </w:rPr>
        <w:t xml:space="preserve">          </w:t>
      </w:r>
    </w:p>
    <w:p w14:paraId="1F0872EF">
      <w:pPr>
        <w:ind w:firstLine="2249" w:firstLineChars="700"/>
        <w:rPr>
          <w:b/>
          <w:sz w:val="32"/>
          <w:u w:val="single"/>
        </w:rPr>
      </w:pPr>
      <w:r>
        <w:rPr>
          <w:rFonts w:hint="eastAsia"/>
          <w:b/>
          <w:sz w:val="32"/>
        </w:rPr>
        <w:t>年    级</w:t>
      </w:r>
      <w:r>
        <w:rPr>
          <w:rFonts w:hint="eastAsia"/>
          <w:b/>
          <w:sz w:val="32"/>
          <w:u w:val="single"/>
        </w:rPr>
        <w:t xml:space="preserve">  </w:t>
      </w:r>
      <w:r>
        <w:rPr>
          <w:rFonts w:hint="eastAsia"/>
          <w:b/>
          <w:sz w:val="32"/>
          <w:u w:val="single"/>
          <w:lang w:val="en-US" w:eastAsia="zh-CN"/>
        </w:rPr>
        <w:t xml:space="preserve">     2022级</w:t>
      </w:r>
      <w:r>
        <w:rPr>
          <w:rFonts w:hint="eastAsia"/>
          <w:b/>
          <w:sz w:val="32"/>
          <w:u w:val="single"/>
        </w:rPr>
        <w:t xml:space="preserve">           </w:t>
      </w:r>
    </w:p>
    <w:p w14:paraId="69209AE9">
      <w:pPr>
        <w:ind w:firstLine="2249" w:firstLineChars="700"/>
        <w:rPr>
          <w:b/>
          <w:sz w:val="32"/>
          <w:u w:val="single"/>
        </w:rPr>
      </w:pPr>
      <w:r>
        <w:rPr>
          <w:rFonts w:hint="eastAsia"/>
          <w:b/>
          <w:sz w:val="32"/>
        </w:rPr>
        <w:t>姓    名</w:t>
      </w:r>
      <w:r>
        <w:rPr>
          <w:rFonts w:hint="eastAsia"/>
          <w:b/>
          <w:sz w:val="32"/>
          <w:u w:val="single"/>
        </w:rPr>
        <w:t xml:space="preserve">  </w:t>
      </w:r>
      <w:r>
        <w:rPr>
          <w:rFonts w:hint="eastAsia"/>
          <w:b/>
          <w:sz w:val="32"/>
          <w:u w:val="single"/>
          <w:lang w:val="en-US" w:eastAsia="zh-CN"/>
        </w:rPr>
        <w:t xml:space="preserve">     陈俊为</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0B0647DD">
      <w:pPr>
        <w:ind w:firstLine="2249" w:firstLineChars="700"/>
        <w:rPr>
          <w:b/>
          <w:sz w:val="32"/>
          <w:u w:val="single"/>
        </w:rPr>
      </w:pPr>
      <w:r>
        <w:rPr>
          <w:rFonts w:hint="eastAsia"/>
          <w:b/>
          <w:sz w:val="32"/>
        </w:rPr>
        <w:t>学    号</w:t>
      </w:r>
      <w:r>
        <w:rPr>
          <w:rFonts w:hint="eastAsia"/>
          <w:b/>
          <w:sz w:val="32"/>
          <w:u w:val="single"/>
        </w:rPr>
        <w:t xml:space="preserve">  </w:t>
      </w:r>
      <w:r>
        <w:rPr>
          <w:rFonts w:hint="eastAsia"/>
          <w:b/>
          <w:sz w:val="32"/>
          <w:u w:val="single"/>
          <w:lang w:val="en-US" w:eastAsia="zh-CN"/>
        </w:rPr>
        <w:t xml:space="preserve">   3022234171</w:t>
      </w:r>
      <w:r>
        <w:rPr>
          <w:rFonts w:hint="eastAsia"/>
          <w:b/>
          <w:sz w:val="32"/>
          <w:u w:val="single"/>
        </w:rPr>
        <w:t xml:space="preserve">        </w:t>
      </w:r>
    </w:p>
    <w:p w14:paraId="7CB33728">
      <w:pPr>
        <w:ind w:firstLine="2249" w:firstLineChars="700"/>
        <w:rPr>
          <w:b/>
          <w:sz w:val="32"/>
          <w:u w:val="single"/>
        </w:rPr>
      </w:pPr>
      <w:r>
        <w:rPr>
          <w:rFonts w:hint="eastAsia"/>
          <w:b/>
          <w:sz w:val="32"/>
        </w:rPr>
        <w:t>指导教师</w:t>
      </w:r>
      <w:r>
        <w:rPr>
          <w:rFonts w:hint="eastAsia"/>
          <w:b/>
          <w:sz w:val="32"/>
          <w:u w:val="single"/>
        </w:rPr>
        <w:t xml:space="preserve">  </w:t>
      </w:r>
      <w:r>
        <w:rPr>
          <w:rFonts w:hint="eastAsia"/>
          <w:b/>
          <w:sz w:val="32"/>
          <w:u w:val="single"/>
          <w:lang w:val="en-US" w:eastAsia="zh-CN"/>
        </w:rPr>
        <w:t xml:space="preserve">     于强</w:t>
      </w:r>
      <w:r>
        <w:rPr>
          <w:rFonts w:hint="eastAsia"/>
          <w:b/>
          <w:sz w:val="32"/>
          <w:u w:val="single"/>
        </w:rPr>
        <w:t xml:space="preserve">           </w:t>
      </w:r>
    </w:p>
    <w:p w14:paraId="6AE7B823">
      <w:pPr>
        <w:jc w:val="both"/>
        <w:rPr>
          <w:b/>
        </w:rPr>
      </w:pPr>
    </w:p>
    <w:p w14:paraId="4E8AAE4E">
      <w:pPr>
        <w:jc w:val="center"/>
        <w:rPr>
          <w:b/>
        </w:rPr>
      </w:pPr>
    </w:p>
    <w:p w14:paraId="5BA9021C">
      <w:pPr>
        <w:jc w:val="center"/>
        <w:rPr>
          <w:b/>
        </w:rPr>
      </w:pPr>
    </w:p>
    <w:p w14:paraId="5B6CB697">
      <w:pPr>
        <w:jc w:val="center"/>
        <w:rPr>
          <w:b/>
        </w:rPr>
      </w:pPr>
    </w:p>
    <w:p w14:paraId="530616D5">
      <w:pPr>
        <w:pStyle w:val="2"/>
        <w:ind w:left="0" w:leftChars="0" w:firstLine="0" w:firstLineChars="0"/>
        <w:rPr>
          <w:rFonts w:hint="eastAsia"/>
        </w:rPr>
      </w:pPr>
    </w:p>
    <w:p w14:paraId="06998F90">
      <w:pPr>
        <w:pStyle w:val="2"/>
        <w:ind w:left="0" w:leftChars="0" w:firstLine="0" w:firstLineChars="0"/>
      </w:pPr>
      <w:r>
        <w:rPr>
          <w:rFonts w:hint="eastAsia"/>
        </w:rPr>
        <w:t>一、原始依据</w:t>
      </w:r>
    </w:p>
    <w:p w14:paraId="76B0FF6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highlight w:val="none"/>
          <w:shd w:val="clear" w:color="auto" w:fill="auto"/>
        </w:rPr>
      </w:pPr>
      <w:r>
        <w:rPr>
          <w:rFonts w:hint="eastAsia"/>
          <w:sz w:val="24"/>
          <w:highlight w:val="none"/>
          <w:shd w:val="clear" w:color="auto" w:fill="auto"/>
        </w:rPr>
        <w:t>随着人工智能的发展，深度强化学习（DRL）在连续控制等领域取得了巨大成功，但其高昂的计算能耗限制了其在边缘设备上的部署。脉冲神经网络（SNN）作为第三代神经网络，凭借其事件驱动和离散脉冲通信的特性，具有极高的能效优势。然而，将SNN应用于连续控制的强化学习任务面临两大挑战：一是SNN的离散脉冲输出与强化学习连续动作空间的不匹配；二是传统SNN神经元（如LIF）的时间常数通常是固定的，难以适应复杂多变的环境动态。</w:t>
      </w:r>
    </w:p>
    <w:p w14:paraId="5FDD32E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highlight w:val="none"/>
          <w:shd w:val="clear" w:color="auto" w:fill="auto"/>
        </w:rPr>
      </w:pPr>
      <w:r>
        <w:rPr>
          <w:rFonts w:hint="eastAsia"/>
          <w:sz w:val="24"/>
          <w:highlight w:val="none"/>
          <w:shd w:val="clear" w:color="auto" w:fill="auto"/>
        </w:rPr>
        <w:t>针对上述问题，本课题拟开展基于“代理目标（Proxy Target）”与“可学习膜时间常数（PLIF）”相融合的算法研究。Proxy Target机制通过引入辅助网络有效地桥接了离散脉冲与连续控制之间的鸿沟，而PLIF神经元允许网络在训练过程中自适应地调整膜时间常数，从而增强SNN对时序信息的提取能力。</w:t>
      </w:r>
    </w:p>
    <w:p w14:paraId="68EE465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sz w:val="24"/>
        </w:rPr>
      </w:pPr>
      <w:r>
        <w:rPr>
          <w:rFonts w:hint="eastAsia"/>
          <w:sz w:val="24"/>
          <w:highlight w:val="none"/>
          <w:shd w:val="clear" w:color="auto" w:fill="auto"/>
        </w:rPr>
        <w:t>本课题旨在设计并实现一种PT-PLIF强化学习算法。工作基础依托于现有的PyTorch深度学习框架，研究条件具备高性能计算服务器及OpenAI Gym/MuJoCo等标准强化学习仿真环境。通过本研究，旨在验证引入可学习时间常数是否能进一步提升Proxy Target算法在连续控制任务中的收敛速度与最终性能，为构建低功耗、高性能的类脑智能系统提供理论与实践依据</w:t>
      </w:r>
      <w:r>
        <w:rPr>
          <w:rFonts w:hint="eastAsia"/>
          <w:sz w:val="24"/>
          <w:highlight w:val="none"/>
          <w:shd w:val="clear" w:color="auto" w:fill="auto"/>
          <w:lang w:eastAsia="zh-CN"/>
        </w:rPr>
        <w:t>。</w:t>
      </w:r>
      <w:bookmarkStart w:id="0" w:name="_GoBack"/>
      <w:bookmarkEnd w:id="0"/>
    </w:p>
    <w:p w14:paraId="464411CA">
      <w:pPr>
        <w:spacing w:line="300" w:lineRule="auto"/>
        <w:rPr>
          <w:sz w:val="24"/>
        </w:rPr>
      </w:pPr>
    </w:p>
    <w:p w14:paraId="5B41618C">
      <w:pPr>
        <w:spacing w:line="300" w:lineRule="auto"/>
        <w:rPr>
          <w:sz w:val="24"/>
        </w:rPr>
      </w:pPr>
    </w:p>
    <w:p w14:paraId="377A6BD3">
      <w:pPr>
        <w:spacing w:line="300" w:lineRule="auto"/>
        <w:rPr>
          <w:sz w:val="24"/>
        </w:rPr>
      </w:pPr>
    </w:p>
    <w:p w14:paraId="3EB85869">
      <w:pPr>
        <w:spacing w:line="300" w:lineRule="auto"/>
        <w:rPr>
          <w:sz w:val="24"/>
        </w:rPr>
      </w:pPr>
      <w:r>
        <w:rPr>
          <w:rFonts w:hint="eastAsia"/>
          <w:sz w:val="28"/>
        </w:rPr>
        <w:t>二、参考文献</w:t>
      </w:r>
    </w:p>
    <w:p w14:paraId="590F38CA">
      <w:pPr>
        <w:spacing w:line="300" w:lineRule="auto"/>
        <w:rPr>
          <w:rFonts w:hint="eastAsia"/>
          <w:sz w:val="24"/>
          <w:highlight w:val="none"/>
          <w:lang w:val="en-US" w:eastAsia="zh-CN"/>
        </w:rPr>
      </w:pPr>
      <w:r>
        <w:rPr>
          <w:rFonts w:hint="eastAsia"/>
          <w:sz w:val="24"/>
          <w:highlight w:val="none"/>
          <w:lang w:val="en-US" w:eastAsia="zh-CN"/>
        </w:rPr>
        <w:t>[1] Fang W, Yu Z, Chen Y, et al. Incorporating learnable membrane time constant to enhance learning of spiking neural networks[C]//Proceedings of the IEEE/CVF international conference on computer vision. 2021: 2661-2671.</w:t>
      </w:r>
    </w:p>
    <w:p w14:paraId="289CAD69">
      <w:pPr>
        <w:spacing w:line="300" w:lineRule="auto"/>
        <w:rPr>
          <w:rFonts w:hint="eastAsia"/>
          <w:sz w:val="24"/>
          <w:highlight w:val="none"/>
          <w:lang w:val="en-US" w:eastAsia="zh-CN"/>
        </w:rPr>
      </w:pPr>
      <w:r>
        <w:rPr>
          <w:rFonts w:hint="eastAsia"/>
          <w:sz w:val="24"/>
          <w:highlight w:val="none"/>
          <w:lang w:val="en-US" w:eastAsia="zh-CN"/>
        </w:rPr>
        <w:t>[2] Zhang D, Zhang T, Jia S, et al. Multi-sacle dynamic coding improved spiking actor network for reinforcement learning[C]//Proceedings of the AAAI conference on artificial intelligence. 2022, 36(1): 59-67.</w:t>
      </w:r>
    </w:p>
    <w:p w14:paraId="43643362">
      <w:pPr>
        <w:spacing w:line="300" w:lineRule="auto"/>
        <w:rPr>
          <w:rFonts w:hint="eastAsia"/>
          <w:sz w:val="24"/>
          <w:highlight w:val="none"/>
          <w:lang w:val="en-US" w:eastAsia="zh-CN"/>
        </w:rPr>
      </w:pPr>
      <w:r>
        <w:rPr>
          <w:rFonts w:hint="eastAsia"/>
          <w:sz w:val="24"/>
          <w:highlight w:val="none"/>
          <w:lang w:val="en-US" w:eastAsia="zh-CN"/>
        </w:rPr>
        <w:t>[3] Chen D, Peng P, Huang T, et al. Fully spiking actor network with intralayer connections for reinforcement learning[J]. IEEE Transactions on Neural Networks and Learning Systems, 2024, 36(2): 2881-2893.</w:t>
      </w:r>
    </w:p>
    <w:p w14:paraId="6276E723">
      <w:pPr>
        <w:spacing w:line="300" w:lineRule="auto"/>
        <w:rPr>
          <w:rFonts w:hint="eastAsia"/>
          <w:sz w:val="24"/>
          <w:highlight w:val="none"/>
          <w:lang w:val="en-US" w:eastAsia="zh-CN"/>
        </w:rPr>
      </w:pPr>
      <w:r>
        <w:rPr>
          <w:rFonts w:hint="eastAsia"/>
          <w:sz w:val="24"/>
          <w:highlight w:val="none"/>
          <w:lang w:val="en-US" w:eastAsia="zh-CN"/>
        </w:rPr>
        <w:t>[4] Xu Z, Bu T, Hao Z, et al. Proxy Target: Bridging the Gap Between Discrete Spiking Neural Networks and Continuous Control[J]. arXiv preprint arXiv:2505.24161, 2025.</w:t>
      </w:r>
    </w:p>
    <w:p w14:paraId="63FB030E">
      <w:pPr>
        <w:spacing w:line="300" w:lineRule="auto"/>
        <w:rPr>
          <w:rFonts w:hint="default"/>
          <w:sz w:val="24"/>
          <w:highlight w:val="none"/>
          <w:lang w:val="en-US" w:eastAsia="zh-CN"/>
        </w:rPr>
      </w:pPr>
      <w:r>
        <w:rPr>
          <w:rFonts w:hint="eastAsia"/>
          <w:sz w:val="24"/>
          <w:highlight w:val="none"/>
          <w:lang w:val="en-US" w:eastAsia="zh-CN"/>
        </w:rPr>
        <w:t>[5] Fujimoto S, Hoof H, Meger D. Addressing function approximation error in actor-critic methods[C]//International conference on machine learning. PMLR, 2018: 1587-1596.</w:t>
      </w:r>
    </w:p>
    <w:p w14:paraId="064C24FC">
      <w:pPr>
        <w:spacing w:line="300" w:lineRule="auto"/>
        <w:rPr>
          <w:sz w:val="24"/>
          <w:highlight w:val="none"/>
        </w:rPr>
      </w:pPr>
    </w:p>
    <w:p w14:paraId="66C81347">
      <w:pPr>
        <w:spacing w:line="300" w:lineRule="auto"/>
        <w:rPr>
          <w:sz w:val="24"/>
        </w:rPr>
      </w:pPr>
    </w:p>
    <w:p w14:paraId="3F3D70B5">
      <w:pPr>
        <w:pStyle w:val="5"/>
        <w:ind w:left="0" w:leftChars="0" w:firstLine="0" w:firstLineChars="0"/>
        <w:rPr>
          <w:sz w:val="24"/>
        </w:rPr>
      </w:pPr>
      <w:r>
        <w:rPr>
          <w:rFonts w:hint="eastAsia"/>
        </w:rPr>
        <w:t>三、设计（研究）内容和要求</w:t>
      </w:r>
    </w:p>
    <w:p w14:paraId="7A2AF0A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highlight w:val="none"/>
        </w:rPr>
      </w:pPr>
      <w:r>
        <w:rPr>
          <w:rFonts w:hint="eastAsia"/>
          <w:sz w:val="24"/>
          <w:highlight w:val="none"/>
        </w:rPr>
        <w:t>本课题要求学生在深入理解脉冲神经网络（SNN）及深度强化学习</w:t>
      </w:r>
      <w:r>
        <w:rPr>
          <w:rFonts w:hint="eastAsia"/>
          <w:sz w:val="24"/>
          <w:highlight w:val="none"/>
          <w:lang w:val="en-US" w:eastAsia="zh-CN"/>
        </w:rPr>
        <w:t>算法</w:t>
      </w:r>
      <w:r>
        <w:rPr>
          <w:rFonts w:hint="eastAsia"/>
          <w:sz w:val="24"/>
          <w:highlight w:val="none"/>
        </w:rPr>
        <w:t>的基础上，重点研究“代理目标（Proxy Target）”机制与“可学习膜时间常数（PLIF）”神经元的融合方法。学生需首先复现Proxy Target算法，利用辅助网络产生的连续目标指导SNN的离散输出，以解决SNN在连续动作空间下的训练难题；进而将SNN部分的LIF神经元替换为PLIF模型，实现</w:t>
      </w:r>
      <w:r>
        <w:rPr>
          <w:rFonts w:hint="eastAsia"/>
          <w:sz w:val="24"/>
          <w:highlight w:val="none"/>
          <w:lang w:val="en-US" w:eastAsia="zh-CN"/>
        </w:rPr>
        <w:t>神经元的动态</w:t>
      </w:r>
      <w:r>
        <w:rPr>
          <w:rFonts w:hint="eastAsia"/>
          <w:sz w:val="24"/>
          <w:highlight w:val="none"/>
        </w:rPr>
        <w:t>自适应学习，构建PT-PLIF强化学习算法，旨在提升网络对不同时间尺度环境动态的捕捉能力。</w:t>
      </w:r>
    </w:p>
    <w:p w14:paraId="32F54BC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highlight w:val="none"/>
        </w:rPr>
      </w:pPr>
      <w:r>
        <w:rPr>
          <w:rFonts w:hint="eastAsia"/>
          <w:sz w:val="24"/>
          <w:highlight w:val="none"/>
        </w:rPr>
        <w:t>在此基础上，学生需基于Python语言和PyTorch深度学习框架搭建仿真实验平台。在OpenAI Gym的标准连续控制任务（如Pendulum、Mujoco系列）中，设计并执行对比实验。重点考察PT-PLIF算法相对于原始固定时间常数的Proxy Target算法以及传统ANN算法，在模型收敛速度、最终累积奖励及训练稳定性方面的性能差异。同时，需监测网络的平均脉冲发射率，验证算法在提升性能的同时是否保持了SNN低能耗、稀疏发放的特性，并尝试对训练过程中膜时间常数的变化曲线进行可视化分析。</w:t>
      </w:r>
    </w:p>
    <w:p w14:paraId="3369C0E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sz w:val="24"/>
        </w:rPr>
      </w:pPr>
      <w:r>
        <w:rPr>
          <w:rFonts w:hint="eastAsia"/>
          <w:sz w:val="24"/>
          <w:highlight w:val="none"/>
        </w:rPr>
        <w:t>在执行过程中，要求编写的代码结构清晰、复用性强，且所有实验数据必须经过多个随机种子的重复运行以消除偶然性。毕业论文撰写需逻辑严谨，既要清晰阐述算法融合的数学原理与实现细节，又要对实验现象进行深入的分析，最终形成具有一定理论深度和应用参考价值的成果。</w:t>
      </w:r>
    </w:p>
    <w:p w14:paraId="37B44C45">
      <w:pPr>
        <w:spacing w:line="300" w:lineRule="auto"/>
        <w:rPr>
          <w:sz w:val="24"/>
        </w:rPr>
      </w:pPr>
      <w:r>
        <w:rPr>
          <w:rFonts w:hint="eastAsia" w:eastAsia="宋体"/>
          <w:sz w:val="24"/>
          <w:lang w:eastAsia="zh-CN"/>
        </w:rPr>
        <w:drawing>
          <wp:anchor distT="0" distB="0" distL="114300" distR="114300" simplePos="0" relativeHeight="251659264" behindDoc="0" locked="0" layoutInCell="1" allowOverlap="1">
            <wp:simplePos x="0" y="0"/>
            <wp:positionH relativeFrom="column">
              <wp:posOffset>4381500</wp:posOffset>
            </wp:positionH>
            <wp:positionV relativeFrom="paragraph">
              <wp:posOffset>97155</wp:posOffset>
            </wp:positionV>
            <wp:extent cx="646430" cy="513080"/>
            <wp:effectExtent l="0" t="0" r="1270" b="7620"/>
            <wp:wrapNone/>
            <wp:docPr id="4" name="图片 4" descr="signature_yu_qi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ignature_yu_qiang"/>
                    <pic:cNvPicPr>
                      <a:picLocks noChangeAspect="1"/>
                    </pic:cNvPicPr>
                  </pic:nvPicPr>
                  <pic:blipFill>
                    <a:blip r:embed="rId7"/>
                    <a:stretch>
                      <a:fillRect/>
                    </a:stretch>
                  </pic:blipFill>
                  <pic:spPr>
                    <a:xfrm>
                      <a:off x="0" y="0"/>
                      <a:ext cx="646430" cy="513080"/>
                    </a:xfrm>
                    <a:prstGeom prst="rect">
                      <a:avLst/>
                    </a:prstGeom>
                  </pic:spPr>
                </pic:pic>
              </a:graphicData>
            </a:graphic>
          </wp:anchor>
        </w:drawing>
      </w:r>
    </w:p>
    <w:p w14:paraId="5C92B9A9">
      <w:pPr>
        <w:keepNext w:val="0"/>
        <w:keepLines w:val="0"/>
        <w:pageBreakBefore w:val="0"/>
        <w:widowControl w:val="0"/>
        <w:kinsoku/>
        <w:wordWrap/>
        <w:overflowPunct/>
        <w:topLinePunct w:val="0"/>
        <w:autoSpaceDE/>
        <w:autoSpaceDN/>
        <w:bidi w:val="0"/>
        <w:adjustRightInd/>
        <w:snapToGrid/>
        <w:spacing w:line="480" w:lineRule="auto"/>
        <w:ind w:firstLine="4800" w:firstLineChars="2000"/>
        <w:textAlignment w:val="auto"/>
        <w:rPr>
          <w:rFonts w:hint="eastAsia" w:eastAsia="宋体"/>
          <w:sz w:val="24"/>
          <w:lang w:eastAsia="zh-CN"/>
        </w:rPr>
      </w:pPr>
      <w:r>
        <w:rPr>
          <w:rFonts w:hint="eastAsia"/>
          <w:sz w:val="24"/>
        </w:rPr>
        <w:t>指导教师（签字）</w:t>
      </w:r>
    </w:p>
    <w:p w14:paraId="4F97B643">
      <w:pPr>
        <w:keepNext w:val="0"/>
        <w:keepLines w:val="0"/>
        <w:pageBreakBefore w:val="0"/>
        <w:widowControl w:val="0"/>
        <w:kinsoku/>
        <w:wordWrap/>
        <w:overflowPunct/>
        <w:topLinePunct w:val="0"/>
        <w:autoSpaceDE/>
        <w:autoSpaceDN/>
        <w:bidi w:val="0"/>
        <w:adjustRightInd/>
        <w:snapToGrid/>
        <w:spacing w:line="480" w:lineRule="auto"/>
        <w:ind w:left="5880" w:leftChars="0" w:firstLine="420" w:firstLineChars="0"/>
        <w:textAlignment w:val="auto"/>
        <w:rPr>
          <w:sz w:val="24"/>
        </w:rPr>
      </w:pPr>
      <w:r>
        <w:rPr>
          <w:rFonts w:hint="eastAsia"/>
          <w:sz w:val="24"/>
          <w:lang w:val="en-US" w:eastAsia="zh-CN"/>
        </w:rPr>
        <w:t xml:space="preserve">2026 </w:t>
      </w:r>
      <w:r>
        <w:rPr>
          <w:rFonts w:hint="eastAsia"/>
          <w:sz w:val="24"/>
        </w:rPr>
        <w:t>年</w:t>
      </w:r>
      <w:r>
        <w:rPr>
          <w:rFonts w:hint="eastAsia"/>
          <w:sz w:val="24"/>
          <w:lang w:val="en-US" w:eastAsia="zh-CN"/>
        </w:rPr>
        <w:t>1</w:t>
      </w:r>
      <w:r>
        <w:rPr>
          <w:rFonts w:hint="eastAsia"/>
          <w:sz w:val="24"/>
        </w:rPr>
        <w:t>月</w:t>
      </w:r>
      <w:r>
        <w:rPr>
          <w:rFonts w:hint="eastAsia"/>
          <w:sz w:val="24"/>
          <w:lang w:val="en-US" w:eastAsia="zh-CN"/>
        </w:rPr>
        <w:t>10</w:t>
      </w:r>
      <w:r>
        <w:rPr>
          <w:rFonts w:hint="eastAsia"/>
          <w:sz w:val="24"/>
        </w:rPr>
        <w:t>日</w:t>
      </w:r>
    </w:p>
    <w:p w14:paraId="24F2F911">
      <w:pPr>
        <w:keepNext w:val="0"/>
        <w:keepLines w:val="0"/>
        <w:pageBreakBefore w:val="0"/>
        <w:widowControl w:val="0"/>
        <w:kinsoku/>
        <w:wordWrap/>
        <w:overflowPunct/>
        <w:topLinePunct w:val="0"/>
        <w:autoSpaceDE/>
        <w:autoSpaceDN/>
        <w:bidi w:val="0"/>
        <w:adjustRightInd/>
        <w:snapToGrid/>
        <w:spacing w:line="480" w:lineRule="auto"/>
        <w:ind w:firstLine="4800" w:firstLineChars="2000"/>
        <w:textAlignment w:val="auto"/>
        <w:rPr>
          <w:sz w:val="24"/>
        </w:rPr>
      </w:pPr>
      <w:r>
        <w:rPr>
          <w:rFonts w:hint="eastAsia" w:eastAsia="宋体"/>
          <w:sz w:val="24"/>
          <w:lang w:eastAsia="zh-CN"/>
        </w:rPr>
        <w:drawing>
          <wp:anchor distT="0" distB="0" distL="114300" distR="114300" simplePos="0" relativeHeight="251660288" behindDoc="0" locked="0" layoutInCell="1" allowOverlap="1">
            <wp:simplePos x="0" y="0"/>
            <wp:positionH relativeFrom="column">
              <wp:posOffset>4284345</wp:posOffset>
            </wp:positionH>
            <wp:positionV relativeFrom="paragraph">
              <wp:posOffset>296545</wp:posOffset>
            </wp:positionV>
            <wp:extent cx="902335" cy="488315"/>
            <wp:effectExtent l="0" t="0" r="12065" b="6985"/>
            <wp:wrapNone/>
            <wp:docPr id="5" name="图片 5" descr="0e2e3982bbfac64a509263a98105b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e2e3982bbfac64a509263a98105b75f"/>
                    <pic:cNvPicPr>
                      <a:picLocks noChangeAspect="1"/>
                    </pic:cNvPicPr>
                  </pic:nvPicPr>
                  <pic:blipFill>
                    <a:blip r:embed="rId8"/>
                    <a:stretch>
                      <a:fillRect/>
                    </a:stretch>
                  </pic:blipFill>
                  <pic:spPr>
                    <a:xfrm>
                      <a:off x="0" y="0"/>
                      <a:ext cx="902335" cy="488315"/>
                    </a:xfrm>
                    <a:prstGeom prst="rect">
                      <a:avLst/>
                    </a:prstGeom>
                  </pic:spPr>
                </pic:pic>
              </a:graphicData>
            </a:graphic>
          </wp:anchor>
        </w:drawing>
      </w:r>
    </w:p>
    <w:p w14:paraId="057D9282">
      <w:pPr>
        <w:keepNext w:val="0"/>
        <w:keepLines w:val="0"/>
        <w:pageBreakBefore w:val="0"/>
        <w:widowControl w:val="0"/>
        <w:kinsoku/>
        <w:wordWrap/>
        <w:overflowPunct/>
        <w:topLinePunct w:val="0"/>
        <w:autoSpaceDE/>
        <w:autoSpaceDN/>
        <w:bidi w:val="0"/>
        <w:adjustRightInd/>
        <w:snapToGrid/>
        <w:spacing w:line="480" w:lineRule="auto"/>
        <w:ind w:firstLine="4320" w:firstLineChars="1800"/>
        <w:textAlignment w:val="auto"/>
        <w:rPr>
          <w:rFonts w:hint="eastAsia" w:eastAsia="宋体"/>
          <w:sz w:val="24"/>
          <w:lang w:eastAsia="zh-CN"/>
        </w:rPr>
      </w:pPr>
      <w:r>
        <w:rPr>
          <w:rFonts w:hint="eastAsia"/>
          <w:sz w:val="24"/>
        </w:rPr>
        <w:t>审题小组组长（签字）</w:t>
      </w:r>
    </w:p>
    <w:p w14:paraId="15E091FB">
      <w:pPr>
        <w:keepNext w:val="0"/>
        <w:keepLines w:val="0"/>
        <w:pageBreakBefore w:val="0"/>
        <w:widowControl w:val="0"/>
        <w:kinsoku/>
        <w:wordWrap/>
        <w:overflowPunct/>
        <w:topLinePunct w:val="0"/>
        <w:autoSpaceDE/>
        <w:autoSpaceDN/>
        <w:bidi w:val="0"/>
        <w:adjustRightInd/>
        <w:snapToGrid/>
        <w:spacing w:line="480" w:lineRule="auto"/>
        <w:ind w:left="5880" w:leftChars="0" w:firstLine="420" w:firstLineChars="0"/>
        <w:textAlignment w:val="auto"/>
      </w:pPr>
      <w:r>
        <w:rPr>
          <w:rFonts w:hint="eastAsia"/>
          <w:sz w:val="24"/>
          <w:lang w:val="en-US" w:eastAsia="zh-CN"/>
        </w:rPr>
        <w:t>2026</w:t>
      </w:r>
      <w:r>
        <w:rPr>
          <w:rFonts w:hint="eastAsia"/>
          <w:sz w:val="24"/>
        </w:rPr>
        <w:t>年</w:t>
      </w:r>
      <w:r>
        <w:rPr>
          <w:rFonts w:hint="eastAsia"/>
          <w:sz w:val="24"/>
          <w:lang w:val="en-US" w:eastAsia="zh-CN"/>
        </w:rPr>
        <w:t>1</w:t>
      </w:r>
      <w:r>
        <w:rPr>
          <w:rFonts w:hint="eastAsia"/>
          <w:sz w:val="24"/>
        </w:rPr>
        <w:t>月</w:t>
      </w:r>
      <w:r>
        <w:rPr>
          <w:rFonts w:hint="eastAsia"/>
          <w:sz w:val="24"/>
          <w:lang w:val="en-US" w:eastAsia="zh-CN"/>
        </w:rPr>
        <w:t>10</w:t>
      </w:r>
      <w:r>
        <w:rPr>
          <w:rFonts w:hint="eastAsia"/>
          <w:sz w:val="24"/>
        </w:rPr>
        <w:t xml:space="preserve"> 日</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B7DE1">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DD16DA">
                          <w:pPr>
                            <w:pStyle w:val="3"/>
                            <w:rPr>
                              <w:rFonts w:hint="eastAsia" w:eastAsia="宋体"/>
                              <w:lang w:eastAsia="zh-CN"/>
                            </w:rPr>
                          </w:pPr>
                          <w:r>
                            <w:rPr>
                              <w:rFonts w:hint="eastAsia"/>
                              <w:lang w:val="en-US" w:eastAsia="zh-CN"/>
                            </w:rPr>
                            <w:t>A</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7DD16DA">
                    <w:pPr>
                      <w:pStyle w:val="3"/>
                      <w:rPr>
                        <w:rFonts w:hint="eastAsia" w:eastAsia="宋体"/>
                        <w:lang w:eastAsia="zh-CN"/>
                      </w:rPr>
                    </w:pPr>
                    <w:r>
                      <w:rPr>
                        <w:rFonts w:hint="eastAsia"/>
                        <w:lang w:val="en-US" w:eastAsia="zh-CN"/>
                      </w:rPr>
                      <w:t>A</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E00814"/>
    <w:rsid w:val="06BB6667"/>
    <w:rsid w:val="07535E60"/>
    <w:rsid w:val="0C9B6897"/>
    <w:rsid w:val="143A105E"/>
    <w:rsid w:val="16850783"/>
    <w:rsid w:val="17102FB5"/>
    <w:rsid w:val="18B22F8F"/>
    <w:rsid w:val="20524899"/>
    <w:rsid w:val="23E70F73"/>
    <w:rsid w:val="272863EF"/>
    <w:rsid w:val="2BA3172A"/>
    <w:rsid w:val="2D304AEF"/>
    <w:rsid w:val="2E5642BC"/>
    <w:rsid w:val="2EA66FF1"/>
    <w:rsid w:val="34E00814"/>
    <w:rsid w:val="456B7D6C"/>
    <w:rsid w:val="4A7142E8"/>
    <w:rsid w:val="4E161C54"/>
    <w:rsid w:val="6BBF1885"/>
    <w:rsid w:val="6CB167EE"/>
    <w:rsid w:val="6CBD45B2"/>
    <w:rsid w:val="6DBA654D"/>
    <w:rsid w:val="72F1592E"/>
    <w:rsid w:val="72F65449"/>
    <w:rsid w:val="74640362"/>
    <w:rsid w:val="77213753"/>
    <w:rsid w:val="77DB5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spacing w:line="300" w:lineRule="auto"/>
      <w:ind w:firstLine="560" w:firstLineChars="200"/>
    </w:pPr>
    <w:rPr>
      <w:sz w:val="2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Body Text Indent 3"/>
    <w:basedOn w:val="1"/>
    <w:qFormat/>
    <w:uiPriority w:val="0"/>
    <w:pPr>
      <w:spacing w:line="300" w:lineRule="auto"/>
      <w:ind w:firstLine="280" w:firstLineChars="100"/>
    </w:pPr>
    <w:rPr>
      <w:sz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1233</Words>
  <Characters>2114</Characters>
  <Lines>0</Lines>
  <Paragraphs>0</Paragraphs>
  <TotalTime>4</TotalTime>
  <ScaleCrop>false</ScaleCrop>
  <LinksUpToDate>false</LinksUpToDate>
  <CharactersWithSpaces>2372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2020-10-08T07:30:00Z</dcterms:created>
  <dc:creator>菲菲</dc:creator>
  <cp:lastModifiedBy>Mercy</cp:lastModifiedBy>
  <dcterms:modified xsi:type="dcterms:W3CDTF">2026-06-07T07:22:25Z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eyJoZGlkIjoiNWQ0YjZjNzE2ZmU2MGU5MDU5ZWVjZTNkYjdiYzMwNWQiLCJ1c2VySWQiOiI2ODA3MzExNzgifQ==</vt:lpwstr>
  </property>
  <property fmtid="{D5CDD505-2E9C-101B-9397-08002B2CF9AE}" pid="4" name="ICV">
    <vt:lpwstr>0ED282C6CB5E4C8599A79DAFF3E8A828_13</vt:lpwstr>
  </property>
</Properties>
</file>