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462F88">
      <w:pPr>
        <w:jc w:val="center"/>
        <w:rPr>
          <w:rFonts w:eastAsia="黑体"/>
          <w:b/>
          <w:sz w:val="44"/>
        </w:rPr>
      </w:pPr>
      <w:r>
        <w:rPr>
          <w:rFonts w:hint="eastAsia" w:eastAsia="方正舒体"/>
          <w:b/>
          <w:sz w:val="84"/>
        </w:rPr>
        <w:drawing>
          <wp:inline distT="0" distB="0" distL="114300" distR="114300">
            <wp:extent cx="1485900" cy="361950"/>
            <wp:effectExtent l="0" t="0" r="0" b="0"/>
            <wp:docPr id="1" name="图片 1" descr="tjd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tjdx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514A8E">
      <w:pPr>
        <w:jc w:val="center"/>
        <w:rPr>
          <w:rFonts w:hint="eastAsia" w:eastAsia="宋体"/>
          <w:b/>
          <w:sz w:val="36"/>
          <w:lang w:eastAsia="zh-CN"/>
        </w:rPr>
      </w:pPr>
      <w:r>
        <w:rPr>
          <w:rFonts w:hint="eastAsia"/>
          <w:b/>
          <w:sz w:val="36"/>
          <w:lang w:eastAsia="zh-CN"/>
        </w:rPr>
        <w:t>本科生</w:t>
      </w:r>
      <w:r>
        <w:rPr>
          <w:rFonts w:hint="eastAsia"/>
          <w:b/>
          <w:sz w:val="36"/>
        </w:rPr>
        <w:t>毕业论文</w:t>
      </w:r>
      <w:r>
        <w:rPr>
          <w:rFonts w:hint="eastAsia"/>
          <w:b/>
          <w:sz w:val="36"/>
          <w:lang w:eastAsia="zh-CN"/>
        </w:rPr>
        <w:t>过程指导记录表</w:t>
      </w:r>
    </w:p>
    <w:tbl>
      <w:tblPr>
        <w:tblStyle w:val="4"/>
        <w:tblW w:w="13950" w:type="dxa"/>
        <w:tblInd w:w="13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7"/>
        <w:gridCol w:w="2425"/>
        <w:gridCol w:w="813"/>
        <w:gridCol w:w="3500"/>
        <w:gridCol w:w="912"/>
        <w:gridCol w:w="2021"/>
        <w:gridCol w:w="1292"/>
        <w:gridCol w:w="2200"/>
      </w:tblGrid>
      <w:tr w14:paraId="10974DE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87" w:type="dxa"/>
            <w:noWrap w:val="0"/>
            <w:vAlign w:val="top"/>
          </w:tcPr>
          <w:p w14:paraId="27AB3C66">
            <w:pPr>
              <w:rPr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学院</w:t>
            </w:r>
          </w:p>
        </w:tc>
        <w:tc>
          <w:tcPr>
            <w:tcW w:w="2425" w:type="dxa"/>
            <w:noWrap w:val="0"/>
            <w:vAlign w:val="center"/>
          </w:tcPr>
          <w:p w14:paraId="0C191CC3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智能与计算学部</w:t>
            </w:r>
          </w:p>
        </w:tc>
        <w:tc>
          <w:tcPr>
            <w:tcW w:w="813" w:type="dxa"/>
            <w:noWrap w:val="0"/>
            <w:vAlign w:val="top"/>
          </w:tcPr>
          <w:p w14:paraId="563BB746">
            <w:pPr>
              <w:rPr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专业</w:t>
            </w:r>
          </w:p>
        </w:tc>
        <w:tc>
          <w:tcPr>
            <w:tcW w:w="3500" w:type="dxa"/>
            <w:noWrap w:val="0"/>
            <w:vAlign w:val="center"/>
          </w:tcPr>
          <w:p w14:paraId="242AF7C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软件工程</w:t>
            </w:r>
          </w:p>
        </w:tc>
        <w:tc>
          <w:tcPr>
            <w:tcW w:w="912" w:type="dxa"/>
            <w:noWrap w:val="0"/>
            <w:vAlign w:val="top"/>
          </w:tcPr>
          <w:p w14:paraId="7DC0BBFD">
            <w:pPr>
              <w:rPr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姓名</w:t>
            </w:r>
          </w:p>
        </w:tc>
        <w:tc>
          <w:tcPr>
            <w:tcW w:w="2021" w:type="dxa"/>
            <w:noWrap w:val="0"/>
            <w:vAlign w:val="center"/>
          </w:tcPr>
          <w:p w14:paraId="0E12298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陈俊为</w:t>
            </w:r>
          </w:p>
        </w:tc>
        <w:tc>
          <w:tcPr>
            <w:tcW w:w="1292" w:type="dxa"/>
            <w:noWrap w:val="0"/>
            <w:vAlign w:val="top"/>
          </w:tcPr>
          <w:p w14:paraId="5AB7F678">
            <w:pPr>
              <w:rPr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学号</w:t>
            </w:r>
          </w:p>
        </w:tc>
        <w:tc>
          <w:tcPr>
            <w:tcW w:w="2200" w:type="dxa"/>
            <w:noWrap w:val="0"/>
            <w:vAlign w:val="center"/>
          </w:tcPr>
          <w:p w14:paraId="14791E33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3022234171</w:t>
            </w:r>
          </w:p>
        </w:tc>
      </w:tr>
      <w:tr w14:paraId="7DDE308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12" w:type="dxa"/>
            <w:gridSpan w:val="2"/>
            <w:noWrap w:val="0"/>
            <w:vAlign w:val="top"/>
          </w:tcPr>
          <w:p w14:paraId="23024B68">
            <w:pPr>
              <w:rPr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毕设（论文）题目</w:t>
            </w:r>
          </w:p>
        </w:tc>
        <w:tc>
          <w:tcPr>
            <w:tcW w:w="7246" w:type="dxa"/>
            <w:gridSpan w:val="4"/>
            <w:noWrap w:val="0"/>
            <w:vAlign w:val="center"/>
          </w:tcPr>
          <w:p w14:paraId="742EDED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基于脉冲神经网络的连续控制强化学习算法研究</w:t>
            </w:r>
          </w:p>
        </w:tc>
        <w:tc>
          <w:tcPr>
            <w:tcW w:w="1292" w:type="dxa"/>
            <w:noWrap w:val="0"/>
            <w:vAlign w:val="top"/>
          </w:tcPr>
          <w:p w14:paraId="15B9EE4D">
            <w:pPr>
              <w:rPr>
                <w:rFonts w:hint="eastAsia" w:eastAsia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lang w:eastAsia="zh-CN"/>
              </w:rPr>
              <w:t>指导教师</w:t>
            </w:r>
          </w:p>
        </w:tc>
        <w:tc>
          <w:tcPr>
            <w:tcW w:w="2200" w:type="dxa"/>
            <w:noWrap w:val="0"/>
            <w:vAlign w:val="center"/>
          </w:tcPr>
          <w:p w14:paraId="74356433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于强</w:t>
            </w:r>
          </w:p>
        </w:tc>
      </w:tr>
      <w:tr w14:paraId="2B5CF5D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87" w:type="dxa"/>
            <w:noWrap w:val="0"/>
            <w:vAlign w:val="center"/>
          </w:tcPr>
          <w:p w14:paraId="0D03AD33">
            <w:pPr>
              <w:jc w:val="center"/>
              <w:rPr>
                <w:rFonts w:hint="eastAsia" w:eastAsia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/>
                <w:sz w:val="20"/>
                <w:szCs w:val="24"/>
                <w:lang w:eastAsia="zh-CN"/>
              </w:rPr>
              <w:t>序号</w:t>
            </w:r>
          </w:p>
        </w:tc>
        <w:tc>
          <w:tcPr>
            <w:tcW w:w="2425" w:type="dxa"/>
            <w:noWrap w:val="0"/>
            <w:vAlign w:val="center"/>
          </w:tcPr>
          <w:p w14:paraId="0560E867">
            <w:pPr>
              <w:jc w:val="center"/>
              <w:rPr>
                <w:rFonts w:hint="eastAsia" w:eastAsia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/>
                <w:sz w:val="20"/>
                <w:szCs w:val="24"/>
                <w:lang w:eastAsia="zh-CN"/>
              </w:rPr>
              <w:t>记录日期</w:t>
            </w:r>
          </w:p>
        </w:tc>
        <w:tc>
          <w:tcPr>
            <w:tcW w:w="5225" w:type="dxa"/>
            <w:gridSpan w:val="3"/>
            <w:noWrap w:val="0"/>
            <w:vAlign w:val="center"/>
          </w:tcPr>
          <w:p w14:paraId="61AC6127">
            <w:pPr>
              <w:jc w:val="center"/>
              <w:rPr>
                <w:rFonts w:hint="eastAsia" w:eastAsia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/>
                <w:sz w:val="20"/>
                <w:szCs w:val="24"/>
                <w:lang w:eastAsia="zh-CN"/>
              </w:rPr>
              <w:t>本周工作与下周计划</w:t>
            </w:r>
          </w:p>
        </w:tc>
        <w:tc>
          <w:tcPr>
            <w:tcW w:w="5513" w:type="dxa"/>
            <w:gridSpan w:val="3"/>
            <w:noWrap w:val="0"/>
            <w:vAlign w:val="center"/>
          </w:tcPr>
          <w:p w14:paraId="7E2E61F2">
            <w:pPr>
              <w:jc w:val="center"/>
              <w:rPr>
                <w:rFonts w:hint="eastAsia" w:eastAsia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/>
                <w:sz w:val="20"/>
                <w:szCs w:val="24"/>
                <w:lang w:eastAsia="zh-CN"/>
              </w:rPr>
              <w:t>指导内容</w:t>
            </w:r>
          </w:p>
        </w:tc>
      </w:tr>
      <w:tr w14:paraId="45948DF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87" w:type="dxa"/>
            <w:noWrap w:val="0"/>
            <w:vAlign w:val="center"/>
          </w:tcPr>
          <w:p w14:paraId="52DC493D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1</w:t>
            </w:r>
          </w:p>
        </w:tc>
        <w:tc>
          <w:tcPr>
            <w:tcW w:w="2425" w:type="dxa"/>
            <w:noWrap w:val="0"/>
            <w:vAlign w:val="center"/>
          </w:tcPr>
          <w:p w14:paraId="3B77375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2026-01-12</w:t>
            </w:r>
          </w:p>
        </w:tc>
        <w:tc>
          <w:tcPr>
            <w:tcW w:w="5225" w:type="dxa"/>
            <w:gridSpan w:val="3"/>
            <w:noWrap w:val="0"/>
            <w:vAlign w:val="center"/>
          </w:tcPr>
          <w:p w14:paraId="4453CE14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本周确定论文选题方向，初步梳理脉冲神经网络与连续控制强化学习的结合问题。下周计划阅读 Proxy Target、TD3 和 SNN actor 相关文献</w:t>
            </w:r>
          </w:p>
        </w:tc>
        <w:tc>
          <w:tcPr>
            <w:tcW w:w="5513" w:type="dxa"/>
            <w:gridSpan w:val="3"/>
            <w:noWrap w:val="0"/>
            <w:vAlign w:val="center"/>
          </w:tcPr>
          <w:p w14:paraId="5A96172D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明确研究问题边界，不只比较最终性能，而是关注 LIF 与 PLIF 的训练机制差异</w:t>
            </w:r>
          </w:p>
        </w:tc>
      </w:tr>
      <w:tr w14:paraId="1265FBC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87" w:type="dxa"/>
            <w:noWrap w:val="0"/>
            <w:vAlign w:val="center"/>
          </w:tcPr>
          <w:p w14:paraId="05C4C09C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2</w:t>
            </w:r>
          </w:p>
        </w:tc>
        <w:tc>
          <w:tcPr>
            <w:tcW w:w="2425" w:type="dxa"/>
            <w:noWrap w:val="0"/>
            <w:vAlign w:val="center"/>
          </w:tcPr>
          <w:p w14:paraId="62A8189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2026-01-19</w:t>
            </w:r>
          </w:p>
        </w:tc>
        <w:tc>
          <w:tcPr>
            <w:tcW w:w="5225" w:type="dxa"/>
            <w:gridSpan w:val="3"/>
            <w:noWrap w:val="0"/>
            <w:vAlign w:val="center"/>
          </w:tcPr>
          <w:p w14:paraId="09A88646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本周完成强化学习、TD3、SNN 和 PLIF 相关基础文献阅读。下周计划整理论文结构和章节安排。</w:t>
            </w:r>
          </w:p>
        </w:tc>
        <w:tc>
          <w:tcPr>
            <w:tcW w:w="5513" w:type="dxa"/>
            <w:gridSpan w:val="3"/>
            <w:noWrap w:val="0"/>
            <w:vAlign w:val="center"/>
          </w:tcPr>
          <w:p w14:paraId="61B18337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确定论文主线为“理论基础—代码实现—实验分析—机制解释”。</w:t>
            </w:r>
          </w:p>
        </w:tc>
      </w:tr>
      <w:tr w14:paraId="29F378F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87" w:type="dxa"/>
            <w:noWrap w:val="0"/>
            <w:vAlign w:val="center"/>
          </w:tcPr>
          <w:p w14:paraId="210FACA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3</w:t>
            </w:r>
          </w:p>
        </w:tc>
        <w:tc>
          <w:tcPr>
            <w:tcW w:w="2425" w:type="dxa"/>
            <w:noWrap w:val="0"/>
            <w:vAlign w:val="center"/>
          </w:tcPr>
          <w:p w14:paraId="16932F63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2026-01-26</w:t>
            </w:r>
          </w:p>
        </w:tc>
        <w:tc>
          <w:tcPr>
            <w:tcW w:w="5225" w:type="dxa"/>
            <w:gridSpan w:val="3"/>
            <w:noWrap w:val="0"/>
            <w:vAlign w:val="center"/>
          </w:tcPr>
          <w:p w14:paraId="7C3CEE39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本周初步阅读项目代码，理解 Proxy Target + TD3 的训练流程。下周计划重点分析 actor 网络结构和 LIF/PLIF 实现差异。</w:t>
            </w:r>
          </w:p>
        </w:tc>
        <w:tc>
          <w:tcPr>
            <w:tcW w:w="5513" w:type="dxa"/>
            <w:gridSpan w:val="3"/>
            <w:noWrap w:val="0"/>
            <w:vAlign w:val="center"/>
          </w:tcPr>
          <w:p w14:paraId="7831A578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从代码实现出发描述方法，避免只停留在算法概念层面。</w:t>
            </w:r>
          </w:p>
        </w:tc>
      </w:tr>
      <w:tr w14:paraId="5BDEE23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87" w:type="dxa"/>
            <w:noWrap w:val="0"/>
            <w:vAlign w:val="center"/>
          </w:tcPr>
          <w:p w14:paraId="44709E1F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4</w:t>
            </w:r>
          </w:p>
        </w:tc>
        <w:tc>
          <w:tcPr>
            <w:tcW w:w="2425" w:type="dxa"/>
            <w:noWrap w:val="0"/>
            <w:vAlign w:val="center"/>
          </w:tcPr>
          <w:p w14:paraId="4A576AE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2026-02-02</w:t>
            </w:r>
          </w:p>
        </w:tc>
        <w:tc>
          <w:tcPr>
            <w:tcW w:w="5225" w:type="dxa"/>
            <w:gridSpan w:val="3"/>
            <w:noWrap w:val="0"/>
            <w:vAlign w:val="center"/>
          </w:tcPr>
          <w:p w14:paraId="3478ED83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本周完成脉冲 actor 结构梳理，包括 population 编码、Spike MLP 和动作解码。下周计划整理实验环境与默认超参数。</w:t>
            </w:r>
          </w:p>
        </w:tc>
        <w:tc>
          <w:tcPr>
            <w:tcW w:w="5513" w:type="dxa"/>
            <w:gridSpan w:val="3"/>
            <w:noWrap w:val="0"/>
            <w:vAlign w:val="center"/>
          </w:tcPr>
          <w:p w14:paraId="575B5F24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将网络结构与连续控制任务需求对应起来，突出 SNN actor 输出连续动作的实现方式。</w:t>
            </w:r>
          </w:p>
        </w:tc>
      </w:tr>
      <w:tr w14:paraId="29A1682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87" w:type="dxa"/>
            <w:noWrap w:val="0"/>
            <w:vAlign w:val="center"/>
          </w:tcPr>
          <w:p w14:paraId="0A54F945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5</w:t>
            </w:r>
          </w:p>
        </w:tc>
        <w:tc>
          <w:tcPr>
            <w:tcW w:w="2425" w:type="dxa"/>
            <w:noWrap w:val="0"/>
            <w:vAlign w:val="center"/>
          </w:tcPr>
          <w:p w14:paraId="15A3D2E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2026-02-09</w:t>
            </w:r>
          </w:p>
        </w:tc>
        <w:tc>
          <w:tcPr>
            <w:tcW w:w="5225" w:type="dxa"/>
            <w:gridSpan w:val="3"/>
            <w:noWrap w:val="0"/>
            <w:vAlign w:val="center"/>
          </w:tcPr>
          <w:p w14:paraId="2F618F2C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本周整理 MuJoCo 实验环境、随机种子和训练设置。下周计划运行或汇总 ANN、LIF、PLIF、CLIF 的总体实验结果。</w:t>
            </w:r>
          </w:p>
        </w:tc>
        <w:tc>
          <w:tcPr>
            <w:tcW w:w="5513" w:type="dxa"/>
            <w:gridSpan w:val="3"/>
            <w:noWrap w:val="0"/>
            <w:vAlign w:val="center"/>
          </w:tcPr>
          <w:p w14:paraId="68AEAE8D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统一实验协议，明确最大评估回报和学习曲线的统计口径。</w:t>
            </w:r>
          </w:p>
        </w:tc>
      </w:tr>
      <w:tr w14:paraId="07E744E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87" w:type="dxa"/>
            <w:noWrap w:val="0"/>
            <w:vAlign w:val="center"/>
          </w:tcPr>
          <w:p w14:paraId="6204E2D5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6</w:t>
            </w:r>
          </w:p>
        </w:tc>
        <w:tc>
          <w:tcPr>
            <w:tcW w:w="2425" w:type="dxa"/>
            <w:noWrap w:val="0"/>
            <w:vAlign w:val="center"/>
          </w:tcPr>
          <w:p w14:paraId="08FCC66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2026-02-16</w:t>
            </w:r>
          </w:p>
        </w:tc>
        <w:tc>
          <w:tcPr>
            <w:tcW w:w="5225" w:type="dxa"/>
            <w:gridSpan w:val="3"/>
            <w:noWrap w:val="0"/>
            <w:vAlign w:val="center"/>
          </w:tcPr>
          <w:p w14:paraId="1B42152A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本周完成主要实验结果的初步汇总。下周计划绘制各算法最大回报和学习曲线对比图。</w:t>
            </w:r>
          </w:p>
        </w:tc>
        <w:tc>
          <w:tcPr>
            <w:tcW w:w="5513" w:type="dxa"/>
            <w:gridSpan w:val="3"/>
            <w:noWrap w:val="0"/>
            <w:vAlign w:val="center"/>
          </w:tcPr>
          <w:p w14:paraId="60BD18C6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区分总体性能展示和机制分析，不仅凭单一环境判断 PLIF 优劣。</w:t>
            </w:r>
          </w:p>
        </w:tc>
      </w:tr>
      <w:tr w14:paraId="74E16C9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87" w:type="dxa"/>
            <w:noWrap w:val="0"/>
            <w:vAlign w:val="center"/>
          </w:tcPr>
          <w:p w14:paraId="2AA8F310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7</w:t>
            </w:r>
          </w:p>
        </w:tc>
        <w:tc>
          <w:tcPr>
            <w:tcW w:w="2425" w:type="dxa"/>
            <w:noWrap w:val="0"/>
            <w:vAlign w:val="center"/>
          </w:tcPr>
          <w:p w14:paraId="3BA621B7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2026-02-23</w:t>
            </w:r>
          </w:p>
        </w:tc>
        <w:tc>
          <w:tcPr>
            <w:tcW w:w="5225" w:type="dxa"/>
            <w:gridSpan w:val="3"/>
            <w:noWrap w:val="0"/>
            <w:vAlign w:val="center"/>
          </w:tcPr>
          <w:p w14:paraId="0115C1E1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本周绘制总体实验结果图，并观察到 PT-LIF 与 PT-PLIF 整体表现接近。下周计划选择代表性失败案例进行深入分析。</w:t>
            </w:r>
          </w:p>
        </w:tc>
        <w:tc>
          <w:tcPr>
            <w:tcW w:w="5513" w:type="dxa"/>
            <w:gridSpan w:val="3"/>
            <w:noWrap w:val="0"/>
            <w:vAlign w:val="center"/>
          </w:tcPr>
          <w:p w14:paraId="1CABDCBA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将论文结论调整为“性能接近与机制差异分析”，避免表述为 PLIF 全面优于 LIF。</w:t>
            </w:r>
          </w:p>
        </w:tc>
      </w:tr>
      <w:tr w14:paraId="3F2BBB9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87" w:type="dxa"/>
            <w:noWrap w:val="0"/>
            <w:vAlign w:val="center"/>
          </w:tcPr>
          <w:p w14:paraId="316CF98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8</w:t>
            </w:r>
          </w:p>
        </w:tc>
        <w:tc>
          <w:tcPr>
            <w:tcW w:w="2425" w:type="dxa"/>
            <w:noWrap w:val="0"/>
            <w:vAlign w:val="center"/>
          </w:tcPr>
          <w:p w14:paraId="2311525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2026-03-02</w:t>
            </w:r>
          </w:p>
        </w:tc>
        <w:tc>
          <w:tcPr>
            <w:tcW w:w="5225" w:type="dxa"/>
            <w:gridSpan w:val="3"/>
            <w:noWrap w:val="0"/>
            <w:vAlign w:val="center"/>
          </w:tcPr>
          <w:p w14:paraId="4E5B2047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本周选取 Hopper-v4 作为机制分析代表案例，整理失败组学习曲线。下周计划分析调整 actor 更新间隔后的训练表现。</w:t>
            </w:r>
          </w:p>
        </w:tc>
        <w:tc>
          <w:tcPr>
            <w:tcW w:w="5513" w:type="dxa"/>
            <w:gridSpan w:val="3"/>
            <w:noWrap w:val="0"/>
            <w:vAlign w:val="center"/>
          </w:tcPr>
          <w:p w14:paraId="4DA8AC07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围绕低回报停滞现象提出机制问题，重点比较失败组与缓解组。</w:t>
            </w:r>
          </w:p>
        </w:tc>
      </w:tr>
      <w:tr w14:paraId="7745F49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87" w:type="dxa"/>
            <w:noWrap w:val="0"/>
            <w:vAlign w:val="center"/>
          </w:tcPr>
          <w:p w14:paraId="67B5CDCC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9</w:t>
            </w:r>
          </w:p>
        </w:tc>
        <w:tc>
          <w:tcPr>
            <w:tcW w:w="2425" w:type="dxa"/>
            <w:noWrap w:val="0"/>
            <w:vAlign w:val="center"/>
          </w:tcPr>
          <w:p w14:paraId="710BEED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2026-03-09</w:t>
            </w:r>
          </w:p>
        </w:tc>
        <w:tc>
          <w:tcPr>
            <w:tcW w:w="5225" w:type="dxa"/>
            <w:gridSpan w:val="3"/>
            <w:noWrap w:val="0"/>
            <w:vAlign w:val="center"/>
          </w:tcPr>
          <w:p w14:paraId="4E26258F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本周完成默认失败组与 policy_freq 调整组的重复运行对比。下周计划统计 STBP 梯度和放电率指标。</w:t>
            </w:r>
          </w:p>
        </w:tc>
        <w:tc>
          <w:tcPr>
            <w:tcW w:w="5513" w:type="dxa"/>
            <w:gridSpan w:val="3"/>
            <w:noWrap w:val="0"/>
            <w:vAlign w:val="center"/>
          </w:tcPr>
          <w:p w14:paraId="46E0071A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关注“仍然放电但梯度塌缩”的现象，避免将失败简单解释为脉冲沉默。</w:t>
            </w:r>
          </w:p>
        </w:tc>
      </w:tr>
      <w:tr w14:paraId="5308265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87" w:type="dxa"/>
            <w:noWrap w:val="0"/>
            <w:vAlign w:val="center"/>
          </w:tcPr>
          <w:p w14:paraId="79BFB1AC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10</w:t>
            </w:r>
          </w:p>
        </w:tc>
        <w:tc>
          <w:tcPr>
            <w:tcW w:w="2425" w:type="dxa"/>
            <w:noWrap w:val="0"/>
            <w:vAlign w:val="center"/>
          </w:tcPr>
          <w:p w14:paraId="7DB36E25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2026-03-16</w:t>
            </w:r>
          </w:p>
        </w:tc>
        <w:tc>
          <w:tcPr>
            <w:tcW w:w="5225" w:type="dxa"/>
            <w:gridSpan w:val="3"/>
            <w:noWrap w:val="0"/>
            <w:vAlign w:val="center"/>
          </w:tcPr>
          <w:p w14:paraId="2E07B194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本周整理 STBP 梯度、放电率和参数梯度结果。下周计划分析 PLIF 时间常数的层间演化。</w:t>
            </w:r>
          </w:p>
        </w:tc>
        <w:tc>
          <w:tcPr>
            <w:tcW w:w="5513" w:type="dxa"/>
            <w:gridSpan w:val="3"/>
            <w:noWrap w:val="0"/>
            <w:vAlign w:val="center"/>
          </w:tcPr>
          <w:p w14:paraId="17932CFE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从前向放电状态和反向梯度通道两方面解释训练停滞。</w:t>
            </w:r>
          </w:p>
        </w:tc>
      </w:tr>
      <w:tr w14:paraId="283ECAE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87" w:type="dxa"/>
            <w:noWrap w:val="0"/>
            <w:vAlign w:val="center"/>
          </w:tcPr>
          <w:p w14:paraId="0854FDF0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11</w:t>
            </w:r>
          </w:p>
        </w:tc>
        <w:tc>
          <w:tcPr>
            <w:tcW w:w="2425" w:type="dxa"/>
            <w:noWrap w:val="0"/>
            <w:vAlign w:val="center"/>
          </w:tcPr>
          <w:p w14:paraId="31DE3A45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2026-03-30</w:t>
            </w:r>
          </w:p>
        </w:tc>
        <w:tc>
          <w:tcPr>
            <w:tcW w:w="5225" w:type="dxa"/>
            <w:gridSpan w:val="3"/>
            <w:noWrap w:val="0"/>
            <w:vAlign w:val="center"/>
          </w:tcPr>
          <w:p w14:paraId="45E89BE0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本周完成 PLIF 时间常数曲线绘制和初步分析。下周计划补充有效保留项和层间差异说明。</w:t>
            </w:r>
          </w:p>
        </w:tc>
        <w:tc>
          <w:tcPr>
            <w:tcW w:w="5513" w:type="dxa"/>
            <w:gridSpan w:val="3"/>
            <w:noWrap w:val="0"/>
            <w:vAlign w:val="center"/>
          </w:tcPr>
          <w:p w14:paraId="002DE85D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说明 PLIF 时间常数不是单调增大，而是与隐藏层和动作输出层功能差异有关。</w:t>
            </w:r>
          </w:p>
        </w:tc>
      </w:tr>
      <w:tr w14:paraId="004CD2D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87" w:type="dxa"/>
            <w:noWrap w:val="0"/>
            <w:vAlign w:val="center"/>
          </w:tcPr>
          <w:p w14:paraId="3C50E9F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12</w:t>
            </w:r>
          </w:p>
        </w:tc>
        <w:tc>
          <w:tcPr>
            <w:tcW w:w="2425" w:type="dxa"/>
            <w:noWrap w:val="0"/>
            <w:vAlign w:val="center"/>
          </w:tcPr>
          <w:p w14:paraId="6CF29890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2026-04-06</w:t>
            </w:r>
          </w:p>
        </w:tc>
        <w:tc>
          <w:tcPr>
            <w:tcW w:w="5225" w:type="dxa"/>
            <w:gridSpan w:val="3"/>
            <w:noWrap w:val="0"/>
            <w:vAlign w:val="center"/>
          </w:tcPr>
          <w:p w14:paraId="6DDFD279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本周完成 LIF 与 PLIF 成功组机制指标的配对统计。下周计划绘制配对散点图并整理表格定义。</w:t>
            </w:r>
          </w:p>
        </w:tc>
        <w:tc>
          <w:tcPr>
            <w:tcW w:w="5513" w:type="dxa"/>
            <w:gridSpan w:val="3"/>
            <w:noWrap w:val="0"/>
            <w:vAlign w:val="center"/>
          </w:tcPr>
          <w:p w14:paraId="5D58E2DF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用配对指标支撑机制近似等价结论，解释每个点对应环境、随机种子和网络层。</w:t>
            </w:r>
          </w:p>
        </w:tc>
      </w:tr>
      <w:tr w14:paraId="0AC9003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87" w:type="dxa"/>
            <w:noWrap w:val="0"/>
            <w:vAlign w:val="center"/>
          </w:tcPr>
          <w:p w14:paraId="3B5C6D93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13</w:t>
            </w:r>
          </w:p>
        </w:tc>
        <w:tc>
          <w:tcPr>
            <w:tcW w:w="2425" w:type="dxa"/>
            <w:noWrap w:val="0"/>
            <w:vAlign w:val="center"/>
          </w:tcPr>
          <w:p w14:paraId="7734B35C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2026-04-13</w:t>
            </w:r>
          </w:p>
        </w:tc>
        <w:tc>
          <w:tcPr>
            <w:tcW w:w="5225" w:type="dxa"/>
            <w:gridSpan w:val="3"/>
            <w:noWrap w:val="0"/>
            <w:vAlign w:val="center"/>
          </w:tcPr>
          <w:p w14:paraId="5821F49A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本周完成第五章主要图表和机制分析文字。下周计划撰写总结与展望，并统一全文表述。</w:t>
            </w:r>
          </w:p>
        </w:tc>
        <w:tc>
          <w:tcPr>
            <w:tcW w:w="5513" w:type="dxa"/>
            <w:gridSpan w:val="3"/>
            <w:noWrap w:val="0"/>
            <w:vAlign w:val="center"/>
          </w:tcPr>
          <w:p w14:paraId="5BB34A56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强化论文主线，将最终结论落在 PLIF 的时间尺度自适应价值和 LIF/PLIF 机制接近性上。</w:t>
            </w:r>
          </w:p>
        </w:tc>
      </w:tr>
      <w:tr w14:paraId="41920C1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87" w:type="dxa"/>
            <w:noWrap w:val="0"/>
            <w:vAlign w:val="center"/>
          </w:tcPr>
          <w:p w14:paraId="2387BCFC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14</w:t>
            </w:r>
          </w:p>
        </w:tc>
        <w:tc>
          <w:tcPr>
            <w:tcW w:w="2425" w:type="dxa"/>
            <w:noWrap w:val="0"/>
            <w:vAlign w:val="center"/>
          </w:tcPr>
          <w:p w14:paraId="69E5F992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2026-04-20</w:t>
            </w:r>
          </w:p>
        </w:tc>
        <w:tc>
          <w:tcPr>
            <w:tcW w:w="5225" w:type="dxa"/>
            <w:gridSpan w:val="3"/>
            <w:noWrap w:val="0"/>
            <w:vAlign w:val="center"/>
          </w:tcPr>
          <w:p w14:paraId="2E183887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本周完成论文初稿修改、图表替换和格式检查。下周计划进行最终查重前整理与提交准备。</w:t>
            </w:r>
          </w:p>
        </w:tc>
        <w:tc>
          <w:tcPr>
            <w:tcW w:w="5513" w:type="dxa"/>
            <w:gridSpan w:val="3"/>
            <w:noWrap w:val="0"/>
            <w:vAlign w:val="center"/>
          </w:tcPr>
          <w:p w14:paraId="03AF86AB">
            <w:pPr>
              <w:spacing w:before="0" w:after="0" w:line="240" w:lineRule="auto"/>
              <w:jc w:val="left"/>
            </w:pPr>
            <w:r>
              <w:rPr>
                <w:rFonts w:hint="eastAsia" w:eastAsia="宋体"/>
                <w:sz w:val="24"/>
                <w:szCs w:val="28"/>
                <w:lang w:eastAsia="zh-CN"/>
              </w:rP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1902460</wp:posOffset>
                  </wp:positionH>
                  <wp:positionV relativeFrom="paragraph">
                    <wp:posOffset>374650</wp:posOffset>
                  </wp:positionV>
                  <wp:extent cx="644525" cy="511175"/>
                  <wp:effectExtent l="0" t="0" r="3175" b="9525"/>
                  <wp:wrapNone/>
                  <wp:docPr id="2" name="图片 2" descr="signature_yu_qia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signature_yu_qiang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4525" cy="511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宋体" w:hAnsi="宋体" w:eastAsia="宋体"/>
                <w:b w:val="0"/>
                <w:sz w:val="18"/>
              </w:rPr>
              <w:t>检查摘要、目录、图表题注、参考文献和页眉页脚格式，确保论文表述正式规范。</w:t>
            </w:r>
          </w:p>
        </w:tc>
      </w:tr>
    </w:tbl>
    <w:p w14:paraId="467F5E39">
      <w:pPr>
        <w:spacing w:line="480" w:lineRule="auto"/>
        <w:ind w:firstLine="9840" w:firstLineChars="4100"/>
        <w:rPr>
          <w:rFonts w:hint="eastAsia" w:eastAsia="宋体"/>
          <w:sz w:val="24"/>
          <w:szCs w:val="28"/>
          <w:lang w:eastAsia="zh-CN"/>
        </w:rPr>
      </w:pPr>
      <w:r>
        <w:rPr>
          <w:rFonts w:hint="eastAsia"/>
          <w:sz w:val="24"/>
          <w:szCs w:val="28"/>
          <w:lang w:eastAsia="zh-CN"/>
        </w:rPr>
        <w:t>指导教师签字：</w:t>
      </w:r>
    </w:p>
    <w:p w14:paraId="326CD3F2"/>
    <w:sectPr>
      <w:headerReference r:id="rId3" w:type="default"/>
      <w:footerReference r:id="rId4" w:type="default"/>
      <w:pgSz w:w="16838" w:h="11906" w:orient="landscape"/>
      <w:pgMar w:top="1800" w:right="1440" w:bottom="1800" w:left="1440" w:header="851" w:footer="992" w:gutter="0"/>
      <w:pgNumType w:fmt="decimal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F7A384">
    <w:pPr>
      <w:pStyle w:val="2"/>
    </w:pPr>
    <w:bookmarkStart w:id="0" w:name="_GoBack"/>
    <w:bookmarkEnd w:id="0"/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6E1C634">
                          <w:pPr>
                            <w:pStyle w:val="2"/>
                          </w:pPr>
                          <w:r>
                            <w:rPr>
                              <w:rFonts w:hint="eastAsia"/>
                              <w:lang w:val="en-US" w:eastAsia="zh-CN"/>
                            </w:rPr>
                            <w:t>E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6E1C634">
                    <w:pPr>
                      <w:pStyle w:val="2"/>
                    </w:pPr>
                    <w:r>
                      <w:rPr>
                        <w:rFonts w:hint="eastAsia"/>
                        <w:lang w:val="en-US" w:eastAsia="zh-CN"/>
                      </w:rPr>
                      <w:t>E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DA64BA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9B82350"/>
    <w:rsid w:val="49B82350"/>
    <w:rsid w:val="4E6706C5"/>
    <w:rsid w:val="7005028F"/>
    <w:rsid w:val="7E231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2.jpeg"/><Relationship Id="rId6" Type="http://schemas.openxmlformats.org/officeDocument/2006/relationships/image" Target="media/image1.wmf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1138</Words>
  <Characters>1440</Characters>
  <Lines>0</Lines>
  <Paragraphs>0</Paragraphs>
  <TotalTime>0</TotalTime>
  <ScaleCrop>false</ScaleCrop>
  <LinksUpToDate>false</LinksUpToDate>
  <CharactersWithSpaces>1508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2021-11-10T09:24:00Z</dcterms:created>
  <dc:creator>lff</dc:creator>
  <cp:lastModifiedBy>Mercy</cp:lastModifiedBy>
  <dcterms:modified xsi:type="dcterms:W3CDTF">2026-06-07T07:51:20Z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6341A9D59F1346D1805A233401E4DC17</vt:lpwstr>
  </property>
  <property fmtid="{D5CDD505-2E9C-101B-9397-08002B2CF9AE}" pid="4" name="KSOTemplateDocerSaveRecord">
    <vt:lpwstr>eyJoZGlkIjoiNWQ0YjZjNzE2ZmU2MGU5MDU5ZWVjZTNkYjdiYzMwNWQiLCJ1c2VySWQiOiI2ODA3MzExNzgifQ==</vt:lpwstr>
  </property>
</Properties>
</file>