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00" w:line="240" w:lineRule="auto"/>
        <w:jc w:val="left"/>
      </w:pPr>
      <w:r>
        <w:rPr>
          <w:rFonts w:ascii="Arial Unicode MS" w:hAnsi="Arial Unicode MS" w:eastAsia="Arial Unicode MS"/>
          <w:b/>
          <w:i w:val="0"/>
          <w:color w:val="16AFA0"/>
          <w:sz w:val="18"/>
        </w:rPr>
        <w:t>PRODUCT EXPERIENCE BRIEF · PRIVATE POC</w:t>
      </w:r>
    </w:p>
    <w:p>
      <w:pPr>
        <w:spacing w:before="0" w:after="60"/>
      </w:pPr>
      <w:r>
        <w:rPr>
          <w:rFonts w:ascii="Arial Unicode MS" w:hAnsi="Arial Unicode MS" w:eastAsia="Arial Unicode MS"/>
          <w:b/>
          <w:i w:val="0"/>
          <w:color w:val="0B1020"/>
          <w:sz w:val="60"/>
        </w:rPr>
        <w:t>COBOL 业务分析 Agent</w:t>
      </w:r>
    </w:p>
    <w:p>
      <w:pPr>
        <w:keepNext w:val="0"/>
        <w:spacing w:before="0" w:after="240" w:line="264" w:lineRule="auto"/>
        <w:jc w:val="left"/>
      </w:pPr>
      <w:r>
        <w:rPr>
          <w:rFonts w:ascii="Arial Unicode MS" w:hAnsi="Arial Unicode MS" w:eastAsia="Arial Unicode MS"/>
          <w:b/>
          <w:i w:val="0"/>
          <w:color w:val="4935A8"/>
          <w:sz w:val="30"/>
        </w:rPr>
        <w:t>领导演示体验、可信边界与 15 个工作日纵向 POC 计划</w:t>
      </w:r>
    </w:p>
    <w:tbl>
      <w:tblPr>
        <w:tblW w:type="dxa" w:w="1408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94"/>
        <w:gridCol w:w="4694"/>
        <w:gridCol w:w="4694"/>
      </w:tblGrid>
      <w:tr>
        <w:tc>
          <w:tcPr>
            <w:tcW w:type="dxa" w:w="4694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7B8293"/>
                <w:sz w:val="17"/>
              </w:rPr>
              <w:t>面向</w:t>
              <w:br/>
            </w:r>
            <w:r>
              <w:rPr>
                <w:rFonts w:ascii="Arial Unicode MS" w:hAnsi="Arial Unicode MS" w:eastAsia="Arial Unicode MS"/>
                <w:b/>
                <w:i w:val="0"/>
                <w:color w:val="1A2130"/>
                <w:sz w:val="20"/>
              </w:rPr>
              <w:t>技术领导 / 业务负责人</w:t>
            </w:r>
          </w:p>
        </w:tc>
        <w:tc>
          <w:tcPr>
            <w:tcW w:type="dxa" w:w="4694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7B8293"/>
                <w:sz w:val="17"/>
              </w:rPr>
              <w:t>状态</w:t>
              <w:br/>
            </w:r>
            <w:r>
              <w:rPr>
                <w:rFonts w:ascii="Arial Unicode MS" w:hAnsi="Arial Unicode MS" w:eastAsia="Arial Unicode MS"/>
                <w:b/>
                <w:i w:val="0"/>
                <w:color w:val="1A2130"/>
                <w:sz w:val="20"/>
              </w:rPr>
              <w:t>Concept UI · POC Decision Brief</w:t>
            </w:r>
          </w:p>
        </w:tc>
        <w:tc>
          <w:tcPr>
            <w:tcW w:type="dxa" w:w="4694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7B8293"/>
                <w:sz w:val="17"/>
              </w:rPr>
              <w:t>日期</w:t>
              <w:br/>
            </w:r>
            <w:r>
              <w:rPr>
                <w:rFonts w:ascii="Arial Unicode MS" w:hAnsi="Arial Unicode MS" w:eastAsia="Arial Unicode MS"/>
                <w:b/>
                <w:i w:val="0"/>
                <w:color w:val="1A2130"/>
                <w:sz w:val="20"/>
              </w:rPr>
              <w:t>2026-08-29 · v0.2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A2130"/>
          <w:sz w:val="4"/>
        </w:rPr>
      </w:r>
    </w:p>
    <w:tbl>
      <w:tblPr>
        <w:tblW w:type="dxa" w:w="1408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83"/>
      </w:tblGrid>
      <w:tr>
        <w:tc>
          <w:tcPr>
            <w:tcW w:type="dxa" w:w="14083"/>
            <w:tcMar>
              <w:top w:w="100" w:type="dxa"/>
              <w:start w:w="130" w:type="dxa"/>
              <w:bottom w:w="100" w:type="dxa"/>
              <w:end w:w="130" w:type="dxa"/>
            </w:tcMar>
            <w:shd w:fill="F2EFFF"/>
            <w:tcBorders>
              <w:left w:val="single" w:sz="8" w:space="0" w:color="4935A8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4935A8"/>
                <w:sz w:val="20"/>
              </w:rPr>
              <w:t xml:space="preserve">核心建议  </w:t>
            </w:r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21"/>
              </w:rPr>
              <w:t>批准一条可演示、可复核的纵向闭环：从 Windows COBOL 源码快照开始，业务人员自然语言提问，Agent 调查代码并输出带文件、行号和未知边界的业务答案。</w:t>
            </w:r>
          </w:p>
        </w:tc>
      </w:tr>
    </w:tbl>
    <w:p>
      <w:pPr>
        <w:spacing w:after="80" w:before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8732520" cy="1935047"/>
            <wp:docPr id="1" name="Picture 1" descr="COBOL Agent 提问、调查、回答三个连续界面缩略图" title="COBOL Agent 提问、调查、回答三个连续界面缩略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-stri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19350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408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94"/>
        <w:gridCol w:w="4694"/>
        <w:gridCol w:w="4694"/>
      </w:tblGrid>
      <w:tr>
        <w:tc>
          <w:tcPr>
            <w:tcW w:type="dxa" w:w="4694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6" w:space="0" w:color="DDE1EA"/>
              <w:left w:val="single" w:sz="6" w:space="0" w:color="DDE1EA"/>
              <w:bottom w:val="single" w:sz="6" w:space="0" w:color="DDE1EA"/>
              <w:right w:val="single" w:sz="6" w:space="0" w:color="DDE1EA"/>
            </w:tcBorders>
            <w:vAlign w:val="top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i w:val="0"/>
                <w:color w:val="7057E8"/>
                <w:sz w:val="17"/>
              </w:rPr>
              <w:t>TARGET</w:t>
            </w:r>
          </w:p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i w:val="0"/>
                <w:color w:val="0B1020"/>
                <w:sz w:val="24"/>
              </w:rPr>
              <w:t>1 条真实业务流程</w:t>
            </w:r>
          </w:p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8"/>
              </w:rPr>
              <w:t>只承诺一个经过人工标注的计算场景，不伪装成全系统已完成。</w:t>
            </w:r>
          </w:p>
        </w:tc>
        <w:tc>
          <w:tcPr>
            <w:tcW w:type="dxa" w:w="4694"/>
            <w:tcMar>
              <w:top w:w="100" w:type="dxa"/>
              <w:start w:w="130" w:type="dxa"/>
              <w:bottom w:w="100" w:type="dxa"/>
              <w:end w:w="130" w:type="dxa"/>
            </w:tcMar>
            <w:shd w:fill="EAFBF8"/>
            <w:tcBorders>
              <w:top w:val="single" w:sz="6" w:space="0" w:color="DDE1EA"/>
              <w:left w:val="single" w:sz="6" w:space="0" w:color="DDE1EA"/>
              <w:bottom w:val="single" w:sz="6" w:space="0" w:color="DDE1EA"/>
              <w:right w:val="single" w:sz="6" w:space="0" w:color="DDE1EA"/>
            </w:tcBorders>
            <w:vAlign w:val="top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i w:val="0"/>
                <w:color w:val="7057E8"/>
                <w:sz w:val="17"/>
              </w:rPr>
              <w:t>TIMEBOX</w:t>
            </w:r>
          </w:p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i w:val="0"/>
                <w:color w:val="0B1020"/>
                <w:sz w:val="24"/>
              </w:rPr>
              <w:t>10–15 个工作日</w:t>
            </w:r>
          </w:p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8"/>
              </w:rPr>
              <w:t>先验证公司 API、全库粗索引、只读调查工具与证据回答。</w:t>
            </w:r>
          </w:p>
        </w:tc>
        <w:tc>
          <w:tcPr>
            <w:tcW w:type="dxa" w:w="4694"/>
            <w:tcMar>
              <w:top w:w="100" w:type="dxa"/>
              <w:start w:w="130" w:type="dxa"/>
              <w:bottom w:w="100" w:type="dxa"/>
              <w:end w:w="130" w:type="dxa"/>
            </w:tcMar>
            <w:shd w:fill="FFF7E7"/>
            <w:tcBorders>
              <w:top w:val="single" w:sz="6" w:space="0" w:color="DDE1EA"/>
              <w:left w:val="single" w:sz="6" w:space="0" w:color="DDE1EA"/>
              <w:bottom w:val="single" w:sz="6" w:space="0" w:color="DDE1EA"/>
              <w:right w:val="single" w:sz="6" w:space="0" w:color="DDE1EA"/>
            </w:tcBorders>
            <w:vAlign w:val="top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i w:val="0"/>
                <w:color w:val="7057E8"/>
                <w:sz w:val="17"/>
              </w:rPr>
              <w:t>DECISION</w:t>
            </w:r>
          </w:p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i w:val="0"/>
                <w:color w:val="0B1020"/>
                <w:sz w:val="24"/>
              </w:rPr>
              <w:t>先证明可信，再扩功能</w:t>
            </w:r>
          </w:p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8"/>
              </w:rPr>
              <w:t>RAG、图关系和 LLM 分工清楚；不先堆复杂框架或多 Agent。</w:t>
            </w:r>
          </w:p>
        </w:tc>
      </w:tr>
    </w:tbl>
    <w:p>
      <w:r>
        <w:br w:type="page"/>
      </w:r>
    </w:p>
    <w:p>
      <w:pPr>
        <w:keepNext/>
        <w:spacing w:before="0" w:after="100" w:line="240" w:lineRule="auto"/>
        <w:jc w:val="left"/>
      </w:pPr>
      <w:r>
        <w:rPr>
          <w:rFonts w:ascii="Arial Unicode MS" w:hAnsi="Arial Unicode MS" w:eastAsia="Arial Unicode MS"/>
          <w:b/>
          <w:i w:val="0"/>
          <w:color w:val="16AFA0"/>
          <w:sz w:val="18"/>
        </w:rPr>
        <w:t>01 / PRODUCT THESIS</w:t>
      </w:r>
    </w:p>
    <w:p>
      <w:pPr>
        <w:pStyle w:val="Heading1"/>
        <w:keepNext/>
        <w:spacing w:before="0" w:after="160"/>
      </w:pPr>
      <w:r>
        <w:rPr>
          <w:rFonts w:ascii="Arial Unicode MS" w:hAnsi="Arial Unicode MS" w:eastAsia="Arial Unicode MS"/>
          <w:b/>
          <w:i w:val="0"/>
          <w:color w:val="0B1020"/>
          <w:sz w:val="40"/>
        </w:rPr>
        <w:t>不是聊天机器人，而是一条可审计的代码调查链</w:t>
      </w:r>
    </w:p>
    <w:p>
      <w:pPr>
        <w:keepNext w:val="0"/>
        <w:spacing w:before="0" w:after="200" w:line="264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626A7D"/>
          <w:sz w:val="22"/>
        </w:rPr>
        <w:t>界面设计围绕一个判断展开：领导必须同时看到业务价值与可信机制。炫酷动效只能表达系统状态，不能遮住证据、边界和失败方式。</w:t>
      </w:r>
    </w:p>
    <w:tbl>
      <w:tblPr>
        <w:tblW w:type="dxa" w:w="1408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94"/>
        <w:gridCol w:w="4694"/>
        <w:gridCol w:w="4694"/>
      </w:tblGrid>
      <w:tr>
        <w:tc>
          <w:tcPr>
            <w:tcW w:type="dxa" w:w="4694"/>
            <w:tcMar>
              <w:top w:w="100" w:type="dxa"/>
              <w:start w:w="130" w:type="dxa"/>
              <w:bottom w:w="100" w:type="dxa"/>
              <w:end w:w="130" w:type="dxa"/>
            </w:tcMar>
            <w:shd w:fill="F2EFFF"/>
            <w:tcBorders>
              <w:top w:val="single" w:sz="6" w:space="0" w:color="DDE1EA"/>
              <w:left w:val="single" w:sz="6" w:space="0" w:color="DDE1EA"/>
              <w:bottom w:val="single" w:sz="6" w:space="0" w:color="DDE1EA"/>
              <w:right w:val="single" w:sz="6" w:space="0" w:color="DDE1EA"/>
            </w:tcBorders>
            <w:vAlign w:val="top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i w:val="0"/>
                <w:color w:val="7057E8"/>
                <w:sz w:val="17"/>
              </w:rPr>
              <w:t>01 · ASK</w:t>
            </w:r>
          </w:p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i w:val="0"/>
                <w:color w:val="0B1020"/>
                <w:sz w:val="24"/>
              </w:rPr>
              <w:t>业务人员直接提问</w:t>
            </w:r>
          </w:p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8"/>
              </w:rPr>
              <w:t>从“分期保费怎么计算”出发，不要求用户先知道程序名、字段名或调用入口。</w:t>
            </w:r>
          </w:p>
        </w:tc>
        <w:tc>
          <w:tcPr>
            <w:tcW w:type="dxa" w:w="4694"/>
            <w:tcMar>
              <w:top w:w="100" w:type="dxa"/>
              <w:start w:w="130" w:type="dxa"/>
              <w:bottom w:w="100" w:type="dxa"/>
              <w:end w:w="130" w:type="dxa"/>
            </w:tcMar>
            <w:shd w:fill="EAFBF8"/>
            <w:tcBorders>
              <w:top w:val="single" w:sz="6" w:space="0" w:color="DDE1EA"/>
              <w:left w:val="single" w:sz="6" w:space="0" w:color="DDE1EA"/>
              <w:bottom w:val="single" w:sz="6" w:space="0" w:color="DDE1EA"/>
              <w:right w:val="single" w:sz="6" w:space="0" w:color="DDE1EA"/>
            </w:tcBorders>
            <w:vAlign w:val="top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i w:val="0"/>
                <w:color w:val="7057E8"/>
                <w:sz w:val="17"/>
              </w:rPr>
              <w:t>02 · INVESTIGATE</w:t>
            </w:r>
          </w:p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i w:val="0"/>
                <w:color w:val="0B1020"/>
                <w:sz w:val="24"/>
              </w:rPr>
              <w:t>Agent 调查并留下轨迹</w:t>
            </w:r>
          </w:p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8"/>
              </w:rPr>
              <w:t>显示检索、符号定位、关系追踪和证据读取；不展示或伪造模型私有思维链。</w:t>
            </w:r>
          </w:p>
        </w:tc>
        <w:tc>
          <w:tcPr>
            <w:tcW w:type="dxa" w:w="4694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6" w:space="0" w:color="DDE1EA"/>
              <w:left w:val="single" w:sz="6" w:space="0" w:color="DDE1EA"/>
              <w:bottom w:val="single" w:sz="6" w:space="0" w:color="DDE1EA"/>
              <w:right w:val="single" w:sz="6" w:space="0" w:color="DDE1EA"/>
            </w:tcBorders>
            <w:vAlign w:val="top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i w:val="0"/>
                <w:color w:val="7057E8"/>
                <w:sz w:val="17"/>
              </w:rPr>
              <w:t>03 · ANSWER</w:t>
            </w:r>
          </w:p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i w:val="0"/>
                <w:color w:val="0B1020"/>
                <w:sz w:val="24"/>
              </w:rPr>
              <w:t>结论必须带源码依据</w:t>
            </w:r>
          </w:p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8"/>
              </w:rPr>
              <w:t>业务结论、计算路径、适用条件、文件行号与无法确认项同时出现。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i w:val="0"/>
          <w:color w:val="4935A8"/>
          <w:sz w:val="26"/>
        </w:rPr>
        <w:t>体验原则</w:t>
      </w:r>
    </w:p>
    <w:tbl>
      <w:tblPr>
        <w:tblW w:type="dxa" w:w="1408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42"/>
        <w:gridCol w:w="7042"/>
      </w:tblGrid>
      <w:tr>
        <w:tc>
          <w:tcPr>
            <w:tcW w:type="dxa" w:w="7042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6" w:space="0" w:color="DDE1EA"/>
              <w:left w:val="single" w:sz="6" w:space="0" w:color="DDE1EA"/>
              <w:bottom w:val="single" w:sz="6" w:space="0" w:color="DDE1EA"/>
              <w:right w:val="single" w:sz="6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0B1020"/>
                <w:sz w:val="22"/>
              </w:rPr>
              <w:t>领导一眼能判断的内容</w:t>
            </w:r>
          </w:p>
          <w:p>
            <w:pPr>
              <w:pStyle w:val="ListBullet"/>
              <w:spacing w:after="60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9"/>
              </w:rPr>
              <w:t>它能回答哪类业务问题，而不是能聊天多少轮。</w:t>
            </w:r>
          </w:p>
          <w:p>
            <w:pPr>
              <w:pStyle w:val="ListBullet"/>
              <w:spacing w:after="60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9"/>
              </w:rPr>
              <w:t>每个事实是否能回到源码快照、程序和行号。</w:t>
            </w:r>
          </w:p>
          <w:p>
            <w:pPr>
              <w:pStyle w:val="ListBullet"/>
              <w:spacing w:after="60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9"/>
              </w:rPr>
              <w:t>缺少 DDL/DDS、Job、DB File 或控制表时是否会诚实缩小结论。</w:t>
            </w:r>
          </w:p>
          <w:p>
            <w:pPr>
              <w:pStyle w:val="ListBullet"/>
              <w:spacing w:after="60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9"/>
              </w:rPr>
              <w:t>公司 API 接收什么，真实源码在哪一侧处理。</w:t>
            </w:r>
          </w:p>
        </w:tc>
        <w:tc>
          <w:tcPr>
            <w:tcW w:type="dxa" w:w="7042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6" w:space="0" w:color="DDE1EA"/>
              <w:left w:val="single" w:sz="6" w:space="0" w:color="DDE1EA"/>
              <w:bottom w:val="single" w:sz="6" w:space="0" w:color="DDE1EA"/>
              <w:right w:val="single" w:sz="6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0B1020"/>
                <w:sz w:val="22"/>
              </w:rPr>
              <w:t>React Bits 风格的使用边界</w:t>
            </w:r>
          </w:p>
          <w:p>
            <w:pPr>
              <w:pStyle w:val="ListBullet"/>
              <w:spacing w:after="60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9"/>
              </w:rPr>
              <w:t>保留深色空间、柔和光晕、玻璃层次、步骤状态和电光边框。</w:t>
            </w:r>
          </w:p>
          <w:p>
            <w:pPr>
              <w:pStyle w:val="ListBullet"/>
              <w:spacing w:after="60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9"/>
              </w:rPr>
              <w:t>动画只用于“正在调查”“新证据到达”“状态完成”等真实反馈。</w:t>
            </w:r>
          </w:p>
          <w:p>
            <w:pPr>
              <w:pStyle w:val="ListBullet"/>
              <w:spacing w:after="60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9"/>
              </w:rPr>
              <w:t>不使用大面积 3D、跟随光标特效或高频粒子干扰长时间业务阅读。</w:t>
            </w:r>
          </w:p>
          <w:p>
            <w:pPr>
              <w:pStyle w:val="ListBullet"/>
              <w:spacing w:after="60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9"/>
              </w:rPr>
              <w:t>原型采用原创 HTML/CSS；未复制 React Bits Pro 付费 App UI。</w:t>
            </w:r>
          </w:p>
        </w:tc>
      </w:tr>
    </w:tbl>
    <w:tbl>
      <w:tblPr>
        <w:tblW w:type="dxa" w:w="1408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83"/>
      </w:tblGrid>
      <w:tr>
        <w:tc>
          <w:tcPr>
            <w:tcW w:type="dxa" w:w="14083"/>
            <w:tcMar>
              <w:top w:w="100" w:type="dxa"/>
              <w:start w:w="130" w:type="dxa"/>
              <w:bottom w:w="100" w:type="dxa"/>
              <w:end w:w="130" w:type="dxa"/>
            </w:tcMar>
            <w:shd w:fill="FFF7E7"/>
            <w:tcBorders>
              <w:left w:val="single" w:sz="8" w:space="0" w:color="A46B08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46B08"/>
                <w:sz w:val="20"/>
              </w:rPr>
              <w:t xml:space="preserve">治理定义  </w:t>
            </w:r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21"/>
              </w:rPr>
              <w:t>“调查轨迹”是工具调用、证据对象和状态变化的审计日志，不等同于模型内部推理文本。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Arial Unicode MS" w:hAnsi="Arial Unicode MS" w:eastAsia="Arial Unicode MS"/>
          <w:b/>
          <w:i w:val="0"/>
          <w:color w:val="16AFA0"/>
          <w:sz w:val="18"/>
        </w:rPr>
        <w:t>02 / EXPERIENCE WALKTHROUGH</w:t>
      </w:r>
    </w:p>
    <w:p>
      <w:pPr>
        <w:pStyle w:val="Heading1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0B1020"/>
          <w:sz w:val="40"/>
        </w:rPr>
        <w:t>步骤一：业务人员自然语言提问</w:t>
      </w:r>
    </w:p>
    <w:p>
      <w:pPr>
        <w:keepNext w:val="0"/>
        <w:spacing w:before="0" w:after="100" w:line="264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626A7D"/>
          <w:sz w:val="21"/>
        </w:rPr>
        <w:t>把复杂度藏在系统里：用户只需说明业务问题，同时清楚看到当前代码快照、覆盖范围和隐私边界。</w:t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7863840" cy="4914900"/>
            <wp:docPr id="2" name="Picture 2" descr="步骤一：业务人员自然语言提问" title="步骤一：业务人员自然语言提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question-in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91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Arial Unicode MS" w:hAnsi="Arial Unicode MS" w:eastAsia="Arial Unicode MS"/>
          <w:b w:val="0"/>
          <w:i/>
          <w:color w:val="7B8293"/>
          <w:sz w:val="17"/>
        </w:rPr>
        <w:t>图 1 · 提问界面。示例数据与程序规模均为演示值，不代表公司真实系统。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Arial Unicode MS" w:hAnsi="Arial Unicode MS" w:eastAsia="Arial Unicode MS"/>
          <w:b/>
          <w:i w:val="0"/>
          <w:color w:val="16AFA0"/>
          <w:sz w:val="18"/>
        </w:rPr>
        <w:t>03 / EXPERIENCE WALKTHROUGH</w:t>
      </w:r>
    </w:p>
    <w:p>
      <w:pPr>
        <w:pStyle w:val="Heading1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0B1020"/>
          <w:sz w:val="40"/>
        </w:rPr>
        <w:t>步骤二：Agent 调查过程可审计</w:t>
      </w:r>
    </w:p>
    <w:p>
      <w:pPr>
        <w:keepNext w:val="0"/>
        <w:spacing w:before="0" w:after="100" w:line="264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626A7D"/>
          <w:sz w:val="21"/>
        </w:rPr>
        <w:t>用户看到的是检索、符号定位、关系追踪和证据读取状态；这既增强可信度，也便于定位失败发生在哪一层。</w:t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7863840" cy="4914900"/>
            <wp:docPr id="3" name="Picture 3" descr="步骤二：Agent 调查过程可审计" title="步骤二：Agent 调查过程可审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gent-investig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91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Arial Unicode MS" w:hAnsi="Arial Unicode MS" w:eastAsia="Arial Unicode MS"/>
          <w:b w:val="0"/>
          <w:i/>
          <w:color w:val="7B8293"/>
          <w:sz w:val="17"/>
        </w:rPr>
        <w:t>图 2 · 调查界面。工具轨迹是可审计事件，不是模型内部思维链。</w:t>
      </w:r>
    </w:p>
    <w:p>
      <w:r>
        <w:br w:type="page"/>
      </w:r>
    </w:p>
    <w:p>
      <w:pPr>
        <w:keepNext/>
        <w:spacing w:before="0" w:after="60" w:line="240" w:lineRule="auto"/>
        <w:jc w:val="left"/>
      </w:pPr>
      <w:r>
        <w:rPr>
          <w:rFonts w:ascii="Arial Unicode MS" w:hAnsi="Arial Unicode MS" w:eastAsia="Arial Unicode MS"/>
          <w:b/>
          <w:i w:val="0"/>
          <w:color w:val="16AFA0"/>
          <w:sz w:val="18"/>
        </w:rPr>
        <w:t>04 / EXPERIENCE WALKTHROUGH</w:t>
      </w:r>
    </w:p>
    <w:p>
      <w:pPr>
        <w:pStyle w:val="Heading1"/>
        <w:keepNext/>
        <w:spacing w:before="0" w:after="60"/>
      </w:pPr>
      <w:r>
        <w:rPr>
          <w:rFonts w:ascii="Arial Unicode MS" w:hAnsi="Arial Unicode MS" w:eastAsia="Arial Unicode MS"/>
          <w:b/>
          <w:i w:val="0"/>
          <w:color w:val="0B1020"/>
          <w:sz w:val="40"/>
        </w:rPr>
        <w:t>步骤三：用业务结论回答，并能回到源码</w:t>
      </w:r>
    </w:p>
    <w:p>
      <w:pPr>
        <w:keepNext w:val="0"/>
        <w:spacing w:before="0" w:after="100" w:line="264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626A7D"/>
          <w:sz w:val="21"/>
        </w:rPr>
        <w:t>回答不是一段流畅摘要，而是一组可核验主张：结论、计算路径、适用条件、源码依据和不可确认项必须同时完整。</w:t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7863840" cy="4914900"/>
            <wp:docPr id="4" name="Picture 4" descr="步骤三：用业务结论回答，并能回到源码" title="步骤三：用业务结论回答，并能回到源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vidence-answ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91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40" w:lineRule="auto"/>
        <w:jc w:val="center"/>
      </w:pPr>
      <w:r>
        <w:rPr>
          <w:rFonts w:ascii="Arial Unicode MS" w:hAnsi="Arial Unicode MS" w:eastAsia="Arial Unicode MS"/>
          <w:b w:val="0"/>
          <w:i/>
          <w:color w:val="7B8293"/>
          <w:sz w:val="17"/>
        </w:rPr>
        <w:t>图 3 · 证据化回答界面。公式和文件名来自公开侧合成 CALC-01 场景。</w:t>
      </w:r>
    </w:p>
    <w:p>
      <w:r>
        <w:br w:type="page"/>
      </w:r>
    </w:p>
    <w:p>
      <w:pPr>
        <w:keepNext/>
        <w:spacing w:before="0" w:after="100" w:line="240" w:lineRule="auto"/>
        <w:jc w:val="left"/>
      </w:pPr>
      <w:r>
        <w:rPr>
          <w:rFonts w:ascii="Arial Unicode MS" w:hAnsi="Arial Unicode MS" w:eastAsia="Arial Unicode MS"/>
          <w:b/>
          <w:i w:val="0"/>
          <w:color w:val="16AFA0"/>
          <w:sz w:val="18"/>
        </w:rPr>
        <w:t>05 / ARCHITECTURE &amp; TRUST</w:t>
      </w:r>
    </w:p>
    <w:p>
      <w:pPr>
        <w:pStyle w:val="Heading1"/>
        <w:keepNext/>
        <w:spacing w:before="0" w:after="160"/>
      </w:pPr>
      <w:r>
        <w:rPr>
          <w:rFonts w:ascii="Arial Unicode MS" w:hAnsi="Arial Unicode MS" w:eastAsia="Arial Unicode MS"/>
          <w:b/>
          <w:i w:val="0"/>
          <w:color w:val="0B1020"/>
          <w:sz w:val="40"/>
        </w:rPr>
        <w:t>界面背后的最小可信架构</w:t>
      </w:r>
    </w:p>
    <w:tbl>
      <w:tblPr>
        <w:tblW w:type="dxa" w:w="1408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83"/>
      </w:tblGrid>
      <w:tr>
        <w:tc>
          <w:tcPr>
            <w:tcW w:type="dxa" w:w="14083"/>
            <w:tcMar>
              <w:top w:w="100" w:type="dxa"/>
              <w:start w:w="130" w:type="dxa"/>
              <w:bottom w:w="100" w:type="dxa"/>
              <w:end w:w="130" w:type="dxa"/>
            </w:tcMar>
            <w:shd w:fill="EAFBF8"/>
            <w:tcBorders>
              <w:left w:val="single" w:sz="8" w:space="0" w:color="16AFA0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16AFA0"/>
                <w:sz w:val="20"/>
              </w:rPr>
              <w:t xml:space="preserve">架构判断  </w:t>
            </w:r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21"/>
              </w:rPr>
              <w:t>POC 不需要复杂分布式平台。一个 Python 进程、SQLite 本地索引、四个只读调查工具和公司 OpenAI-compatible API，足以验证第一条业务闭环。</w:t>
            </w:r>
          </w:p>
        </w:tc>
      </w:tr>
    </w:tbl>
    <w:p>
      <w:pPr>
        <w:spacing w:after="140" w:before="0"/>
      </w:pPr>
    </w:p>
    <w:p>
      <w:pPr>
        <w:pStyle w:val="Heading2"/>
        <w:keepNext/>
        <w:spacing w:before="0" w:after="100"/>
      </w:pPr>
      <w:r>
        <w:rPr>
          <w:rFonts w:ascii="Arial Unicode MS" w:hAnsi="Arial Unicode MS" w:eastAsia="Arial Unicode MS"/>
          <w:b/>
          <w:i w:val="0"/>
          <w:color w:val="4935A8"/>
          <w:sz w:val="26"/>
        </w:rPr>
        <w:t>运行链路</w:t>
      </w:r>
    </w:p>
    <w:tbl>
      <w:tblPr>
        <w:tblW w:type="dxa" w:w="1408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8"/>
        <w:gridCol w:w="2808"/>
        <w:gridCol w:w="2808"/>
        <w:gridCol w:w="2808"/>
        <w:gridCol w:w="2851"/>
      </w:tblGrid>
      <w:tr>
        <w:tc>
          <w:tcPr>
            <w:tcW w:type="dxa" w:w="2808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6" w:space="0" w:color="DDE1EA"/>
              <w:left w:val="single" w:sz="6" w:space="0" w:color="DDE1EA"/>
              <w:bottom w:val="single" w:sz="6" w:space="0" w:color="DDE1EA"/>
              <w:right w:val="single" w:sz="6" w:space="0" w:color="DDE1EA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AFA0"/>
                <w:sz w:val="17"/>
              </w:rPr>
              <w:t>01</w:t>
            </w:r>
          </w:p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1020"/>
                <w:sz w:val="20"/>
              </w:rPr>
              <w:t>Windows 源码快照</w:t>
            </w:r>
          </w:p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7"/>
              </w:rPr>
              <w:t>COBOL / COPYBOOK</w:t>
              <w:br/>
              <w:t>只读输入</w:t>
            </w:r>
          </w:p>
        </w:tc>
        <w:tc>
          <w:tcPr>
            <w:tcW w:type="dxa" w:w="2808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6" w:space="0" w:color="DDE1EA"/>
              <w:left w:val="single" w:sz="6" w:space="0" w:color="DDE1EA"/>
              <w:bottom w:val="single" w:sz="6" w:space="0" w:color="DDE1EA"/>
              <w:right w:val="single" w:sz="6" w:space="0" w:color="DDE1EA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AFA0"/>
                <w:sz w:val="17"/>
              </w:rPr>
              <w:t>02</w:t>
            </w:r>
          </w:p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1020"/>
                <w:sz w:val="20"/>
              </w:rPr>
              <w:t>本地解析与索引</w:t>
            </w:r>
          </w:p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7"/>
              </w:rPr>
              <w:t>结构、符号、FTS5</w:t>
              <w:br/>
              <w:t>关系与行号</w:t>
            </w:r>
          </w:p>
        </w:tc>
        <w:tc>
          <w:tcPr>
            <w:tcW w:type="dxa" w:w="2808"/>
            <w:tcMar>
              <w:top w:w="100" w:type="dxa"/>
              <w:start w:w="130" w:type="dxa"/>
              <w:bottom w:w="100" w:type="dxa"/>
              <w:end w:w="130" w:type="dxa"/>
            </w:tcMar>
            <w:shd w:fill="F2EFFF"/>
            <w:tcBorders>
              <w:top w:val="single" w:sz="6" w:space="0" w:color="DDE1EA"/>
              <w:left w:val="single" w:sz="6" w:space="0" w:color="DDE1EA"/>
              <w:bottom w:val="single" w:sz="6" w:space="0" w:color="DDE1EA"/>
              <w:right w:val="single" w:sz="6" w:space="0" w:color="DDE1EA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AFA0"/>
                <w:sz w:val="17"/>
              </w:rPr>
              <w:t>03</w:t>
            </w:r>
          </w:p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1020"/>
                <w:sz w:val="20"/>
              </w:rPr>
              <w:t>受控 Agent 工具</w:t>
            </w:r>
          </w:p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7"/>
              </w:rPr>
              <w:t>search / inspect</w:t>
              <w:br/>
              <w:t>trace / evidence</w:t>
            </w:r>
          </w:p>
        </w:tc>
        <w:tc>
          <w:tcPr>
            <w:tcW w:type="dxa" w:w="2808"/>
            <w:tcMar>
              <w:top w:w="100" w:type="dxa"/>
              <w:start w:w="130" w:type="dxa"/>
              <w:bottom w:w="100" w:type="dxa"/>
              <w:end w:w="130" w:type="dxa"/>
            </w:tcMar>
            <w:shd w:fill="F2EFFF"/>
            <w:tcBorders>
              <w:top w:val="single" w:sz="6" w:space="0" w:color="DDE1EA"/>
              <w:left w:val="single" w:sz="6" w:space="0" w:color="DDE1EA"/>
              <w:bottom w:val="single" w:sz="6" w:space="0" w:color="DDE1EA"/>
              <w:right w:val="single" w:sz="6" w:space="0" w:color="DDE1EA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AFA0"/>
                <w:sz w:val="17"/>
              </w:rPr>
              <w:t>04</w:t>
            </w:r>
          </w:p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1020"/>
                <w:sz w:val="20"/>
              </w:rPr>
              <w:t>公司模型 API</w:t>
            </w:r>
          </w:p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7"/>
              </w:rPr>
              <w:t>问题 + 最小证据包</w:t>
              <w:br/>
              <w:t>不发送全库</w:t>
            </w:r>
          </w:p>
        </w:tc>
        <w:tc>
          <w:tcPr>
            <w:tcW w:type="dxa" w:w="2851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6" w:space="0" w:color="DDE1EA"/>
              <w:left w:val="single" w:sz="6" w:space="0" w:color="DDE1EA"/>
              <w:bottom w:val="single" w:sz="6" w:space="0" w:color="DDE1EA"/>
              <w:right w:val="single" w:sz="6" w:space="0" w:color="DDE1EA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AFA0"/>
                <w:sz w:val="17"/>
              </w:rPr>
              <w:t>05</w:t>
            </w:r>
          </w:p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1020"/>
                <w:sz w:val="20"/>
              </w:rPr>
              <w:t>证据化业务回答</w:t>
            </w:r>
          </w:p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7"/>
              </w:rPr>
              <w:t>结论、路径、源码</w:t>
              <w:br/>
              <w:t>未知边界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i w:val="0"/>
          <w:color w:val="4935A8"/>
          <w:sz w:val="26"/>
        </w:rPr>
        <w:t>事实权威顺序</w:t>
      </w:r>
    </w:p>
    <w:tbl>
      <w:tblPr>
        <w:tblW w:type="dxa" w:w="1408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552"/>
        <w:gridCol w:w="4651"/>
      </w:tblGrid>
      <w:tr>
        <w:tc>
          <w:tcPr>
            <w:tcW w:type="dxa" w:w="2880"/>
            <w:tcMar>
              <w:top w:w="100" w:type="dxa"/>
              <w:start w:w="130" w:type="dxa"/>
              <w:bottom w:w="100" w:type="dxa"/>
              <w:end w:w="130" w:type="dxa"/>
            </w:tcMar>
            <w:shd w:fill="0B1020"/>
            <w:tcBorders>
              <w:top w:val="single" w:sz="6" w:space="0" w:color="0B1020"/>
              <w:left w:val="single" w:sz="6" w:space="0" w:color="0B1020"/>
              <w:bottom w:val="single" w:sz="6" w:space="0" w:color="0B1020"/>
              <w:right w:val="single" w:sz="6" w:space="0" w:color="0B1020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6552"/>
            <w:tcMar>
              <w:top w:w="100" w:type="dxa"/>
              <w:start w:w="130" w:type="dxa"/>
              <w:bottom w:w="100" w:type="dxa"/>
              <w:end w:w="130" w:type="dxa"/>
            </w:tcMar>
            <w:shd w:fill="0B1020"/>
            <w:tcBorders>
              <w:top w:val="single" w:sz="6" w:space="0" w:color="0B1020"/>
              <w:left w:val="single" w:sz="6" w:space="0" w:color="0B1020"/>
              <w:bottom w:val="single" w:sz="6" w:space="0" w:color="0B1020"/>
              <w:right w:val="single" w:sz="6" w:space="0" w:color="0B1020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职责</w:t>
            </w:r>
          </w:p>
        </w:tc>
        <w:tc>
          <w:tcPr>
            <w:tcW w:type="dxa" w:w="4651"/>
            <w:tcMar>
              <w:top w:w="100" w:type="dxa"/>
              <w:start w:w="130" w:type="dxa"/>
              <w:bottom w:w="100" w:type="dxa"/>
              <w:end w:w="130" w:type="dxa"/>
            </w:tcMar>
            <w:shd w:fill="0B1020"/>
            <w:tcBorders>
              <w:top w:val="single" w:sz="6" w:space="0" w:color="0B1020"/>
              <w:left w:val="single" w:sz="6" w:space="0" w:color="0B1020"/>
              <w:bottom w:val="single" w:sz="6" w:space="0" w:color="0B1020"/>
              <w:right w:val="single" w:sz="6" w:space="0" w:color="0B1020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是否能单独证明业务事实</w:t>
            </w:r>
          </w:p>
        </w:tc>
      </w:tr>
      <w:tr>
        <w:tc>
          <w:tcPr>
            <w:tcW w:type="dxa" w:w="2880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A2130"/>
                <w:sz w:val="18"/>
              </w:rPr>
              <w:t>源码 + EvidenceSpan</w:t>
            </w:r>
          </w:p>
        </w:tc>
        <w:tc>
          <w:tcPr>
            <w:tcW w:type="dxa" w:w="6552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8"/>
              </w:rPr>
              <w:t>权威事实；绑定快照 Hash、相对路径和行号。</w:t>
            </w:r>
          </w:p>
        </w:tc>
        <w:tc>
          <w:tcPr>
            <w:tcW w:type="dxa" w:w="4651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68765"/>
                <w:sz w:val="18"/>
              </w:rPr>
              <w:t>可以</w:t>
            </w:r>
          </w:p>
        </w:tc>
      </w:tr>
      <w:tr>
        <w:tc>
          <w:tcPr>
            <w:tcW w:type="dxa" w:w="2880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A2130"/>
                <w:sz w:val="18"/>
              </w:rPr>
              <w:t>IR / Relation / Retrieval</w:t>
            </w:r>
          </w:p>
        </w:tc>
        <w:tc>
          <w:tcPr>
            <w:tcW w:type="dxa" w:w="6552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8"/>
              </w:rPr>
              <w:t>可重建投影与导航工具；关系带 confirmed / unresolved 状态。</w:t>
            </w:r>
          </w:p>
        </w:tc>
        <w:tc>
          <w:tcPr>
            <w:tcW w:type="dxa" w:w="4651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A46B08"/>
                <w:sz w:val="18"/>
              </w:rPr>
              <w:t>只有已验证关系可以</w:t>
            </w:r>
          </w:p>
        </w:tc>
      </w:tr>
      <w:tr>
        <w:tc>
          <w:tcPr>
            <w:tcW w:type="dxa" w:w="2880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A2130"/>
                <w:sz w:val="18"/>
              </w:rPr>
              <w:t>LLM 业务解释</w:t>
            </w:r>
          </w:p>
        </w:tc>
        <w:tc>
          <w:tcPr>
            <w:tcW w:type="dxa" w:w="6552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8"/>
              </w:rPr>
              <w:t>理解问题、规划调查和翻译业务含义；每条事实必须绑定证据。</w:t>
            </w:r>
          </w:p>
        </w:tc>
        <w:tc>
          <w:tcPr>
            <w:tcW w:type="dxa" w:w="4651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A46B08"/>
                <w:sz w:val="18"/>
              </w:rPr>
              <w:t>不可以</w:t>
            </w:r>
          </w:p>
        </w:tc>
      </w:tr>
    </w:tbl>
    <w:p>
      <w:pPr>
        <w:pStyle w:val="Heading2"/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4935A8"/>
          <w:sz w:val="26"/>
        </w:rPr>
        <w:t>当前资料边界</w:t>
      </w:r>
    </w:p>
    <w:p>
      <w:pPr>
        <w:pStyle w:val="ListBullet"/>
        <w:spacing w:before="0" w:after="6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1A2130"/>
          <w:sz w:val="21"/>
        </w:rPr>
        <w:t>已具备：本地 COBOL 与 COPYBOOK 快照，可建立 L0/L1 全库索引。</w:t>
      </w:r>
    </w:p>
    <w:p>
      <w:pPr>
        <w:pStyle w:val="ListBullet"/>
        <w:spacing w:before="0" w:after="6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1A2130"/>
          <w:sz w:val="21"/>
        </w:rPr>
        <w:t>缺少：DDL/DDS、Job Schedule、DB File 定义与数据、Item/Control Table 实际值、运行参数和日志。</w:t>
      </w:r>
    </w:p>
    <w:p>
      <w:pPr>
        <w:pStyle w:val="ListBullet"/>
        <w:spacing w:before="0" w:after="6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1A2130"/>
          <w:sz w:val="21"/>
        </w:rPr>
        <w:t>因此 POC 可以证明代码写了什么、调用了什么；不能证明生产配置值、调度时点或商业原因。</w:t>
      </w:r>
    </w:p>
    <w:p>
      <w:r>
        <w:br w:type="page"/>
      </w:r>
    </w:p>
    <w:p>
      <w:pPr>
        <w:keepNext/>
        <w:spacing w:before="0" w:after="100" w:line="240" w:lineRule="auto"/>
        <w:jc w:val="left"/>
      </w:pPr>
      <w:r>
        <w:rPr>
          <w:rFonts w:ascii="Arial Unicode MS" w:hAnsi="Arial Unicode MS" w:eastAsia="Arial Unicode MS"/>
          <w:b/>
          <w:i w:val="0"/>
          <w:color w:val="16AFA0"/>
          <w:sz w:val="18"/>
        </w:rPr>
        <w:t>06 / DELIVERY PLAN</w:t>
      </w:r>
    </w:p>
    <w:p>
      <w:pPr>
        <w:pStyle w:val="Heading1"/>
        <w:keepNext/>
        <w:spacing w:before="0" w:after="160"/>
      </w:pPr>
      <w:r>
        <w:rPr>
          <w:rFonts w:ascii="Arial Unicode MS" w:hAnsi="Arial Unicode MS" w:eastAsia="Arial Unicode MS"/>
          <w:b/>
          <w:i w:val="0"/>
          <w:color w:val="0B1020"/>
          <w:sz w:val="40"/>
        </w:rPr>
        <w:t>15 个工作日内只完成一条真实、可复核的纵向闭环</w:t>
      </w:r>
    </w:p>
    <w:p>
      <w:pPr>
        <w:keepNext w:val="0"/>
        <w:spacing w:before="0" w:after="160" w:line="264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626A7D"/>
          <w:sz w:val="21"/>
        </w:rPr>
        <w:t>计划以一名主力工程师和一名兼职业务复核者为基准。先用合成 CALC-01 贯通，再在公司批准环境中接入真实 Windows 源码文件夹。</w:t>
      </w:r>
    </w:p>
    <w:tbl>
      <w:tblPr>
        <w:tblW w:type="dxa" w:w="1408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2376"/>
        <w:gridCol w:w="6523"/>
        <w:gridCol w:w="3744"/>
      </w:tblGrid>
      <w:tr>
        <w:tc>
          <w:tcPr>
            <w:tcW w:type="dxa" w:w="1440"/>
            <w:tcMar>
              <w:top w:w="100" w:type="dxa"/>
              <w:start w:w="130" w:type="dxa"/>
              <w:bottom w:w="100" w:type="dxa"/>
              <w:end w:w="130" w:type="dxa"/>
            </w:tcMar>
            <w:shd w:fill="0B1020"/>
            <w:tcBorders>
              <w:top w:val="single" w:sz="6" w:space="0" w:color="0B1020"/>
              <w:left w:val="single" w:sz="6" w:space="0" w:color="0B1020"/>
              <w:bottom w:val="single" w:sz="6" w:space="0" w:color="0B1020"/>
              <w:right w:val="single" w:sz="6" w:space="0" w:color="0B1020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里程碑</w:t>
            </w:r>
          </w:p>
        </w:tc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  <w:shd w:fill="0B1020"/>
            <w:tcBorders>
              <w:top w:val="single" w:sz="6" w:space="0" w:color="0B1020"/>
              <w:left w:val="single" w:sz="6" w:space="0" w:color="0B1020"/>
              <w:bottom w:val="single" w:sz="6" w:space="0" w:color="0B1020"/>
              <w:right w:val="single" w:sz="6" w:space="0" w:color="0B1020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目标时间</w:t>
            </w:r>
          </w:p>
        </w:tc>
        <w:tc>
          <w:tcPr>
            <w:tcW w:type="dxa" w:w="6523"/>
            <w:tcMar>
              <w:top w:w="100" w:type="dxa"/>
              <w:start w:w="130" w:type="dxa"/>
              <w:bottom w:w="100" w:type="dxa"/>
              <w:end w:w="130" w:type="dxa"/>
            </w:tcMar>
            <w:shd w:fill="0B1020"/>
            <w:tcBorders>
              <w:top w:val="single" w:sz="6" w:space="0" w:color="0B1020"/>
              <w:left w:val="single" w:sz="6" w:space="0" w:color="0B1020"/>
              <w:bottom w:val="single" w:sz="6" w:space="0" w:color="0B1020"/>
              <w:right w:val="single" w:sz="6" w:space="0" w:color="0B1020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可见结果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shd w:fill="0B1020"/>
            <w:tcBorders>
              <w:top w:val="single" w:sz="6" w:space="0" w:color="0B1020"/>
              <w:left w:val="single" w:sz="6" w:space="0" w:color="0B1020"/>
              <w:bottom w:val="single" w:sz="6" w:space="0" w:color="0B1020"/>
              <w:right w:val="single" w:sz="6" w:space="0" w:color="0B1020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退出条件</w:t>
            </w:r>
          </w:p>
        </w:tc>
      </w:tr>
      <w:tr>
        <w:tc>
          <w:tcPr>
            <w:tcW w:type="dxa" w:w="1440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A2130"/>
                <w:sz w:val="17"/>
              </w:rPr>
              <w:t>P0</w:t>
            </w:r>
          </w:p>
        </w:tc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第 1–2 天</w:t>
            </w:r>
          </w:p>
        </w:tc>
        <w:tc>
          <w:tcPr>
            <w:tcW w:type="dxa" w:w="6523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验证公司 Chat / Tool Calling / JSON / 可选 Embedding；运行全库画像。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能力探测结果与聚合统计可复核</w:t>
            </w:r>
          </w:p>
        </w:tc>
      </w:tr>
      <w:tr>
        <w:tc>
          <w:tcPr>
            <w:tcW w:type="dxa" w:w="1440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A2130"/>
                <w:sz w:val="17"/>
              </w:rPr>
              <w:t>P1</w:t>
            </w:r>
          </w:p>
        </w:tc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第 4 天</w:t>
            </w:r>
          </w:p>
        </w:tc>
        <w:tc>
          <w:tcPr>
            <w:tcW w:type="dxa" w:w="6523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全库 L1 粗索引：Program、Paragraph、Field、COPY/CALL/PERFORM、FTS5。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支持 Hash 复用与源码行号</w:t>
            </w:r>
          </w:p>
        </w:tc>
      </w:tr>
      <w:tr>
        <w:tc>
          <w:tcPr>
            <w:tcW w:type="dxa" w:w="1440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A2130"/>
                <w:sz w:val="17"/>
              </w:rPr>
              <w:t>P2</w:t>
            </w:r>
          </w:p>
        </w:tc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第 8 天</w:t>
            </w:r>
          </w:p>
        </w:tc>
        <w:tc>
          <w:tcPr>
            <w:tcW w:type="dxa" w:w="6523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一个保费计算流程的字段、条件、调用和最多三跳关系调查。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四个工具能恢复必要逻辑闭包</w:t>
            </w:r>
          </w:p>
        </w:tc>
      </w:tr>
      <w:tr>
        <w:tc>
          <w:tcPr>
            <w:tcW w:type="dxa" w:w="1440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A2130"/>
                <w:sz w:val="17"/>
              </w:rPr>
              <w:t>P3</w:t>
            </w:r>
          </w:p>
        </w:tc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第 11 天</w:t>
            </w:r>
          </w:p>
        </w:tc>
        <w:tc>
          <w:tcPr>
            <w:tcW w:type="dxa" w:w="6523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公司 API + 最多六步 Agent + 证据回答 + 资料覆盖边界。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事实主张全部绑定 EvidenceSpan</w:t>
            </w:r>
          </w:p>
        </w:tc>
      </w:tr>
      <w:tr>
        <w:tc>
          <w:tcPr>
            <w:tcW w:type="dxa" w:w="1440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A2130"/>
                <w:sz w:val="17"/>
              </w:rPr>
              <w:t>P4</w:t>
            </w:r>
          </w:p>
        </w:tc>
        <w:tc>
          <w:tcPr>
            <w:tcW w:type="dxa" w:w="2376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第 15 天</w:t>
            </w:r>
          </w:p>
        </w:tc>
        <w:tc>
          <w:tcPr>
            <w:tcW w:type="dxa" w:w="6523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六问彩排、一个未预写问题、一个拒答问题、Windows 启动说明。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领导可现场提问并打开源码证据</w:t>
            </w:r>
          </w:p>
        </w:tc>
      </w:tr>
    </w:tbl>
    <w:p>
      <w:pPr>
        <w:pStyle w:val="Heading2"/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4935A8"/>
          <w:sz w:val="26"/>
        </w:rPr>
        <w:t>领导演示通过标准</w:t>
      </w:r>
    </w:p>
    <w:tbl>
      <w:tblPr>
        <w:tblW w:type="dxa" w:w="1408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94"/>
        <w:gridCol w:w="4694"/>
        <w:gridCol w:w="4694"/>
      </w:tblGrid>
      <w:tr>
        <w:tc>
          <w:tcPr>
            <w:tcW w:type="dxa" w:w="4694"/>
            <w:tcMar>
              <w:top w:w="100" w:type="dxa"/>
              <w:start w:w="130" w:type="dxa"/>
              <w:bottom w:w="100" w:type="dxa"/>
              <w:end w:w="130" w:type="dxa"/>
            </w:tcMar>
            <w:shd w:fill="EAFBF8"/>
            <w:tcBorders>
              <w:top w:val="single" w:sz="6" w:space="0" w:color="DDE1EA"/>
              <w:left w:val="single" w:sz="6" w:space="0" w:color="DDE1EA"/>
              <w:bottom w:val="single" w:sz="6" w:space="0" w:color="DDE1EA"/>
              <w:right w:val="single" w:sz="6" w:space="0" w:color="DDE1EA"/>
            </w:tcBorders>
            <w:vAlign w:val="top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i w:val="0"/>
                <w:color w:val="7057E8"/>
                <w:sz w:val="17"/>
              </w:rPr>
              <w:t>REAL</w:t>
            </w:r>
          </w:p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i w:val="0"/>
                <w:color w:val="0B1020"/>
                <w:sz w:val="24"/>
              </w:rPr>
              <w:t>不是预写答案</w:t>
            </w:r>
          </w:p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8"/>
              </w:rPr>
              <w:t>删除缓存答案后仍能调查；源码变化并重新索引后，答案与引用跟随变化。</w:t>
            </w:r>
          </w:p>
        </w:tc>
        <w:tc>
          <w:tcPr>
            <w:tcW w:type="dxa" w:w="4694"/>
            <w:tcMar>
              <w:top w:w="100" w:type="dxa"/>
              <w:start w:w="130" w:type="dxa"/>
              <w:bottom w:w="100" w:type="dxa"/>
              <w:end w:w="130" w:type="dxa"/>
            </w:tcMar>
            <w:shd w:fill="F2EFFF"/>
            <w:tcBorders>
              <w:top w:val="single" w:sz="6" w:space="0" w:color="DDE1EA"/>
              <w:left w:val="single" w:sz="6" w:space="0" w:color="DDE1EA"/>
              <w:bottom w:val="single" w:sz="6" w:space="0" w:color="DDE1EA"/>
              <w:right w:val="single" w:sz="6" w:space="0" w:color="DDE1EA"/>
            </w:tcBorders>
            <w:vAlign w:val="top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i w:val="0"/>
                <w:color w:val="7057E8"/>
                <w:sz w:val="17"/>
              </w:rPr>
              <w:t>TRACEABLE</w:t>
            </w:r>
          </w:p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i w:val="0"/>
                <w:color w:val="0B1020"/>
                <w:sz w:val="24"/>
              </w:rPr>
              <w:t>每条事实可打开</w:t>
            </w:r>
          </w:p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8"/>
              </w:rPr>
              <w:t>程序、字段、Paragraph、关系和行号真实存在；不出现虚构实体。</w:t>
            </w:r>
          </w:p>
        </w:tc>
        <w:tc>
          <w:tcPr>
            <w:tcW w:type="dxa" w:w="4694"/>
            <w:tcMar>
              <w:top w:w="100" w:type="dxa"/>
              <w:start w:w="130" w:type="dxa"/>
              <w:bottom w:w="100" w:type="dxa"/>
              <w:end w:w="130" w:type="dxa"/>
            </w:tcMar>
            <w:shd w:fill="FFF7E7"/>
            <w:tcBorders>
              <w:top w:val="single" w:sz="6" w:space="0" w:color="DDE1EA"/>
              <w:left w:val="single" w:sz="6" w:space="0" w:color="DDE1EA"/>
              <w:bottom w:val="single" w:sz="6" w:space="0" w:color="DDE1EA"/>
              <w:right w:val="single" w:sz="6" w:space="0" w:color="DDE1EA"/>
            </w:tcBorders>
            <w:vAlign w:val="top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i w:val="0"/>
                <w:color w:val="7057E8"/>
                <w:sz w:val="17"/>
              </w:rPr>
              <w:t>HONEST</w:t>
            </w:r>
          </w:p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i w:val="0"/>
                <w:color w:val="0B1020"/>
                <w:sz w:val="24"/>
              </w:rPr>
              <w:t>知道什么时候不能答</w:t>
            </w:r>
          </w:p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26A7D"/>
                <w:sz w:val="18"/>
              </w:rPr>
              <w:t>缺少外部表、运行值或动态目标不唯一时，明确拒答或缩小结论。</w:t>
            </w:r>
          </w:p>
        </w:tc>
      </w:tr>
    </w:tbl>
    <w:p>
      <w:r>
        <w:br w:type="page"/>
      </w:r>
    </w:p>
    <w:p>
      <w:pPr>
        <w:keepNext/>
        <w:spacing w:before="0" w:after="100" w:line="240" w:lineRule="auto"/>
        <w:jc w:val="left"/>
      </w:pPr>
      <w:r>
        <w:rPr>
          <w:rFonts w:ascii="Arial Unicode MS" w:hAnsi="Arial Unicode MS" w:eastAsia="Arial Unicode MS"/>
          <w:b/>
          <w:i w:val="0"/>
          <w:color w:val="16AFA0"/>
          <w:sz w:val="18"/>
        </w:rPr>
        <w:t>07 / DESIGN GOVERNANCE</w:t>
      </w:r>
    </w:p>
    <w:p>
      <w:pPr>
        <w:pStyle w:val="Heading1"/>
        <w:keepNext/>
        <w:spacing w:before="0" w:after="160"/>
      </w:pPr>
      <w:r>
        <w:rPr>
          <w:rFonts w:ascii="Arial Unicode MS" w:hAnsi="Arial Unicode MS" w:eastAsia="Arial Unicode MS"/>
          <w:b/>
          <w:i w:val="0"/>
          <w:color w:val="0B1020"/>
          <w:sz w:val="40"/>
        </w:rPr>
        <w:t>UI Skill、React Bits 与私密代码环境的使用决策</w:t>
      </w:r>
    </w:p>
    <w:p>
      <w:pPr>
        <w:keepNext w:val="0"/>
        <w:spacing w:before="0" w:after="160" w:line="264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626A7D"/>
          <w:sz w:val="21"/>
        </w:rPr>
        <w:t>Skill 是协作方法，不进入生产 Agent 运行时。任何外部设计资源都必须固定版本、审阅许可证，并避免在审查私密源码时动态拉取远程指令。</w:t>
      </w:r>
    </w:p>
    <w:tbl>
      <w:tblPr>
        <w:tblW w:type="dxa" w:w="1408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1800"/>
        <w:gridCol w:w="5400"/>
        <w:gridCol w:w="3787"/>
      </w:tblGrid>
      <w:tr>
        <w:tc>
          <w:tcPr>
            <w:tcW w:type="dxa" w:w="3096"/>
            <w:tcMar>
              <w:top w:w="100" w:type="dxa"/>
              <w:start w:w="130" w:type="dxa"/>
              <w:bottom w:w="100" w:type="dxa"/>
              <w:end w:w="130" w:type="dxa"/>
            </w:tcMar>
            <w:shd w:fill="0B1020"/>
            <w:tcBorders>
              <w:top w:val="single" w:sz="6" w:space="0" w:color="0B1020"/>
              <w:left w:val="single" w:sz="6" w:space="0" w:color="0B1020"/>
              <w:bottom w:val="single" w:sz="6" w:space="0" w:color="0B1020"/>
              <w:right w:val="single" w:sz="6" w:space="0" w:color="0B1020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候选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shd w:fill="0B1020"/>
            <w:tcBorders>
              <w:top w:val="single" w:sz="6" w:space="0" w:color="0B1020"/>
              <w:left w:val="single" w:sz="6" w:space="0" w:color="0B1020"/>
              <w:bottom w:val="single" w:sz="6" w:space="0" w:color="0B1020"/>
              <w:right w:val="single" w:sz="6" w:space="0" w:color="0B1020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决策</w:t>
            </w:r>
          </w:p>
        </w:tc>
        <w:tc>
          <w:tcPr>
            <w:tcW w:type="dxa" w:w="5400"/>
            <w:tcMar>
              <w:top w:w="100" w:type="dxa"/>
              <w:start w:w="130" w:type="dxa"/>
              <w:bottom w:w="100" w:type="dxa"/>
              <w:end w:w="130" w:type="dxa"/>
            </w:tcMar>
            <w:shd w:fill="0B1020"/>
            <w:tcBorders>
              <w:top w:val="single" w:sz="6" w:space="0" w:color="0B1020"/>
              <w:left w:val="single" w:sz="6" w:space="0" w:color="0B1020"/>
              <w:bottom w:val="single" w:sz="6" w:space="0" w:color="0B1020"/>
              <w:right w:val="single" w:sz="6" w:space="0" w:color="0B1020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用途与理由</w:t>
            </w:r>
          </w:p>
        </w:tc>
        <w:tc>
          <w:tcPr>
            <w:tcW w:type="dxa" w:w="3787"/>
            <w:tcMar>
              <w:top w:w="100" w:type="dxa"/>
              <w:start w:w="130" w:type="dxa"/>
              <w:bottom w:w="100" w:type="dxa"/>
              <w:end w:w="130" w:type="dxa"/>
            </w:tcMar>
            <w:shd w:fill="0B1020"/>
            <w:tcBorders>
              <w:top w:val="single" w:sz="6" w:space="0" w:color="0B1020"/>
              <w:left w:val="single" w:sz="6" w:space="0" w:color="0B1020"/>
              <w:bottom w:val="single" w:sz="6" w:space="0" w:color="0B1020"/>
              <w:right w:val="single" w:sz="6" w:space="0" w:color="0B1020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私密环境约束</w:t>
            </w:r>
          </w:p>
        </w:tc>
      </w:tr>
      <w:tr>
        <w:tc>
          <w:tcPr>
            <w:tcW w:type="dxa" w:w="3096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A2130"/>
                <w:sz w:val="17"/>
              </w:rPr>
              <w:t>anthropics / frontend-design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68765"/>
                <w:sz w:val="17"/>
              </w:rPr>
              <w:t>推荐</w:t>
            </w:r>
          </w:p>
        </w:tc>
        <w:tc>
          <w:tcPr>
            <w:tcW w:type="dxa" w:w="5400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负责明确视觉方向、排版、色彩、动效节制和避免模板化 AI 界面。</w:t>
            </w:r>
          </w:p>
        </w:tc>
        <w:tc>
          <w:tcPr>
            <w:tcW w:type="dxa" w:w="3787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实施前项目级安装并固定 commit</w:t>
            </w:r>
          </w:p>
        </w:tc>
      </w:tr>
      <w:tr>
        <w:tc>
          <w:tcPr>
            <w:tcW w:type="dxa" w:w="3096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A2130"/>
                <w:sz w:val="17"/>
              </w:rPr>
              <w:t>vercel-react-best-practices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68765"/>
                <w:sz w:val="17"/>
              </w:rPr>
              <w:t>推荐</w:t>
            </w:r>
          </w:p>
        </w:tc>
        <w:tc>
          <w:tcPr>
            <w:tcW w:type="dxa" w:w="5400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进入 React 实现阶段后约束渲染、数据加载、Bundle 与组件性能。</w:t>
            </w:r>
          </w:p>
        </w:tc>
        <w:tc>
          <w:tcPr>
            <w:tcW w:type="dxa" w:w="3787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只作本地规则；按需加载参考</w:t>
            </w:r>
          </w:p>
        </w:tc>
      </w:tr>
      <w:tr>
        <w:tc>
          <w:tcPr>
            <w:tcW w:type="dxa" w:w="3096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A2130"/>
                <w:sz w:val="17"/>
              </w:rPr>
              <w:t>web-design-guidelines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A46B08"/>
                <w:sz w:val="17"/>
              </w:rPr>
              <w:t>暂缓</w:t>
            </w:r>
          </w:p>
        </w:tc>
        <w:tc>
          <w:tcPr>
            <w:tcW w:type="dxa" w:w="5400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适合 UI 审查，但默认每次会远程拉取最新规则。</w:t>
            </w:r>
          </w:p>
        </w:tc>
        <w:tc>
          <w:tcPr>
            <w:tcW w:type="dxa" w:w="3787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私密环境应先 vendoring / pinning</w:t>
            </w:r>
          </w:p>
        </w:tc>
      </w:tr>
      <w:tr>
        <w:tc>
          <w:tcPr>
            <w:tcW w:type="dxa" w:w="3096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A2130"/>
                <w:sz w:val="17"/>
              </w:rPr>
              <w:t>React Bits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A2130"/>
                <w:sz w:val="17"/>
              </w:rPr>
              <w:t>风格参考</w:t>
            </w:r>
          </w:p>
        </w:tc>
        <w:tc>
          <w:tcPr>
            <w:tcW w:type="dxa" w:w="5400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采用 Soft Aurora、Spotlight / Electric Border、Stepper 等视觉语法；不照搬营销页。</w:t>
            </w:r>
          </w:p>
        </w:tc>
        <w:tc>
          <w:tcPr>
            <w:tcW w:type="dxa" w:w="3787"/>
            <w:tcMar>
              <w:top w:w="100" w:type="dxa"/>
              <w:start w:w="130" w:type="dxa"/>
              <w:bottom w:w="100" w:type="dxa"/>
              <w:end w:w="130" w:type="dxa"/>
            </w:tcMar>
            <w:shd w:fill="F4F6FA"/>
            <w:tcBorders>
              <w:top w:val="single" w:sz="5" w:space="0" w:color="DDE1EA"/>
              <w:left w:val="single" w:sz="5" w:space="0" w:color="DDE1EA"/>
              <w:bottom w:val="single" w:sz="5" w:space="0" w:color="DDE1EA"/>
              <w:right w:val="single" w:sz="5" w:space="0" w:color="DDE1EA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17"/>
              </w:rPr>
              <w:t>开源组件需遵守 MIT + Commons Clause；Pro 资产需单独许可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Arial Unicode MS" w:hAnsi="Arial Unicode MS" w:eastAsia="Arial Unicode MS"/>
          <w:b/>
          <w:i w:val="0"/>
          <w:color w:val="4935A8"/>
          <w:sz w:val="26"/>
        </w:rPr>
        <w:t>本次原型怎样影响后续实现</w:t>
      </w:r>
    </w:p>
    <w:p>
      <w:pPr>
        <w:pStyle w:val="ListBullet"/>
        <w:spacing w:before="0" w:after="6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1A2130"/>
          <w:sz w:val="21"/>
        </w:rPr>
        <w:t>React 前端只需要实现三个状态和一个共享 Shell，不先做复杂页面体系。</w:t>
      </w:r>
    </w:p>
    <w:p>
      <w:pPr>
        <w:pStyle w:val="ListBullet"/>
        <w:spacing w:before="0" w:after="6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1A2130"/>
          <w:sz w:val="21"/>
        </w:rPr>
        <w:t>调查进度来自 Agent 状态机事件；不得伪造随机进度或暴露模型内部推理文本。</w:t>
      </w:r>
    </w:p>
    <w:p>
      <w:pPr>
        <w:pStyle w:val="ListBullet"/>
        <w:spacing w:before="0" w:after="6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1A2130"/>
          <w:sz w:val="21"/>
        </w:rPr>
        <w:t>答案组件以 claim + evidence + support status 为核心数据结构，不把“置信度百分比”当证据。</w:t>
      </w:r>
    </w:p>
    <w:p>
      <w:pPr>
        <w:pStyle w:val="ListBullet"/>
        <w:spacing w:before="0" w:after="6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1A2130"/>
          <w:sz w:val="21"/>
        </w:rPr>
        <w:t>所有动效提供 reduced-motion 降级；长时间阅读区优先稳定、清晰和可复制。</w:t>
      </w:r>
    </w:p>
    <w:tbl>
      <w:tblPr>
        <w:tblW w:type="dxa" w:w="1408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83"/>
      </w:tblGrid>
      <w:tr>
        <w:tc>
          <w:tcPr>
            <w:tcW w:type="dxa" w:w="14083"/>
            <w:tcMar>
              <w:top w:w="100" w:type="dxa"/>
              <w:start w:w="130" w:type="dxa"/>
              <w:bottom w:w="100" w:type="dxa"/>
              <w:end w:w="130" w:type="dxa"/>
            </w:tcMar>
            <w:shd w:fill="F2EFFF"/>
            <w:tcBorders>
              <w:left w:val="single" w:sz="8" w:space="0" w:color="4935A8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4935A8"/>
                <w:sz w:val="20"/>
              </w:rPr>
              <w:t xml:space="preserve">下一项决策  </w:t>
            </w:r>
            <w:r>
              <w:rPr>
                <w:rFonts w:ascii="Arial Unicode MS" w:hAnsi="Arial Unicode MS" w:eastAsia="Arial Unicode MS"/>
                <w:b w:val="0"/>
                <w:i w:val="0"/>
                <w:color w:val="1A2130"/>
                <w:sz w:val="21"/>
              </w:rPr>
              <w:t>确认这套三步体验后，下一阶段才开始 Agent 纵向设计：问题契约 → L1 索引 → 四个工具 → 有界状态机 → 证据回答 → 金标准评测。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before="80" w:after="60"/>
      </w:pPr>
      <w:r>
        <w:rPr>
          <w:rFonts w:ascii="Arial Unicode MS" w:hAnsi="Arial Unicode MS" w:eastAsia="Arial Unicode MS"/>
          <w:b/>
          <w:i w:val="0"/>
          <w:color w:val="4935A8"/>
          <w:sz w:val="26"/>
        </w:rPr>
        <w:t>公开参考</w:t>
      </w:r>
    </w:p>
    <w:p>
      <w:pPr>
        <w:spacing w:after="0"/>
      </w:pPr>
      <w:hyperlink r:id="rId15">
        <w:r>
          <w:rPr>
            <w:rFonts w:ascii="Arial Unicode MS" w:hAnsi="Arial Unicode MS" w:eastAsia="Arial Unicode MS"/>
            <w:color w:val="4935A8"/>
            <w:u w:val="single"/>
          </w:rPr>
          <w:t>React Bits 官方组件索引</w:t>
        </w:r>
      </w:hyperlink>
      <w:r>
        <w:rPr>
          <w:rFonts w:ascii="Arial Unicode MS" w:hAnsi="Arial Unicode MS" w:eastAsia="Arial Unicode MS"/>
          <w:b w:val="0"/>
          <w:i w:val="0"/>
          <w:color w:val="7B8293"/>
          <w:sz w:val="16"/>
        </w:rPr>
        <w:t xml:space="preserve">   |   </w:t>
      </w:r>
      <w:hyperlink r:id="rId16">
        <w:r>
          <w:rPr>
            <w:rFonts w:ascii="Arial Unicode MS" w:hAnsi="Arial Unicode MS" w:eastAsia="Arial Unicode MS"/>
            <w:color w:val="4935A8"/>
            <w:u w:val="single"/>
          </w:rPr>
          <w:t>React Bits GitHub 与许可证</w:t>
        </w:r>
      </w:hyperlink>
      <w:r>
        <w:rPr>
          <w:rFonts w:ascii="Arial Unicode MS" w:hAnsi="Arial Unicode MS" w:eastAsia="Arial Unicode MS"/>
          <w:b w:val="0"/>
          <w:i w:val="0"/>
          <w:color w:val="7B8293"/>
          <w:sz w:val="16"/>
        </w:rPr>
        <w:t xml:space="preserve">   |   </w:t>
      </w:r>
      <w:hyperlink r:id="rId17">
        <w:r>
          <w:rPr>
            <w:rFonts w:ascii="Arial Unicode MS" w:hAnsi="Arial Unicode MS" w:eastAsia="Arial Unicode MS"/>
            <w:color w:val="4935A8"/>
            <w:u w:val="single"/>
          </w:rPr>
          <w:t>Anthropic frontend-design Skill</w:t>
        </w:r>
      </w:hyperlink>
      <w:r>
        <w:rPr>
          <w:rFonts w:ascii="Arial Unicode MS" w:hAnsi="Arial Unicode MS" w:eastAsia="Arial Unicode MS"/>
          <w:b w:val="0"/>
          <w:i w:val="0"/>
          <w:color w:val="7B8293"/>
          <w:sz w:val="16"/>
        </w:rPr>
        <w:t xml:space="preserve">   |   </w:t>
      </w:r>
      <w:hyperlink r:id="rId18">
        <w:r>
          <w:rPr>
            <w:rFonts w:ascii="Arial Unicode MS" w:hAnsi="Arial Unicode MS" w:eastAsia="Arial Unicode MS"/>
            <w:color w:val="4935A8"/>
            <w:u w:val="single"/>
          </w:rPr>
          <w:t>Vercel React Best Practices Skill</w:t>
        </w:r>
      </w:hyperlink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389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  <w:tbl>
    <w:tblPr>
      <w:tblW w:type="dxa" w:w="14083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5760"/>
      <w:gridCol w:w="5443"/>
      <w:gridCol w:w="2880"/>
    </w:tblGrid>
    <w:tr>
      <w:tc>
        <w:tcPr>
          <w:tcW w:type="dxa" w:w="5760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rial Unicode MS" w:hAnsi="Arial Unicode MS" w:eastAsia="Arial Unicode MS"/>
              <w:b w:val="0"/>
              <w:i w:val="0"/>
              <w:color w:val="7B8293"/>
              <w:sz w:val="16"/>
            </w:rPr>
            <w:t>Concept UI · Synthetic data · Private POC</w:t>
          </w:r>
        </w:p>
      </w:tc>
      <w:tc>
        <w:tcPr>
          <w:tcW w:type="dxa" w:w="544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Arial Unicode MS" w:hAnsi="Arial Unicode MS" w:eastAsia="Arial Unicode MS"/>
              <w:b w:val="0"/>
              <w:i w:val="0"/>
              <w:color w:val="7B8293"/>
              <w:sz w:val="16"/>
            </w:rPr>
            <w:t>Evidence first. Read only. Company API only.</w:t>
          </w:r>
        </w:p>
      </w:tc>
      <w:tc>
        <w:tcPr>
          <w:tcW w:type="dxa" w:w="288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 Unicode MS" w:hAnsi="Arial Unicode MS" w:eastAsia="Arial Unicode MS"/>
              <w:b w:val="0"/>
              <w:i w:val="0"/>
              <w:color w:val="7B8293"/>
              <w:sz w:val="16"/>
            </w:rPr>
            <w:t xml:space="preserve">Page </w:t>
          </w:r>
          <w:r>
            <w:rPr>
              <w:rFonts w:ascii="Arial Unicode MS" w:hAnsi="Arial Unicode MS" w:eastAsia="Arial Unicode MS"/>
              <w:b w:val="0"/>
              <w:i w:val="0"/>
              <w:color w:val="7B8293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5" w:space="1" w:color="DDE1EA"/>
      </w:pBdr>
    </w:pPr>
    <w:r>
      <w:rPr>
        <w:rFonts w:ascii="Arial Unicode MS" w:hAnsi="Arial Unicode MS" w:eastAsia="Arial Unicode MS"/>
        <w:b/>
        <w:i w:val="0"/>
        <w:color w:val="7B8293"/>
        <w:sz w:val="16"/>
      </w:rPr>
      <w:t>COBOL BUSINESS ANALYSIS AGENT  /  POC EXPERIENCE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color w:val="1A21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B10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4935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B1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4" w:lineRule="auto"/>
      <w:contextualSpacing/>
    </w:pPr>
    <w:rPr>
      <w:rFonts w:ascii="Arial Unicode MS" w:hAnsi="Arial Unicode MS" w:eastAsia="Arial Unicode M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reactbits.dev/get-started/index" TargetMode="External"/><Relationship Id="rId16" Type="http://schemas.openxmlformats.org/officeDocument/2006/relationships/hyperlink" Target="https://github.com/DavidHDev/react-bits" TargetMode="External"/><Relationship Id="rId17" Type="http://schemas.openxmlformats.org/officeDocument/2006/relationships/hyperlink" Target="https://skills.sh/anthropics/skills/frontend-design" TargetMode="External"/><Relationship Id="rId18" Type="http://schemas.openxmlformats.org/officeDocument/2006/relationships/hyperlink" Target="https://skills.sh/vercel-labs/agent-skills/vercel-react-best-pract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COBOL 业务分析 Agent - 领导演示体验与 POC 计划</dc:title>
  <dc:subject>Evidence-first COBOL business analysis agent leadership brief</dc:subject>
  <dc:creator>POC Architecture Team</dc:creator>
  <cp:keywords>COBOL, AS400, AI Agent, RAG, Evidence, POC</cp:keywords>
  <dc:description>Concept UI built with synthetic data; no private company source code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