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20"/>
        <w:gridCol w:w="7740"/>
      </w:tblGrid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78B5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36"/>
              </w:rPr>
              <w:t>CEA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B78B5"/>
                <w:sz w:val="18"/>
              </w:rPr>
              <w:t>COBOL EVIDENCE ANALYST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i w:val="0"/>
                <w:color w:val="607487"/>
                <w:sz w:val="18"/>
              </w:rPr>
              <w:t>面向大型 COBOL 代码库的可验证业务分析 Agent</w:t>
            </w:r>
          </w:p>
        </w:tc>
      </w:tr>
    </w:tbl>
    <w:p>
      <w:pPr>
        <w:keepNext/>
        <w:spacing w:before="360" w:after="60" w:line="264" w:lineRule="auto"/>
      </w:pPr>
      <w:r>
        <w:rPr>
          <w:rFonts w:ascii="Hiragino Sans GB" w:hAnsi="Hiragino Sans GB" w:eastAsia="Hiragino Sans GB"/>
          <w:b/>
          <w:i w:val="0"/>
          <w:color w:val="163A54"/>
          <w:sz w:val="42"/>
        </w:rPr>
        <w:t>POC P1-B 开发进度与进入 Agent 阶段建议</w:t>
      </w:r>
    </w:p>
    <w:p>
      <w:pPr>
        <w:spacing w:before="0" w:after="280" w:line="264" w:lineRule="auto"/>
      </w:pPr>
      <w:r>
        <w:rPr>
          <w:rFonts w:ascii="Hiragino Sans GB" w:hAnsi="Hiragino Sans GB" w:eastAsia="Hiragino Sans GB"/>
          <w:b/>
          <w:i w:val="0"/>
          <w:color w:val="D71920"/>
          <w:sz w:val="14"/>
        </w:rPr>
        <w:t xml:space="preserve">●  </w:t>
      </w:r>
      <w:r>
        <w:rPr>
          <w:rFonts w:ascii="Hiragino Sans GB" w:hAnsi="Hiragino Sans GB" w:eastAsia="Hiragino Sans GB"/>
          <w:b w:val="0"/>
          <w:i w:val="0"/>
          <w:color w:val="607487"/>
          <w:sz w:val="18"/>
        </w:rPr>
        <w:t>领导审阅版  ·  2026-08-30  ·  Synthetic Insurance Fixture  ·  非 AIA 官方品牌材料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79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B78B5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30"/>
              </w:rPr>
              <w:t>GO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F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23"/>
              </w:rPr>
              <w:t>建议进入 P3：公司 API Adapter + 受控 Agent 循环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i w:val="0"/>
                <w:color w:val="607487"/>
                <w:sz w:val="18"/>
              </w:rPr>
              <w:t>依据：四个调查工具已形成证据闭环，22 / 22 自动测试通过；公司 API 尚未连接。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FFFFFF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B78B5"/>
                <w:sz w:val="32"/>
              </w:rPr>
              <w:t>13</w:t>
            </w:r>
            <w:r>
              <w:br/>
            </w: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9"/>
              </w:rPr>
              <w:t>源码文件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i w:val="0"/>
                <w:color w:val="607487"/>
                <w:sz w:val="15"/>
              </w:rPr>
              <w:t>8 COBOL + 5 COPYBOOK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FFFFFF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B78B5"/>
                <w:sz w:val="32"/>
              </w:rPr>
              <w:t>104</w:t>
            </w:r>
            <w:r>
              <w:br/>
            </w: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9"/>
              </w:rPr>
              <w:t>符号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i w:val="0"/>
                <w:color w:val="607487"/>
                <w:sz w:val="15"/>
              </w:rPr>
              <w:t>Program / Paragraph / Field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FFFFFF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B78B5"/>
                <w:sz w:val="32"/>
              </w:rPr>
              <w:t>416</w:t>
            </w:r>
            <w:r>
              <w:br/>
            </w: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9"/>
              </w:rPr>
              <w:t>结构关系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i w:val="0"/>
                <w:color w:val="607487"/>
                <w:sz w:val="15"/>
              </w:rPr>
              <w:t>CALL / PERFORM / I/O / 条件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8" w:color="FFFFFF"/>
              <w:bottom w:val="single" w:sz="8" w:color="FFFFFF"/>
              <w:start w:val="single" w:sz="8" w:color="FFFFFF"/>
              <w:end w:val="single" w:sz="8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B78B5"/>
                <w:sz w:val="32"/>
              </w:rPr>
              <w:t>22 / 22</w:t>
            </w:r>
            <w:r>
              <w:br/>
            </w: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9"/>
              </w:rPr>
              <w:t>自动测试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i w:val="0"/>
                <w:color w:val="607487"/>
                <w:sz w:val="15"/>
              </w:rPr>
              <w:t>全程无网络调用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B78B5"/>
          <w:sz w:val="32"/>
        </w:rPr>
        <w:t>1. 核心判断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现在可以进入 Agent 接入阶段，但不能把当前成果描述为“完整 AI 对话产品”。本轮已完成的是 Agent 的本地事实层：它能够从 COBOL 与 COPYBOOK 中调查计算、调用、PERFORM、条件和外部表，并把结论绑定到可复核源码证据；下一阶段才由公司 OpenAI-compatible API 负责理解问题、选择调查动作和组织中文回答。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F"/>
            <w:tcBorders>
              <w:start w:val="single" w:sz="28" w:color="1B78B5"/>
              <w:top w:val="single" w:sz="4" w:color="EAF6FF"/>
              <w:bottom w:val="single" w:sz="4" w:color="EAF6FF"/>
              <w:end w:val="single" w:sz="4" w:color="EAF6FF"/>
            </w:tcBorders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B78B5"/>
                <w:sz w:val="18"/>
              </w:rPr>
              <w:t>源码可证明的计算</w:t>
            </w:r>
            <w:r>
              <w:br/>
            </w: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25"/>
              </w:rPr>
              <w:t>分期保费 = 年化应缴保费 × 缴费频率因子</w:t>
            </w:r>
            <w:r>
              <w:br/>
            </w: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21"/>
              </w:rPr>
              <w:t>年化应缴保费 = 基础保费 + 职业风险加费 + 附加保障保费 − 高保额折扣 + 年度保单费用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i w:val="0"/>
                <w:color w:val="607487"/>
                <w:sz w:val="17"/>
              </w:rPr>
              <w:t>两个计算语句均使用 ROUNDED。动态计算器调用保持 unresolved，没有根据名称猜测真实目标。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B78B5"/>
          <w:sz w:val="32"/>
        </w:rPr>
        <w:t>2. 本轮已经交付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原创保险流程语料：8 个 COBOL Program、5 个 COPYBOOK，覆盖字面量调用、动态调用、子程序、SQL 表边界、条件和舍入计算。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四个只读调查工具：search_code、inspect_symbol、trace_relations、read_evidence。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受控边界：关系白名单、最大 3 跳、最多 200 条边、结果预算、Evidence ID 读取和 Snapshot Hash 完整性校验。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可执行 CALC-01 演示：6 次工具调用取得 12 段证据，结论状态为 SUPPORTED_WITH_BOUNDARIES。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自动化验证：22 / 22 测试通过；演示阶段不调用网络，也不依赖公司 API Key。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B78B5"/>
          <w:sz w:val="32"/>
        </w:rPr>
        <w:t>3. 六步证据闭环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用户问“分期保费是怎样计算的”时，演示程序按以下路径调查，而不是把整套源码一次性塞给大模型。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900"/>
        <w:gridCol w:w="6810"/>
      </w:tblGrid>
      <w:tr>
        <w:trPr>
          <w:trHeight w:val="420" w:hRule="atLeast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E3EA" w:space="0"/>
              <w:start w:val="single" w:sz="6" w:color="D8E3EA" w:space="0"/>
              <w:bottom w:val="single" w:sz="6" w:color="D8E3EA" w:space="0"/>
              <w:end w:val="single" w:sz="6" w:color="D8E3EA" w:space="0"/>
              <w:insideH w:val="single" w:sz="6" w:color="D8E3EA" w:space="0"/>
              <w:insideV w:val="single" w:sz="6" w:color="D8E3EA" w:space="0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7"/>
              </w:rPr>
              <w:t>步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E3EA" w:space="0"/>
              <w:start w:val="single" w:sz="6" w:color="D8E3EA" w:space="0"/>
              <w:bottom w:val="single" w:sz="6" w:color="D8E3EA" w:space="0"/>
              <w:end w:val="single" w:sz="6" w:color="D8E3EA" w:space="0"/>
              <w:insideH w:val="single" w:sz="6" w:color="D8E3EA" w:space="0"/>
              <w:insideV w:val="single" w:sz="6" w:color="D8E3EA" w:space="0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7"/>
              </w:rPr>
              <w:t>调查动作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E3EA" w:space="0"/>
              <w:start w:val="single" w:sz="6" w:color="D8E3EA" w:space="0"/>
              <w:bottom w:val="single" w:sz="6" w:color="D8E3EA" w:space="0"/>
              <w:end w:val="single" w:sz="6" w:color="D8E3EA" w:space="0"/>
              <w:insideH w:val="single" w:sz="6" w:color="D8E3EA" w:space="0"/>
              <w:insideV w:val="single" w:sz="6" w:color="D8E3EA" w:space="0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7"/>
              </w:rPr>
              <w:t>取得的事实</w:t>
            </w:r>
          </w:p>
        </w:tc>
      </w:tr>
      <w:tr>
        <w:tc>
          <w:tcPr>
            <w:tcW w:type="dxa" w:w="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1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search_code</w:t>
            </w:r>
          </w:p>
        </w:tc>
        <w:tc>
          <w:tcPr>
            <w:tcW w:type="dxa" w:w="68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定位 WS-INSTALMENT-PREMIUM 及相关计算符号。</w:t>
            </w:r>
          </w:p>
        </w:tc>
      </w:tr>
      <w:tr>
        <w:tc>
          <w:tcPr>
            <w:tcW w:type="dxa" w:w="65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2</w:t>
            </w:r>
          </w:p>
        </w:tc>
        <w:tc>
          <w:tcPr>
            <w:tcW w:type="dxa" w:w="1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inspect_symbol</w:t>
            </w:r>
          </w:p>
        </w:tc>
        <w:tc>
          <w:tcPr>
            <w:tcW w:type="dxa" w:w="681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查看分期保费的定义、写入点、条件与直接依赖。</w:t>
            </w:r>
          </w:p>
        </w:tc>
      </w:tr>
      <w:tr>
        <w:tc>
          <w:tcPr>
            <w:tcW w:type="dxa" w:w="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3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inspect_symbol</w:t>
            </w:r>
          </w:p>
        </w:tc>
        <w:tc>
          <w:tcPr>
            <w:tcW w:type="dxa" w:w="68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展开年化应缴保费组成，发现基础保费、职业加费、附加险、折扣和费用。</w:t>
            </w:r>
          </w:p>
        </w:tc>
      </w:tr>
      <w:tr>
        <w:tc>
          <w:tcPr>
            <w:tcW w:type="dxa" w:w="65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4</w:t>
            </w:r>
          </w:p>
        </w:tc>
        <w:tc>
          <w:tcPr>
            <w:tcW w:type="dxa" w:w="1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trace_relations</w:t>
            </w:r>
          </w:p>
        </w:tc>
        <w:tc>
          <w:tcPr>
            <w:tcW w:type="dxa" w:w="681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追踪入口程序、字面量 CALL、PERFORM 与动态计算器边界。</w:t>
            </w:r>
          </w:p>
        </w:tc>
      </w:tr>
      <w:tr>
        <w:tc>
          <w:tcPr>
            <w:tcW w:type="dxa" w:w="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5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trace_relations</w:t>
            </w:r>
          </w:p>
        </w:tc>
        <w:tc>
          <w:tcPr>
            <w:tcW w:type="dxa" w:w="68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识别 SYN_MODE_FACTOR、SYN_CALC_ROUTING 等外部控制表边界。</w:t>
            </w:r>
          </w:p>
        </w:tc>
      </w:tr>
      <w:tr>
        <w:tc>
          <w:tcPr>
            <w:tcW w:type="dxa" w:w="65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6</w:t>
            </w:r>
          </w:p>
        </w:tc>
        <w:tc>
          <w:tcPr>
            <w:tcW w:type="dxa" w:w="1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read_evidence</w:t>
            </w:r>
          </w:p>
        </w:tc>
        <w:tc>
          <w:tcPr>
            <w:tcW w:type="dxa" w:w="681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7"/>
              </w:rPr>
              <w:t>仅按已发现 Evidence ID 读取源码并校验快照完整性。</w:t>
            </w:r>
          </w:p>
        </w:tc>
      </w:tr>
    </w:tbl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B78B5"/>
          <w:sz w:val="32"/>
        </w:rPr>
        <w:t>4. 当前成熟度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900"/>
        <w:gridCol w:w="6560"/>
      </w:tblGrid>
      <w:tr>
        <w:trPr>
          <w:trHeight w:val="420"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E3EA" w:space="0"/>
              <w:start w:val="single" w:sz="6" w:color="D8E3EA" w:space="0"/>
              <w:bottom w:val="single" w:sz="6" w:color="D8E3EA" w:space="0"/>
              <w:end w:val="single" w:sz="6" w:color="D8E3EA" w:space="0"/>
              <w:insideH w:val="single" w:sz="6" w:color="D8E3EA" w:space="0"/>
              <w:insideV w:val="single" w:sz="6" w:color="D8E3EA" w:space="0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7"/>
              </w:rPr>
              <w:t>阶段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E3EA" w:space="0"/>
              <w:start w:val="single" w:sz="6" w:color="D8E3EA" w:space="0"/>
              <w:bottom w:val="single" w:sz="6" w:color="D8E3EA" w:space="0"/>
              <w:end w:val="single" w:sz="6" w:color="D8E3EA" w:space="0"/>
              <w:insideH w:val="single" w:sz="6" w:color="D8E3EA" w:space="0"/>
              <w:insideV w:val="single" w:sz="6" w:color="D8E3EA" w:space="0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7"/>
              </w:rPr>
              <w:t>状态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8E3EA" w:space="0"/>
              <w:start w:val="single" w:sz="6" w:color="D8E3EA" w:space="0"/>
              <w:bottom w:val="single" w:sz="6" w:color="D8E3EA" w:space="0"/>
              <w:end w:val="single" w:sz="6" w:color="D8E3EA" w:space="0"/>
              <w:insideH w:val="single" w:sz="6" w:color="D8E3EA" w:space="0"/>
              <w:insideV w:val="single" w:sz="6" w:color="D8E3EA" w:space="0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7"/>
              </w:rPr>
              <w:t>说明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P0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已完成公开实现</w:t>
            </w:r>
          </w:p>
        </w:tc>
        <w:tc>
          <w:tcPr>
            <w:tcW w:type="dxa" w:w="6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代码库画像可执行；真实公司代码仍需在公司环境运行。</w:t>
            </w:r>
          </w:p>
        </w:tc>
      </w:tr>
      <w:tr>
        <w:tc>
          <w:tcPr>
            <w:tcW w:type="dxa" w:w="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P1-A</w:t>
            </w:r>
          </w:p>
        </w:tc>
        <w:tc>
          <w:tcPr>
            <w:tcW w:type="dxa" w:w="1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已完成</w:t>
            </w:r>
          </w:p>
        </w:tc>
        <w:tc>
          <w:tcPr>
            <w:tcW w:type="dxa" w:w="656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结构索引覆盖 Program、Paragraph、Field、CALL、PERFORM、基础数据关系和 EvidenceSpan。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P1-B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本轮完成</w:t>
            </w:r>
          </w:p>
        </w:tc>
        <w:tc>
          <w:tcPr>
            <w:tcW w:type="dxa" w:w="6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四工具、预算、白名单、状态、边界和函数 Schema 已测试。</w:t>
            </w:r>
          </w:p>
        </w:tc>
      </w:tr>
      <w:tr>
        <w:tc>
          <w:tcPr>
            <w:tcW w:type="dxa" w:w="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P2</w:t>
            </w:r>
          </w:p>
        </w:tc>
        <w:tc>
          <w:tcPr>
            <w:tcW w:type="dxa" w:w="1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合成流程通过</w:t>
            </w:r>
          </w:p>
        </w:tc>
        <w:tc>
          <w:tcPr>
            <w:tcW w:type="dxa" w:w="656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CALC-01 已取得证据闭包；真实 DXC/Smart COBOL 方言尚未验证。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P3</w:t>
            </w:r>
          </w:p>
        </w:tc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下一阶段</w:t>
            </w:r>
          </w:p>
        </w:tc>
        <w:tc>
          <w:tcPr>
            <w:tcW w:type="dxa" w:w="6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公司 API Adapter、最多 6 步的 Agent 循环、回答与引用核验。</w:t>
            </w:r>
          </w:p>
        </w:tc>
      </w:tr>
      <w:tr>
        <w:tc>
          <w:tcPr>
            <w:tcW w:type="dxa" w:w="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P4</w:t>
            </w:r>
          </w:p>
        </w:tc>
        <w:tc>
          <w:tcPr>
            <w:tcW w:type="dxa" w:w="190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UI 概念稿已校准</w:t>
            </w:r>
          </w:p>
        </w:tc>
        <w:tc>
          <w:tcPr>
            <w:tcW w:type="dxa" w:w="6560"/>
            <w:shd w:fill="F8FB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63746"/>
                <w:sz w:val="16"/>
              </w:rPr>
              <w:t>浅蓝演示页使用真实 fixture 数字，后续接入真实 Agent 运行结果。</w:t>
            </w:r>
          </w:p>
        </w:tc>
      </w:tr>
    </w:tbl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B78B5"/>
          <w:sz w:val="32"/>
        </w:rPr>
        <w:t>5. 架构原则：先证明闭环，再增加平台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本阶段不建议加入 Qdrant、Neo4j、LangGraph 或本地模型。Python 标准库、SQLite/FTS5 和受限调查工具足以验证首条业务闭环；只有真实代码规模和金标准暴露明确瓶颈时，才引入 Embedding、图服务或可恢复状态机。若公司明确禁止 SQLite，可在不改变四工具契约的前提下替换为 JSONL、压缩倒排索引和内存邻接表。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B78B5"/>
          <w:sz w:val="32"/>
        </w:rPr>
        <w:t>6. 已知边界与治理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动态调用不猜测：CALL LK-CALCULATOR-PROGRAM 保持 unresolved，除非控制表值或运行输入可用。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商业原因不从代码臆测：源码能说明“怎样算”，未必能说明“为什么采用该费率”。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源码按不可信数据处理：read_evidence 明确标记 UNTRUSTED_SOURCE_TEXT，防止代码注释成为 Agent 指令。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隐私最小化：索引与关系追踪留在公司电脑，只向公司 API 发送回答当前问题需要的 EvidenceSpan；API Key 不落盘。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能力降级：若公司 API 不支持 Tool Calling，使用严格 action + arguments JSON，仍执行相同四个本地工具。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B78B5"/>
          <w:sz w:val="32"/>
        </w:rPr>
        <w:t>7. 下一阶段实施顺序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完成公司 API capability probe：只检测 Chat、Tool Calling、严格 JSON 和可选 Embedding，不记录 API Key。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实现最多 6 次调用的单 Agent 循环；连续两步没有新增证据即停止。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固定回答结构：结论、代码怎样实现、源码依据、不能确认。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增加引用完整性检查：回答只能引用本轮真正读取过的 EvidenceSpan。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把浅蓝领导演示页连接到真实本地运行结果，同时保留“合成数据 / API 是否连接”标识。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263746"/>
          <w:sz w:val="22"/>
        </w:rPr>
        <w:t>在公司 Windows 环境选一个获准流程做聚合画像和金标准验证，再决定是否增加向量检索或文件型存储。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B78B5"/>
          <w:sz w:val="32"/>
        </w:rPr>
        <w:t>8. P3 退出门槛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50"/>
        <w:gridCol w:w="751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4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4"/>
              </w:rPr>
              <w:t>DEMO READY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F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63A54"/>
                <w:sz w:val="19"/>
              </w:rPr>
              <w:t>对 CALC-01 的自然语言问题，Agent 必须在 6 步内调用真实工具，生成与证据一致的中文回答；当用户询问费率商业原因或实际控制表值时，必须明确说明不能确认。</w:t>
            </w:r>
          </w:p>
        </w:tc>
      </w:tr>
    </w:tbl>
    <w:p>
      <w:pPr>
        <w:spacing w:before="280" w:after="0" w:line="264" w:lineRule="auto"/>
      </w:pPr>
      <w:r>
        <w:rPr>
          <w:rFonts w:ascii="Hiragino Sans GB" w:hAnsi="Hiragino Sans GB" w:eastAsia="Hiragino Sans GB"/>
          <w:b/>
          <w:i w:val="0"/>
          <w:color w:val="607487"/>
          <w:sz w:val="17"/>
        </w:rPr>
        <w:t>资料性质：</w:t>
      </w:r>
      <w:r>
        <w:rPr>
          <w:rFonts w:ascii="Hiragino Sans GB" w:hAnsi="Hiragino Sans GB" w:eastAsia="Hiragino Sans GB"/>
          <w:b w:val="0"/>
          <w:i w:val="0"/>
          <w:color w:val="607487"/>
          <w:sz w:val="17"/>
        </w:rPr>
        <w:t>内部 POC 决策材料。全部业务代码与数据均为原创合成样例，不含公司私密源码、付费 DXC 文档或真实客户数据。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607487"/>
        <w:sz w:val="16"/>
      </w:rPr>
      <w:t xml:space="preserve">INTERNAL POC  •  </w:t>
    </w:r>
    <w:r>
      <w:rPr>
        <w:rFonts w:ascii="Hiragino Sans GB" w:hAnsi="Hiragino Sans GB" w:eastAsia="Hiragino Sans GB"/>
        <w:color w:val="607487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Hiragino Sans GB" w:hAnsi="Hiragino Sans GB" w:eastAsia="Hiragino Sans GB"/>
        <w:b/>
        <w:i w:val="0"/>
        <w:color w:val="1B78B5"/>
        <w:sz w:val="16"/>
      </w:rPr>
      <w:t>COBOL EVIDENCE ANALYST</w:t>
    </w:r>
    <w:r>
      <w:rPr>
        <w:rFonts w:ascii="Hiragino Sans GB" w:hAnsi="Hiragino Sans GB" w:eastAsia="Hiragino Sans GB"/>
        <w:b w:val="0"/>
        <w:i w:val="0"/>
        <w:color w:val="607487"/>
        <w:sz w:val="16"/>
      </w:rPr>
      <w:t xml:space="preserve">   /   POC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COBOL Evidence Analyst — POC P1-B Progress Report</dc:title>
  <dc:subject>Decision brief for controlled Agent integration</dc:subject>
  <dc:creator>COBOL Evidence Analyst POC</dc:creator>
  <cp:keywords>COBOL, AI Agent, evidence, POC, architecture</cp:keywords>
  <dc:description>Generated from verified P1-B project facts on 2026-08-30.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