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COBOL 业务分析系统</w:t>
        <w:br/>
        <w:t>POC 演示说明</w:t>
      </w:r>
    </w:p>
    <w:p>
      <w:pPr>
        <w:pStyle w:val="Subtitle"/>
      </w:pPr>
      <w:r>
        <w:rPr>
          <w:b w:val="0"/>
        </w:rPr>
        <w:t>领导汇报与现场演示用稿</w:t>
      </w:r>
    </w:p>
    <w:p>
      <w:r>
        <w:rPr>
          <w:b w:val="0"/>
        </w:rPr>
        <w:t>2026 年 9 月 20 日</w:t>
      </w:r>
    </w:p>
    <w:p>
      <w:r>
        <w:rPr>
          <w:b/>
        </w:rPr>
        <w:t>系统的交付目标是把现有程序中的业务规则讲清楚，让业务人员看懂办理条件、处理结果、状态变化和异常影响，并能回到原始依据核对。对于跨程序业务，分析必须串起入口、被调程序和共享定义，形成一份连贯的业务说明。</w:t>
      </w:r>
    </w:p>
    <w:p>
      <w:pPr>
        <w:pStyle w:val="Heading2"/>
      </w:pPr>
      <w:r>
        <w:t>本次可以展示什么</w:t>
      </w:r>
    </w:p>
    <w:p>
      <w:r>
        <w:rPr>
          <w:b w:val="0"/>
        </w:rPr>
        <w:t>工作台已围绕“服务申请受理、复核、夜间生效”组织三个业务案例，覆盖传统联机、控制器分段联机和批处理。每个案例都有可读取的源码及引用；同一工作台可以接入公司源码，提交自由问题，展示模型返回并导出分析结果。</w:t>
      </w:r>
    </w:p>
    <w:p>
      <w:r>
        <w:rPr>
          <w:b w:val="0"/>
        </w:rPr>
        <w:t>当前只按一套项目源码使用，不要求业务人员选择代码版本。源码更新后重新分析，用本次读取的内容生成新依据。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管理者关心的问题</w:t>
            </w:r>
          </w:p>
        </w:tc>
        <w:tc>
          <w:tcPr>
            <w:tcW w:type="dxa" w:w="75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演示中应看到的结果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系统能否说明业务</w:t>
            </w:r>
          </w:p>
        </w:tc>
        <w:tc>
          <w:tcPr>
            <w:tcW w:type="dxa" w:w="75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先给业务结论，再说明条件、分支、数据变化与失败影响。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是否调用了公司模型</w:t>
            </w:r>
          </w:p>
        </w:tc>
        <w:tc>
          <w:tcPr>
            <w:tcW w:type="dxa" w:w="75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“API 返回”可以检查本次收到的正文和错误；案例导读与模型回答有明确标识。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是否理解跨程序过程</w:t>
            </w:r>
          </w:p>
        </w:tc>
        <w:tc>
          <w:tcPr>
            <w:tcW w:type="dxa" w:w="75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沿可定位调用串联业务，并显示阅读进度及未覆盖范围。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结果能否复核和留存</w:t>
            </w:r>
          </w:p>
        </w:tc>
        <w:tc>
          <w:tcPr>
            <w:tcW w:type="dxa" w:w="75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点击引用查看原文；导出业务说明和来源记录。</w:t>
            </w:r>
          </w:p>
        </w:tc>
      </w:tr>
    </w:tbl>
    <w:p>
      <w:pPr>
        <w:spacing w:after="0"/>
      </w:pPr>
    </w:p>
    <w:p>
      <w:pPr>
        <w:pStyle w:val="Heading2"/>
      </w:pPr>
      <w:r>
        <w:t>演示与现场验收的区别</w:t>
      </w:r>
    </w:p>
    <w:p>
      <w:r>
        <w:rPr>
          <w:b w:val="0"/>
        </w:rPr>
        <w:t>案例导读用于解释场景，载入案例只建立本机资料，不调用模型。“开始业务分析”才发起真实模型请求。已有本地自动化验证证明软件处理链路和故障保留逻辑；公司接口返回质量、真实大库运行时间及业务判断准确性，需要在公司环境用实际源码验收。</w:t>
      </w:r>
    </w:p>
    <w:p>
      <w:r>
        <w:rPr>
          <w:b w:val="0"/>
        </w:rPr>
        <w:t>建议汇报时先演示一条完整业务问题，再打开 API 原文与源码依据。这样可以分别确认接口链路、业务分析质量和结果可追溯性。</w:t>
      </w:r>
    </w:p>
    <w:p>
      <w:r>
        <w:br w:type="page"/>
      </w:r>
    </w:p>
    <w:p>
      <w:pPr>
        <w:pStyle w:val="Heading1"/>
      </w:pPr>
      <w:r>
        <w:t>业务案例与预期结果</w:t>
      </w:r>
    </w:p>
    <w:p>
      <w:r>
        <w:rPr>
          <w:b w:val="0"/>
        </w:rPr>
        <w:t>三个案例围绕同一种服务申请展开，用不同程序组织方式表达业务。它们是独立演示场景，不代表已在数据库中完成同一笔申请的端到端交易。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6264"/>
        <w:gridCol w:w="208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业务场景</w:t>
            </w:r>
          </w:p>
        </w:tc>
        <w:tc>
          <w:tcPr>
            <w:tcW w:type="dxa" w:w="62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应回答的核心问题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对应程序组织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申请受理</w:t>
            </w:r>
          </w:p>
        </w:tc>
        <w:tc>
          <w:tcPr>
            <w:tcW w:type="dxa" w:w="62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哪些申请直接通过，哪些转为待复核，取消或失败如何处理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传统联机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申请复核</w:t>
            </w:r>
          </w:p>
        </w:tc>
        <w:tc>
          <w:tcPr>
            <w:tcW w:type="dxa" w:w="62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通过或拒绝需要什么条件，保存决定后改变什么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控制器分段联机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夜间生效</w:t>
            </w:r>
          </w:p>
        </w:tc>
        <w:tc>
          <w:tcPr>
            <w:tcW w:type="dxa" w:w="62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哪些申请被处理或跳过，提交失败影响什么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批处理</w:t>
            </w:r>
          </w:p>
        </w:tc>
      </w:tr>
    </w:tbl>
    <w:p>
      <w:pPr>
        <w:spacing w:after="0"/>
      </w:pPr>
    </w:p>
    <w:p>
      <w:pPr>
        <w:pStyle w:val="Heading2"/>
      </w:pPr>
      <w:r>
        <w:t>申请受理与金额分流</w:t>
      </w:r>
    </w:p>
    <w:p>
      <w:r>
        <w:rPr>
          <w:b/>
        </w:rPr>
        <w:t>演示问题：申请金额如何影响处理结果？哪些情况不能视为办理成功？</w:t>
      </w:r>
    </w:p>
    <w:p>
      <w:r>
        <w:rPr>
          <w:b w:val="0"/>
        </w:rPr>
        <w:t>案例中金额必须大于零。有效金额不超过 5000 时，程序将申请状态设为已通过；超过 5000 时，设为待复核。金额分流决定后续业务去向，实际保存仍要看数据访问返回。取消、读取失败或保存失败都不能当作受理完成。</w:t>
      </w:r>
    </w:p>
    <w:p>
      <w:r>
        <w:rPr>
          <w:b w:val="0"/>
        </w:rPr>
        <w:t>业务人员应能从回答中区分“符合办理条件”和“已成功保存”。案例没有给出币种、现场授权额度或人员权限，不能从金额阈值延伸出这些规则。</w:t>
      </w:r>
    </w:p>
    <w:p>
      <w:pPr>
        <w:pStyle w:val="Heading2"/>
      </w:pPr>
      <w:r>
        <w:t>人工复核与决定保存</w:t>
      </w:r>
    </w:p>
    <w:p>
      <w:r>
        <w:rPr>
          <w:b/>
        </w:rPr>
        <w:t>演示问题：复核时金额和决定要满足什么条件？通过、拒绝和取消分别产生什么结果？</w:t>
      </w:r>
    </w:p>
    <w:p>
      <w:r>
        <w:rPr>
          <w:b w:val="0"/>
        </w:rPr>
        <w:t>系统取回待处理申请后，带出编号与金额。金额须大于零，并且必须明确选择通过或拒绝；不满足条件时要求修改或重新输入。有效决定经过更新阶段，程序请求锁定申请，再保存决定对应的状态与当前金额。</w:t>
      </w:r>
    </w:p>
    <w:p>
      <w:r>
        <w:rPr>
          <w:b w:val="0"/>
        </w:rPr>
        <w:t>选择通过时将状态设为已批准；选择拒绝时设为已拒绝，随后请求保存。取消跳过保存。业务拒绝与保存异常是不同结果：前者是决定，后者是办理未完成。回答应把这个区别讲清楚，而不能只列出控制段编号。</w:t>
      </w:r>
    </w:p>
    <w:p>
      <w:pPr>
        <w:pStyle w:val="Caption"/>
      </w:pPr>
      <w:r>
        <w:rPr>
          <w:b w:val="0"/>
        </w:rPr>
        <w:t>核对依据：受理规则位于 service-entry.cbl；复核校验位于 service-mainline.cbl 第 46 至 66 行，保存处理位于第 67 至 86 行。页面引用打开的是本次读取的实际文件。</w:t>
      </w:r>
    </w:p>
    <w:p>
      <w:r>
        <w:br w:type="page"/>
      </w:r>
    </w:p>
    <w:p>
      <w:pPr>
        <w:pStyle w:val="Heading1"/>
      </w:pPr>
      <w:r>
        <w:t>夜间生效案例的业务解释</w:t>
      </w:r>
    </w:p>
    <w:p>
      <w:r>
        <w:rPr>
          <w:b/>
        </w:rPr>
        <w:t>演示问题：为什么部分已批准申请没有在夜间生效？失败后会影响哪些记录与统计？</w:t>
      </w:r>
    </w:p>
    <w:p>
      <w:r>
        <w:rPr>
          <w:b w:val="0"/>
        </w:rPr>
        <w:t>批处理从候选记录中选择服务类且状态为已批准的申请。更新前再次检查资格，防止把已经变化的申请按旧状态处理。满足条件时，程序将申请改为生效状态并请求保存；不满足时跳过，并在锁定后发现资格变化的路径中请求释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6408"/>
        <w:gridCol w:w="2016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处理环节</w:t>
            </w:r>
          </w:p>
        </w:tc>
        <w:tc>
          <w:tcPr>
            <w:tcW w:type="dxa" w:w="64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业务规则和结果</w:t>
            </w:r>
          </w:p>
        </w:tc>
        <w:tc>
          <w:tcPr>
            <w:tcW w:type="dxa" w:w="20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核对位置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筛选</w:t>
            </w:r>
          </w:p>
        </w:tc>
        <w:tc>
          <w:tcPr>
            <w:tcW w:type="dxa" w:w="64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仅服务类且已批准的申请进入更新；其他记录计入跳过</w:t>
            </w:r>
          </w:p>
        </w:tc>
        <w:tc>
          <w:tcPr>
            <w:tcW w:type="dxa" w:w="20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第 58 至 68 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更新前复查</w:t>
            </w:r>
          </w:p>
        </w:tc>
        <w:tc>
          <w:tcPr>
            <w:tcW w:type="dxa" w:w="64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锁定成功后再次检查类别与状态；仍符合条件才改为生效并请求保存</w:t>
            </w:r>
          </w:p>
        </w:tc>
        <w:tc>
          <w:tcPr>
            <w:tcW w:type="dxa" w:w="20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第 69 至 95 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分批提交</w:t>
            </w:r>
          </w:p>
        </w:tc>
        <w:tc>
          <w:tcPr>
            <w:tcW w:type="dxa" w:w="64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主读取成功计数达到 2 时尝试提交，跳过的记录也可能计入该周期；末组另行提交</w:t>
            </w:r>
          </w:p>
        </w:tc>
        <w:tc>
          <w:tcPr>
            <w:tcW w:type="dxa" w:w="20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batch-flow.cpy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提交与失败处理</w:t>
            </w:r>
          </w:p>
        </w:tc>
        <w:tc>
          <w:tcPr>
            <w:tcW w:type="dxa" w:w="64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保存检查点后请求提交；失败路径恢复累计值并请求回滚</w:t>
            </w:r>
          </w:p>
        </w:tc>
        <w:tc>
          <w:tcPr>
            <w:tcW w:type="dxa" w:w="20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第 96 至 133 行</w:t>
            </w:r>
          </w:p>
        </w:tc>
      </w:tr>
    </w:tbl>
    <w:p>
      <w:pPr>
        <w:spacing w:after="0"/>
      </w:pPr>
    </w:p>
    <w:p>
      <w:pPr>
        <w:pStyle w:val="Heading2"/>
      </w:pPr>
      <w:r>
        <w:t>应向业务人员解释的影响</w:t>
      </w:r>
    </w:p>
    <w:p>
      <w:r>
        <w:rPr>
          <w:b w:val="0"/>
        </w:rPr>
        <w:t>“没有生效”可能有不同原因：申请最初不符合资格、更新前资格已经变化，或者保存及提交阶段发生错误。前两种属于业务筛选或状态变化，后一种需要检查处理是否真正落库。分析应沿这几条路径说明原因，而不是把所有情况归为异常。</w:t>
      </w:r>
    </w:p>
    <w:p>
      <w:r>
        <w:rPr>
          <w:b w:val="0"/>
        </w:rPr>
        <w:t>程序先准备检查点，再请求提交；准备动作本身不能代表提交已完成。失败时，源码存在统计恢复与回滚请求，因此应说明当前批次的处理结果需要核对。外部存储对象没有实现和运行记录时，不能保证数据库已经回滚，也不能断言重启一定不会重复处理。</w:t>
      </w:r>
    </w:p>
    <w:p>
      <w:pPr>
        <w:pStyle w:val="Heading2"/>
      </w:pPr>
      <w:r>
        <w:t>业务解释与框架资料的关系</w:t>
      </w:r>
    </w:p>
    <w:p>
      <w:r>
        <w:rPr>
          <w:b w:val="0"/>
        </w:rPr>
        <w:t>框架资料帮助识别主读取、筛选、更新、提交准备和失败恢复之间的关系。业务条件仍以源码中的类别、状态判断及数据修改为依据。缺少外部对象时，先解释可见业务逻辑，再指出具体缺口影响哪个结论。</w:t>
      </w:r>
    </w:p>
    <w:p>
      <w:pPr>
        <w:pStyle w:val="Caption"/>
      </w:pPr>
      <w:r>
        <w:rPr>
          <w:b w:val="0"/>
        </w:rPr>
        <w:t>以上为案例规则说明，供演示时核对模型回答。所有行号均指演示目录中的 night-batch.cbl，另有说明的除外；不代表公司生产规则或实际交易执行结果。</w:t>
      </w:r>
    </w:p>
    <w:p>
      <w:r>
        <w:br w:type="page"/>
      </w:r>
    </w:p>
    <w:p>
      <w:pPr>
        <w:pStyle w:val="Heading1"/>
      </w:pPr>
      <w:r>
        <w:t>现场演示流程</w:t>
      </w:r>
    </w:p>
    <w:p>
      <w:r>
        <w:rPr>
          <w:b w:val="0"/>
        </w:rPr>
        <w:t>建议安排约 8 分钟讲解“业务问题、模型回答、依据核对”，另预留接口等待时间。公司接口已配置时直接运行；未配置时只能演示案例导读和本机源码读取，应明确说明接口尚未验证。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80"/>
        <w:gridCol w:w="3168"/>
        <w:gridCol w:w="5688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6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向领导展示的观察点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1 分钟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打开工作台，选择申请复核案例</w:t>
            </w:r>
          </w:p>
        </w:tc>
        <w:tc>
          <w:tcPr>
            <w:tcW w:type="dxa" w:w="56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业务问题、业务过程与预期结果；当前为案例导读。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1 分钟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点击“载入此案例”</w:t>
            </w:r>
          </w:p>
        </w:tc>
        <w:tc>
          <w:tcPr>
            <w:tcW w:type="dxa" w:w="56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实际读取源码并建立资料；这一步未调用模型。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2 分钟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保留或修改建议问题，开始业务分析</w:t>
            </w:r>
          </w:p>
        </w:tc>
        <w:tc>
          <w:tcPr>
            <w:tcW w:type="dxa" w:w="56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公司 API 本次生成的业务说明；解释条件、状态与失败影响。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1 分钟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打开“API 返回”</w:t>
            </w:r>
          </w:p>
        </w:tc>
        <w:tc>
          <w:tcPr>
            <w:tcW w:type="dxa" w:w="56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检查本次收到的原文，确认接口有没有返回以及返回了什么。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1 分钟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点击正文引用，展开阅读覆盖</w:t>
            </w:r>
          </w:p>
        </w:tc>
        <w:tc>
          <w:tcPr>
            <w:tcW w:type="dxa" w:w="56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规则是否有对应源码；哪些程序与片段已解读，哪些仍缺失。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2 分钟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换成夜间生效问题，导出摘要</w:t>
            </w:r>
          </w:p>
        </w:tc>
        <w:tc>
          <w:tcPr>
            <w:tcW w:type="dxa" w:w="56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跨程序与框架关系是否转化成业务解释，并形成可留存结果。</w:t>
            </w:r>
          </w:p>
        </w:tc>
      </w:tr>
    </w:tbl>
    <w:p>
      <w:pPr>
        <w:spacing w:after="0"/>
      </w:pPr>
    </w:p>
    <w:p>
      <w:pPr>
        <w:pStyle w:val="Heading2"/>
      </w:pPr>
      <w:r>
        <w:t>展示真实项目时的操作</w:t>
      </w:r>
    </w:p>
    <w:p>
      <w:r>
        <w:rPr>
          <w:b w:val="0"/>
        </w:rPr>
        <w:t>使用“接入源码”连接公司项目目录和独立输出目录，选择业务入口并提问。单一项目无需版本选择。针对大程序链使用完整业务链阅读；系统按可定位的调用与共享定义组织资料，分段解读后汇总，运行时间取决于实际源码范围和接口速度。</w:t>
      </w:r>
    </w:p>
    <w:p>
      <w:r>
        <w:rPr>
          <w:b/>
        </w:rPr>
        <w:t>可直接输入：这项业务从申请进入到处理完成经历哪些环节？哪些条件改变处理结果？跨程序传递了哪些业务数据，在哪里保存，失败时会怎样？请先给业务结论，再说明规则、影响和依据。</w:t>
      </w:r>
    </w:p>
    <w:p>
      <w:pPr>
        <w:pStyle w:val="Heading2"/>
      </w:pPr>
      <w:r>
        <w:t>现场遇到不完整回答时</w:t>
      </w:r>
    </w:p>
    <w:p>
      <w:r>
        <w:rPr>
          <w:b w:val="0"/>
        </w:rPr>
        <w:t>先看 API 原文，分清是没有收到响应，还是响应已经存在但解释不完整。有正文时保留并展示；部分程序缺失或部分请求失败时，说明受影响的环节。不要把“接口返回成功”当作“业务分析正确”，也不要因为局部缺口抹掉已经得到的业务说明。</w:t>
      </w:r>
    </w:p>
    <w:p>
      <w:r>
        <w:br w:type="page"/>
      </w:r>
    </w:p>
    <w:p>
      <w:pPr>
        <w:pStyle w:val="Heading1"/>
      </w:pPr>
      <w:r>
        <w:t>系统使用与验收依据</w:t>
      </w:r>
    </w:p>
    <w:p>
      <w:pPr>
        <w:pStyle w:val="Heading2"/>
      </w:pPr>
      <w:r>
        <w:t>公司电脑的启动方式</w:t>
      </w:r>
    </w:p>
    <w:p>
      <w:r>
        <w:rPr>
          <w:b w:val="0"/>
        </w:rPr>
        <w:t>按现有代码更新流程取得项目，保留原来的 .env 接口配置与本机框架资料。关闭旧服务后运行 poc\run_web.bat；环境需要 Python 3.10 或更新版本。确认接口地址、模型、认证信息及源码编码正确，然后接入目录、选择入口、提交业务问题。</w:t>
      </w:r>
    </w:p>
    <w:p>
      <w:r>
        <w:rPr>
          <w:b w:val="0"/>
        </w:rPr>
        <w:t>源码和索引保存在本机。发起模型分析时，所选源码片段和框架节录会发送到已配置接口；API 原文用于本机排错与复核。公司源码、密钥和私有框架资料不放进公开代码仓库。</w:t>
      </w:r>
    </w:p>
    <w:p>
      <w:pPr>
        <w:pStyle w:val="Heading2"/>
      </w:pPr>
      <w:r>
        <w:t>本次处理的可用性问题</w:t>
      </w:r>
    </w:p>
    <w:p>
      <w:r>
        <w:rPr>
          <w:b w:val="0"/>
        </w:rPr>
        <w:t>网页业务分析使用普通模型正文，不再把旧动作 JSON 协议作为前置要求。正常业务文字、可提取的业务 JSON 以及已有部分说明都能够保留；纯错误或空响应仍显示实际失败原因。源码变化时重新建立依据，同时保留已经收到但不能继续作为当前结论的回复。</w:t>
      </w:r>
    </w:p>
    <w:p>
      <w:r>
        <w:rPr>
          <w:b w:val="0"/>
        </w:rPr>
        <w:t>大程序改用逐文件流式索引，不再受旧的 16 MiB、24/64 文件范围截断。网页默认连续分批读取可定位的静态业务链，再按程序和跨程序层级归纳。读取完成仍需结合业务知识核对模型结论。</w:t>
      </w:r>
    </w:p>
    <w:p>
      <w:pPr>
        <w:pStyle w:val="Heading2"/>
      </w:pPr>
      <w:r>
        <w:t>已验证与现场待验收项目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704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43434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当前证据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本地功能回归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源码接入、API 原文、引用校验、长链阅读、分层汇总、失败保留及三语界面的自动化回归通过。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较大源码与长链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5F5F5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超过 16 MiB 的有效语句填充样例，全部 1,404 页进入模拟接口；另一条 36 程序链全部读取。验证容量与链路，不代表生产模型耗时或复杂业务准确率。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接口与真实业务质量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111111"/>
                <w:sz w:val="20"/>
              </w:rPr>
              <w:t>公司模型尚未在当前环境实测；需在公司电脑用实际源码核对答案、耗时和失败恢复。</w:t>
            </w:r>
          </w:p>
        </w:tc>
      </w:tr>
    </w:tbl>
    <w:p>
      <w:pPr>
        <w:spacing w:after="0"/>
      </w:pPr>
    </w:p>
    <w:p>
      <w:r>
        <w:rPr>
          <w:b w:val="0"/>
        </w:rPr>
        <w:t>现场验收应选择一条有人工已知答案的业务链：先核对关键条件和状态变化，再核对保存、提交及异常影响；确认末端程序进入阅读范围，并能打开真实引用。改变案例阈值后重新分析，回答与依据也应随源码变化。</w:t>
      </w:r>
    </w:p>
    <w:p>
      <w:r>
        <w:rPr>
          <w:b w:val="0"/>
        </w:rPr>
        <w:t>动态调用和配置路由需要对应资料才能确定目标；缺失实现、接口失败及尚未阅读的范围必须具体标注。系统可先给出有依据的部分说明，但不能把未确认环节描述成已经完成的业务事实。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COBOL 业务分析系统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60"/>
    </w:pPr>
    <w:rPr>
      <w:rFonts w:ascii="Arial" w:hAnsi="Arial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cstheme="majorBidi" w:ascii="Arial" w:hAnsi="Arial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cstheme="majorBidi" w:ascii="Arial" w:hAnsi="Arial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80"/>
      <w:outlineLvl w:val="2"/>
    </w:pPr>
    <w:rPr>
      <w:rFonts w:cstheme="majorBidi" w:ascii="Arial" w:hAnsi="Arial" w:eastAsia="Microsoft YaHe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cstheme="majorBidi" w:ascii="Arial" w:hAnsi="Arial" w:eastAsia="Microsoft YaHei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80"/>
    </w:pPr>
    <w:rPr>
      <w:rFonts w:cstheme="majorBidi" w:ascii="Arial" w:hAnsi="Arial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COBOL 业务分析系统 POC 演示说明</dc:title>
  <dc:subject>面向业务管理者的能力说明与现场演示流程</dc:subject>
  <dc:creator/>
  <cp:keywords>业务分析 COBOL POC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