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8"/>
          <w:szCs w:val="28"/>
        </w:rPr>
        <w:t xml:space="preserve">CENTRE DE PROMOTION MÉDICO-SANITAIRE (CPMI)</w:t>
      </w:r>
    </w:p>
    <w:p>
      <w:pPr>
        <w:spacing w:after="8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20"/>
          <w:szCs w:val="20"/>
        </w:rPr>
        <w:t xml:space="preserve">Laboratoire d'Analyses de Biologie Médicale</w:t>
      </w:r>
    </w:p>
    <w:p>
      <w:pPr>
        <w:pBdr>
          <w:bottom w:val="single" w:color="1F4E79" w:sz="18"/>
        </w:pBdr>
        <w:spacing w:after="60"/>
      </w:pPr>
    </w:p>
    <w:p>
      <w:pPr>
        <w:spacing w:after="160" w:before="10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6"/>
          <w:szCs w:val="26"/>
        </w:rPr>
        <w:t xml:space="preserve">COMPTE RENDU D'ANALYSES BIOLOGIQUES</w:t>
      </w:r>
    </w:p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"/>
              <w:bottom w:type="dxa" w:w="2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Patient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NADIA ABDOU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"/>
              <w:bottom w:type="dxa" w:w="2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N° Dossier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D-2026-0641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"/>
              <w:bottom w:type="dxa" w:w="2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Âge / Sexe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32 ans  ·  F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"/>
              <w:bottom w:type="dxa" w:w="2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Prélevé le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16/08/2026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"/>
              <w:bottom w:type="dxa" w:w="2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Prescripteur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Dr. SANI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"/>
              <w:bottom w:type="dxa" w:w="2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Édité le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16/08/2026</w:t>
            </w:r>
          </w:p>
        </w:tc>
      </w:tr>
    </w:tbl>
    <w:p>
      <w:pPr>
        <w:pBdr>
          <w:bottom w:val="single" w:color="BDD7EE" w:sz="4"/>
        </w:pBdr>
        <w:spacing w:after="80"/>
      </w:pPr>
    </w:p>
    <w:p>
      <w:pPr>
        <w:shd w:fill="DDEBF7" w:color="auto" w:val="clear"/>
        <w:spacing w:after="8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1"/>
          <w:szCs w:val="21"/>
        </w:rPr>
        <w:t xml:space="preserve">  🔬 HÉMATOLOGIE — Numération Formule Sanguine (NFS) + VS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1500"/>
        <w:gridCol w:w="1500"/>
        <w:gridCol w:w="2500"/>
      </w:tblGrid>
      <w:tr>
        <w:trPr>
          <w:tblHeader/>
        </w:trPr>
        <w:tc>
          <w:tcPr>
            <w:tcW w:type="dxa" w:w="3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Unité</w:t>
            </w:r>
          </w:p>
        </w:tc>
        <w:tc>
          <w:tcPr>
            <w:tcW w:type="dxa" w:w="2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Valeurs de référence</w:t>
            </w:r>
          </w:p>
        </w:tc>
      </w:tr>
      <w:tr>
        <w:tc>
          <w:tcPr>
            <w:tcW w:type="dxa" w:w="3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Globules blancs (GB)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7.2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10³/µL</w:t>
            </w:r>
          </w:p>
        </w:tc>
        <w:tc>
          <w:tcPr>
            <w:tcW w:type="dxa" w:w="2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4 – 10</w:t>
            </w:r>
          </w:p>
        </w:tc>
      </w:tr>
      <w:tr>
        <w:tc>
          <w:tcPr>
            <w:tcW w:type="dxa" w:w="3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5F5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Globules rouges (GR)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5F5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3.9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5F5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10⁶/µL</w:t>
            </w:r>
          </w:p>
        </w:tc>
        <w:tc>
          <w:tcPr>
            <w:tcW w:type="dxa" w:w="2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5F5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4.0 – 5.0</w:t>
            </w:r>
          </w:p>
        </w:tc>
      </w:tr>
      <w:tr>
        <w:tc>
          <w:tcPr>
            <w:tcW w:type="dxa" w:w="3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Hémoglobine (Hb)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10.8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g/dL</w:t>
            </w:r>
          </w:p>
        </w:tc>
        <w:tc>
          <w:tcPr>
            <w:tcW w:type="dxa" w:w="2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12 – 16</w:t>
            </w:r>
          </w:p>
        </w:tc>
      </w:tr>
      <w:tr>
        <w:tc>
          <w:tcPr>
            <w:tcW w:type="dxa" w:w="3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5F5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Hématocrite (Ht)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5F5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34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5F5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%</w:t>
            </w:r>
          </w:p>
        </w:tc>
        <w:tc>
          <w:tcPr>
            <w:tcW w:type="dxa" w:w="2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5F5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37 – 47</w:t>
            </w:r>
          </w:p>
        </w:tc>
      </w:tr>
      <w:tr>
        <w:tc>
          <w:tcPr>
            <w:tcW w:type="dxa" w:w="3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VGM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87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fL</w:t>
            </w:r>
          </w:p>
        </w:tc>
        <w:tc>
          <w:tcPr>
            <w:tcW w:type="dxa" w:w="2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80 – 100</w:t>
            </w:r>
          </w:p>
        </w:tc>
      </w:tr>
      <w:tr>
        <w:tc>
          <w:tcPr>
            <w:tcW w:type="dxa" w:w="3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5F5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TCMH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5F5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27.7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5F5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pg</w:t>
            </w:r>
          </w:p>
        </w:tc>
        <w:tc>
          <w:tcPr>
            <w:tcW w:type="dxa" w:w="2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5F5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27 – 32</w:t>
            </w:r>
          </w:p>
        </w:tc>
      </w:tr>
      <w:tr>
        <w:tc>
          <w:tcPr>
            <w:tcW w:type="dxa" w:w="3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CCMH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31.8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g/dL</w:t>
            </w:r>
          </w:p>
        </w:tc>
        <w:tc>
          <w:tcPr>
            <w:tcW w:type="dxa" w:w="2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32 – 36</w:t>
            </w:r>
          </w:p>
        </w:tc>
      </w:tr>
      <w:tr>
        <w:tc>
          <w:tcPr>
            <w:tcW w:type="dxa" w:w="3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5F5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Plaquettes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5F5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265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5F5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10³/µL</w:t>
            </w:r>
          </w:p>
        </w:tc>
        <w:tc>
          <w:tcPr>
            <w:tcW w:type="dxa" w:w="2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5F5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150 – 400</w:t>
            </w:r>
          </w:p>
        </w:tc>
      </w:tr>
      <w:tr>
        <w:tc>
          <w:tcPr>
            <w:tcW w:type="dxa" w:w="3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VS (1ère heure)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mm/h</w:t>
            </w:r>
          </w:p>
        </w:tc>
        <w:tc>
          <w:tcPr>
            <w:tcW w:type="dxa" w:w="2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&lt; 20</w:t>
            </w:r>
          </w:p>
        </w:tc>
      </w:tr>
    </w:tbl>
    <w:p>
      <w:pPr>
        <w:spacing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800"/>
        <w:gridCol w:w="1600"/>
        <w:gridCol w:w="2400"/>
      </w:tblGrid>
      <w:tr>
        <w:trPr>
          <w:tblHeader/>
        </w:trP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Formule leucocytaire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%</w:t>
            </w:r>
          </w:p>
        </w:tc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Réf. (%)</w:t>
            </w:r>
          </w:p>
        </w:tc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Valeur absolue (/µL)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Polynucléaires neutrophiles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58</w:t>
            </w:r>
          </w:p>
        </w:tc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%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50 – 70</w:t>
            </w:r>
          </w:p>
        </w:tc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4176 /µL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5F5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Polynucléaires éosinophiles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5F5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5F5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%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5F5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1 – 5</w:t>
            </w:r>
          </w:p>
        </w:tc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5F5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216 /µL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Polynucléaires basophiles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%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0 – 1</w:t>
            </w:r>
          </w:p>
        </w:tc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 /µL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5F5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Lymphocytes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5F5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5F5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%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5F5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20 – 40</w:t>
            </w:r>
          </w:p>
        </w:tc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5F5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2304 /µL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Monocytes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%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2 – 10</w:t>
            </w:r>
          </w:p>
        </w:tc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504 /µL</w:t>
            </w:r>
          </w:p>
        </w:tc>
      </w:tr>
    </w:tbl>
    <w:p>
      <w:pPr>
        <w:spacing w:after="30" w:before="5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6"/>
          <w:szCs w:val="16"/>
        </w:rPr>
        <w:t xml:space="preserve">▲ Valeurs en rouge gras : hors des valeurs de référence (Femme adulte).</w:t>
      </w:r>
    </w:p>
    <w:p>
      <w:pPr>
        <w:shd w:fill="DDEBF7" w:color="auto" w:val="clear"/>
        <w:spacing w:after="8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1"/>
          <w:szCs w:val="21"/>
        </w:rPr>
        <w:t xml:space="preserve">  🦟 PARASITOLOGIE — Goutte Épaisse / Frottis (GE)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800"/>
      </w:tblGrid>
      <w:tr>
        <w:trPr>
          <w:tblHeader/>
        </w:trPr>
        <w:tc>
          <w:tcPr>
            <w:tcW w:type="dxa" w:w="3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5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Résultat</w:t>
            </w:r>
          </w:p>
        </w:tc>
      </w:tr>
      <w:tr>
        <w:tc>
          <w:tcPr>
            <w:tcW w:type="dxa" w:w="3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5F5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Résultat</w:t>
            </w:r>
          </w:p>
        </w:tc>
        <w:tc>
          <w:tcPr>
            <w:tcW w:type="dxa" w:w="5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5F5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Positif</w:t>
            </w:r>
          </w:p>
        </w:tc>
      </w:tr>
      <w:tr>
        <w:tc>
          <w:tcPr>
            <w:tcW w:type="dxa" w:w="3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Parasite identifié</w:t>
            </w:r>
          </w:p>
        </w:tc>
        <w:tc>
          <w:tcPr>
            <w:tcW w:type="dxa" w:w="5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Plasmodium falciparum</w:t>
            </w:r>
          </w:p>
        </w:tc>
      </w:tr>
      <w:tr>
        <w:tc>
          <w:tcPr>
            <w:tcW w:type="dxa" w:w="3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5F5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Stade</w:t>
            </w:r>
          </w:p>
        </w:tc>
        <w:tc>
          <w:tcPr>
            <w:tcW w:type="dxa" w:w="5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5F5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Trophozoïtes</w:t>
            </w:r>
          </w:p>
        </w:tc>
      </w:tr>
      <w:tr>
        <w:tc>
          <w:tcPr>
            <w:tcW w:type="dxa" w:w="3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Densité parasitaire</w:t>
            </w:r>
          </w:p>
        </w:tc>
        <w:tc>
          <w:tcPr>
            <w:tcW w:type="dxa" w:w="5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++</w:t>
            </w:r>
          </w:p>
        </w:tc>
      </w:tr>
    </w:tbl>
    <w:p>
      <w:pPr>
        <w:shd w:fill="DDEBF7" w:color="auto" w:val="clear"/>
        <w:spacing w:after="8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595959"/>
          <w:sz w:val="21"/>
          <w:szCs w:val="21"/>
        </w:rPr>
        <w:t xml:space="preserve">  🧪 BIOLOGIE — CRP (Protéine C Réactive)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5F5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— Examen non réalisé sur ce dossier —</w:t>
            </w:r>
          </w:p>
        </w:tc>
      </w:tr>
    </w:tbl>
    <w:p>
      <w:pPr>
        <w:pBdr>
          <w:top w:val="single" w:color="1F4E79" w:sz="4"/>
        </w:pBdr>
        <w:spacing w:before="160"/>
      </w:pPr>
    </w:p>
    <w:p>
      <w:pPr>
        <w:spacing w:before="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5"/>
          <w:szCs w:val="15"/>
        </w:rPr>
        <w:t xml:space="preserve">Ce document est confidentiel — Résultats à interpréter par un professionnel de santé.</w:t>
      </w:r>
    </w:p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5200"/>
        <w:gridCol w:w="20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</w:tcMar>
          </w:tcPr>
          <w:p>
            <w:pPr>
              <w:jc w:val="left"/>
            </w:pPr>
            <w:r>
              <w:drawing>
                <wp:inline distT="0" distB="0" distL="0" distR="0">
                  <wp:extent cx="762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4"/>
                <w:szCs w:val="14"/>
              </w:rPr>
              <w:t xml:space="preserve">Scanner pour vérifier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Le Technicien Biologiste</w:t>
            </w:r>
          </w:p>
          <w:p>
            <w:pPr>
              <w:spacing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MOUSSA Ibrahim</w:t>
            </w:r>
          </w:p>
          <w:p>
            <w:pPr>
              <w:spacing w:before="20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Signature et cachet</w:t>
            </w:r>
          </w:p>
        </w:tc>
      </w:tr>
    </w:tbl>
    <w:sectPr>
      <w:pgSz w:w="11906" w:h="16838" w:orient="portrait"/>
      <w:pgMar w:top="580" w:right="850" w:bottom="58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081be3e65440fff7109baa723f23ae7720ef72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2026-08-16T22:35:18.093Z</dcterms:created>
  <dcterms:modified xsi:type="dcterms:W3CDTF">2026-08-16T22:35:18.093Z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