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pBdr>
          <w:bottom w:val="single" w:sz="12" w:space="5" w:color="2F75B5"/>
        </w:pBdr>
      </w:pPr>
      <w:r>
        <w:rPr>
          <w:rFonts w:ascii="Aptos Display" w:hAnsi="Aptos Display"/>
          <w:b/>
          <w:color w:val="17365D"/>
          <w:sz w:val="40"/>
        </w:rPr>
        <w:t>CREDRESOLVE | EXECUTIVE DECISION MEMO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61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5F1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TO</w:t>
            </w:r>
          </w:p>
        </w:tc>
        <w:tc>
          <w:tcPr>
            <w:tcW w:type="dxa" w:w="86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CEO and Investment Committee</w:t>
            </w:r>
          </w:p>
        </w:tc>
      </w:tr>
      <w:tr>
        <w:tc>
          <w:tcPr>
            <w:tcW w:type="dxa" w:w="161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5F1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SUBJECT</w:t>
            </w:r>
          </w:p>
        </w:tc>
        <w:tc>
          <w:tcPr>
            <w:tcW w:type="dxa" w:w="86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Recovery claim and ₹10 crore investment decision</w:t>
            </w:r>
          </w:p>
        </w:tc>
      </w:tr>
      <w:tr>
        <w:tc>
          <w:tcPr>
            <w:tcW w:type="dxa" w:w="161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5F1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17365D"/>
                <w:sz w:val="15"/>
              </w:rPr>
              <w:t>EVIDENCE WINDOW</w:t>
            </w:r>
          </w:p>
        </w:tc>
        <w:tc>
          <w:tcPr>
            <w:tcW w:type="dxa" w:w="86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Payment events: 1 Jan–8 Aug 2026 (August is partial)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8"/>
              </w:rPr>
              <w:t xml:space="preserve">DECISION: </w:t>
            </w:r>
            <w:r>
              <w:rPr>
                <w:rFonts w:ascii="Aptos" w:hAnsi="Aptos"/>
                <w:color w:val="263746"/>
                <w:sz w:val="18"/>
              </w:rPr>
              <w:t>Select Better borrower targeting as the single area to test, but do not commit the full ₹10 crore upfront. First repair measurement gaps and run a controlled pilot; scale only if incremental net recovery after full costs is demonstrated.</w:t>
            </w:r>
          </w:p>
        </w:tc>
      </w:tr>
    </w:tbl>
    <w:p>
      <w:pPr>
        <w:pStyle w:val="Heading1"/>
        <w:keepNext/>
      </w:pPr>
      <w:r>
        <w:t>1 | What happened? Is the reported 11% improvement real?</w:t>
      </w:r>
    </w:p>
    <w:p>
      <w:pPr>
        <w:widowControl/>
      </w:pPr>
      <w:r>
        <w:t>The claim is not supported as sustained month-on-month growth in the available gross successful-payment series. One month (February to March) rose 11.03%, but the gains did not persist. January-to-July gross amount changed by only +0.007% (effectively flat).</w:t>
      </w:r>
    </w:p>
    <w:p>
      <w:pPr>
        <w:widowControl/>
      </w:pPr>
      <w:r>
        <w:t>After consolidating repeated payment IDs whose core fields agree, the cleaned series contains 17,534 successful payment IDs and ₹131.56 crore in gross successful payments. This is not verified net recovery: reversals cannot yet be linked reliably to original payments.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E0E8"/>
          <w:left w:val="single" w:sz="3" w:color="D7E0E8"/>
          <w:bottom w:val="single" w:sz="3" w:color="D7E0E8"/>
          <w:right w:val="single" w:sz="3" w:color="D7E0E8"/>
          <w:insideH w:val="single" w:sz="3" w:color="D7E0E8"/>
          <w:insideV w:val="single" w:sz="3" w:color="D7E0E8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Month</w:t>
            </w:r>
          </w:p>
        </w:tc>
        <w:tc>
          <w:tcPr>
            <w:tcW w:type="dxa" w:w="33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Gross successful amount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MoM change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Jan 2026</w:t>
            </w:r>
          </w:p>
        </w:tc>
        <w:tc>
          <w:tcPr>
            <w:tcW w:type="dxa" w:w="33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₹18.72 Cr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—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Feb 2026</w:t>
            </w:r>
          </w:p>
        </w:tc>
        <w:tc>
          <w:tcPr>
            <w:tcW w:type="dxa" w:w="33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₹17.01 Cr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−9.13%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Mar 2026</w:t>
            </w:r>
          </w:p>
        </w:tc>
        <w:tc>
          <w:tcPr>
            <w:tcW w:type="dxa" w:w="33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₹18.89 Cr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+11.03%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Apr 2026</w:t>
            </w:r>
          </w:p>
        </w:tc>
        <w:tc>
          <w:tcPr>
            <w:tcW w:type="dxa" w:w="33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₹17.51 Cr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−7.29%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May 2026</w:t>
            </w:r>
          </w:p>
        </w:tc>
        <w:tc>
          <w:tcPr>
            <w:tcW w:type="dxa" w:w="33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₹18.43 Cr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+5.20%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Jun 2026</w:t>
            </w:r>
          </w:p>
        </w:tc>
        <w:tc>
          <w:tcPr>
            <w:tcW w:type="dxa" w:w="33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₹17.56 Cr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−4.72%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Jul 2026</w:t>
            </w:r>
          </w:p>
        </w:tc>
        <w:tc>
          <w:tcPr>
            <w:tcW w:type="dxa" w:w="33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₹18.72 Cr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+6.65%</w:t>
            </w:r>
          </w:p>
        </w:tc>
      </w:tr>
      <w:tr>
        <w:tc>
          <w:tcPr>
            <w:tcW w:type="dxa" w:w="165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Aug 1–8</w:t>
            </w:r>
          </w:p>
        </w:tc>
        <w:tc>
          <w:tcPr>
            <w:tcW w:type="dxa" w:w="33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₹4.71 Cr</w:t>
            </w:r>
          </w:p>
        </w:tc>
        <w:tc>
          <w:tcPr>
            <w:tcW w:type="dxa" w:w="24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Partial month</w:t>
            </w:r>
          </w:p>
        </w:tc>
      </w:tr>
    </w:tbl>
    <w:p>
      <w:pPr>
        <w:widowControl/>
      </w:pPr>
      <w:r>
        <w:t>Account payment coverage is 44.28% (13,284 of 30,000 accounts with ≥1 successful payment). This is a descriptive coverage measure—not a recovery rate.</w:t>
      </w:r>
    </w:p>
    <w:p>
      <w:pPr>
        <w:pStyle w:val="Heading1"/>
        <w:keepNext/>
      </w:pPr>
      <w:r>
        <w:t>2 | Why can’t we attribute the change confidently?</w:t>
      </w:r>
    </w:p>
    <w:p>
      <w:pPr>
        <w:spacing w:after="28"/>
        <w:ind w:left="187" w:hanging="158"/>
      </w:pPr>
      <w:r>
        <w:rPr>
          <w:color w:val="2F75B5"/>
        </w:rPr>
        <w:t xml:space="preserve">• </w:t>
      </w:r>
      <w:r>
        <w:rPr>
          <w:b/>
        </w:rPr>
        <w:t xml:space="preserve">FACT — Payment duplication. </w:t>
      </w:r>
      <w:r>
        <w:t>25,500 raw payment rows reduce to 25,000 canonical payment IDs (500 repeated-ID groups). 3,407 payment references are reused across 7,218 IDs; reference alone is not a safe deduplication key.</w:t>
      </w:r>
    </w:p>
    <w:p>
      <w:pPr>
        <w:spacing w:after="28"/>
        <w:ind w:left="187" w:hanging="158"/>
      </w:pPr>
      <w:r>
        <w:rPr>
          <w:color w:val="2F75B5"/>
        </w:rPr>
        <w:t xml:space="preserve">• </w:t>
      </w:r>
      <w:r>
        <w:rPr>
          <w:b/>
        </w:rPr>
        <w:t xml:space="preserve">STRONG EVIDENCE — Attribution and identities. </w:t>
      </w:r>
      <w:r>
        <w:t>15,253 targeting rows precede campaign start dates and 20,886 fall after campaign end dates under calendar-date checks. Borrower/agent identifiers conflict, limiting channel, campaign, agent and borrower-level conclusions.</w:t>
      </w:r>
    </w:p>
    <w:p>
      <w:pPr>
        <w:spacing w:after="28"/>
        <w:ind w:left="187" w:hanging="158"/>
      </w:pPr>
      <w:r>
        <w:rPr>
          <w:color w:val="2F75B5"/>
        </w:rPr>
        <w:t xml:space="preserve">• </w:t>
      </w:r>
      <w:r>
        <w:rPr>
          <w:b/>
        </w:rPr>
        <w:t xml:space="preserve">FACT — Portfolio anomalies. </w:t>
      </w:r>
      <w:r>
        <w:t>22,461 CLOSED/PAID/WRITEOFF accounts still show positive outstanding; 13,029 have outstanding above principal; 5,453 are over 90 DPD.</w:t>
      </w:r>
    </w:p>
    <w:p>
      <w:pPr>
        <w:spacing w:after="28"/>
        <w:ind w:left="187" w:hanging="158"/>
      </w:pPr>
      <w:r>
        <w:rPr>
          <w:color w:val="2F75B5"/>
        </w:rPr>
        <w:t xml:space="preserve">• </w:t>
      </w:r>
      <w:r>
        <w:rPr>
          <w:b/>
        </w:rPr>
        <w:t xml:space="preserve">LIMITATION — Time and coverage. </w:t>
      </w:r>
      <w:r>
        <w:t>Naive timestamp checks flag 30,191 of 60,000 status-history rows with recorded_at earlier than event_at; time-zone normalization is needed. Only seven full months plus eight August days are available, not a full 12-month history.</w:t>
      </w:r>
    </w:p>
    <w:p>
      <w:pPr>
        <w:widowControl/>
      </w:pPr>
      <w:r>
        <w:t>Conclusion classification: HIGH confidence that sustained +11% growth is absent from the gross-payment proxy; LOW confidence about true net-recovery change or its cause. Segment coverage is similar across current risk groups (43.70% HIGH vs 45.00% LOW), but these unadjusted snapshot comparisons do not establish causality or rule out mix effects.</w:t>
      </w:r>
    </w:p>
    <w:p>
      <w:pPr>
        <w:spacing w:after="0"/>
      </w:pPr>
      <w:r>
        <w:br w:type="page"/>
      </w:r>
    </w:p>
    <w:p>
      <w:pPr>
        <w:pStyle w:val="Heading1"/>
        <w:keepNext/>
      </w:pPr>
      <w:r>
        <w:t>3 | Where should we invest ₹10 crore?</w:t>
      </w:r>
    </w:p>
    <w:p>
      <w:pPr>
        <w:widowControl/>
      </w:pPr>
      <w:r>
        <w:t>One area to test: Better borrower targeting. This is the closest fit to the stated strategy-change question and can be evaluated through a controlled experiment. It is a testable candidate, not a proven winner over telephony, agents, AI voice, digital engagement or field operations.</w:t>
      </w:r>
    </w:p>
    <w:p>
      <w:pPr>
        <w:pStyle w:val="Heading1"/>
        <w:keepNext/>
      </w:pPr>
      <w:r>
        <w:t>Expected impact, cost, ROI and break-even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E0E8"/>
          <w:left w:val="single" w:sz="3" w:color="D7E0E8"/>
          <w:bottom w:val="single" w:sz="3" w:color="D7E0E8"/>
          <w:right w:val="single" w:sz="3" w:color="D7E0E8"/>
          <w:insideH w:val="single" w:sz="3" w:color="D7E0E8"/>
          <w:insideV w:val="single" w:sz="3" w:color="D7E0E8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22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Decision item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What can be supported now</w:t>
            </w:r>
          </w:p>
        </w:tc>
      </w:tr>
      <w:tr>
        <w:tc>
          <w:tcPr>
            <w:tcW w:type="dxa" w:w="22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Expected incremental recovery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Not estimable from current data: net reversals, treatment assignment and a reliable control outcome are missing.</w:t>
            </w:r>
          </w:p>
        </w:tc>
      </w:tr>
      <w:tr>
        <w:tc>
          <w:tcPr>
            <w:tcW w:type="dxa" w:w="22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Estimated cost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The stated envelope is ₹10 crore. Actual pilot and fully loaded delivery costs are unavailable; cost them before launch.</w:t>
            </w:r>
          </w:p>
        </w:tc>
      </w:tr>
      <w:tr>
        <w:tc>
          <w:tcPr>
            <w:tcW w:type="dxa" w:w="22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Expected ROI / confidence range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Not estimable. No defensible causal uplift or empirical confidence interval exists yet. Do not present a scenario as a forecast.</w:t>
            </w:r>
          </w:p>
        </w:tc>
      </w:tr>
      <w:tr>
        <w:tc>
          <w:tcPr>
            <w:tcW w:type="dxa" w:w="22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Break-even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Incremental net collections must exceed fully loaded incremental costs over the same horizon. A full ₹10 crore spend needs &gt;₹10 crore incremental net collections before any omitted costs to create positive net benefit.</w:t>
            </w:r>
          </w:p>
        </w:tc>
      </w:tr>
      <w:tr>
        <w:tc>
          <w:tcPr>
            <w:tcW w:type="dxa" w:w="22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Illustrative sensitivity only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Applying 1%, 5% or 10% to the historical ₹131.56 crore gross proxy gives ₹1.32 crore, ₹6.58 crore or ₹13.16 crore. These are not expected incremental net recovery, profit or ROI.</w:t>
            </w:r>
          </w:p>
        </w:tc>
      </w:tr>
      <w:tr>
        <w:tc>
          <w:tcPr>
            <w:tcW w:type="dxa" w:w="22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Downside scenario</w:t>
            </w:r>
          </w:p>
        </w:tc>
        <w:tc>
          <w:tcPr>
            <w:tcW w:type="dxa" w:w="79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color w:val="263746"/>
                <w:sz w:val="15"/>
              </w:rPr>
              <w:t>Zero or negative uplift, pilot cost lost, extra contact/operating expense, or increased complaints. Stage funding to cap downside.</w:t>
            </w:r>
          </w:p>
        </w:tc>
      </w:tr>
    </w:tbl>
    <w:p>
      <w:pPr>
        <w:pStyle w:val="Heading1"/>
        <w:keepNext/>
      </w:pPr>
      <w:r>
        <w:t>4 | Required counterfactual pilot</w:t>
      </w:r>
    </w:p>
    <w:p>
      <w:pPr>
        <w:spacing w:after="28"/>
        <w:ind w:left="187" w:hanging="158"/>
      </w:pPr>
      <w:r>
        <w:rPr>
          <w:color w:val="2F75B5"/>
        </w:rPr>
        <w:t xml:space="preserve">• </w:t>
      </w:r>
      <w:r>
        <w:rPr>
          <w:b/>
        </w:rPr>
        <w:t xml:space="preserve">Treatment / control: </w:t>
      </w:r>
      <w:r>
        <w:t>Randomly assign eligible accounts to new targeting versus business-as-usual; stratify by pre-treatment DPD, risk, outstanding-balance band and loan type. Preserve every assigned account—including accounts never contacted—in the intent-to-treat denominator.</w:t>
      </w:r>
    </w:p>
    <w:p>
      <w:pPr>
        <w:spacing w:after="28"/>
        <w:ind w:left="187" w:hanging="158"/>
      </w:pPr>
      <w:r>
        <w:rPr>
          <w:color w:val="2F75B5"/>
        </w:rPr>
        <w:t xml:space="preserve">• </w:t>
      </w:r>
      <w:r>
        <w:rPr>
          <w:b/>
        </w:rPr>
        <w:t xml:space="preserve">Primary outcome: </w:t>
      </w:r>
      <w:r>
        <w:t>30-day net collections per eligible account, including zero-payment accounts, with reversals/refunds linked to originals. Use 60-/90-day outcomes as secondary checks; calculate sample size before launch.</w:t>
      </w:r>
    </w:p>
    <w:p>
      <w:pPr>
        <w:spacing w:after="28"/>
        <w:ind w:left="187" w:hanging="158"/>
      </w:pPr>
      <w:r>
        <w:rPr>
          <w:color w:val="2F75B5"/>
        </w:rPr>
        <w:t xml:space="preserve">• </w:t>
      </w:r>
      <w:r>
        <w:rPr>
          <w:b/>
        </w:rPr>
        <w:t xml:space="preserve">Analysis: </w:t>
      </w:r>
      <w:r>
        <w:t>Compare treatment with control over identical windows; report incremental net recovery, full costs, ROI and confidence intervals. Check balance, pre-trends where available, complaints and contact burden. Do not use “latest touch wins” as causal attribution.</w:t>
      </w:r>
    </w:p>
    <w:p>
      <w:pPr>
        <w:pStyle w:val="Heading1"/>
        <w:keepNext/>
      </w:pPr>
      <w:r>
        <w:t>5 | Confidence, assumptions and decision requested</w:t>
      </w:r>
    </w:p>
    <w:p>
      <w:pPr>
        <w:spacing w:after="28"/>
        <w:ind w:left="187" w:hanging="158"/>
      </w:pPr>
      <w:r>
        <w:rPr>
          <w:color w:val="2F75B5"/>
        </w:rPr>
        <w:t xml:space="preserve">• </w:t>
      </w:r>
      <w:r>
        <w:rPr>
          <w:b/>
        </w:rPr>
        <w:t xml:space="preserve">High confidence: </w:t>
      </w:r>
      <w:r>
        <w:t>the available cleaned gross-payment series does not show sustained +11% month-on-month growth.</w:t>
      </w:r>
    </w:p>
    <w:p>
      <w:pPr>
        <w:spacing w:after="28"/>
        <w:ind w:left="187" w:hanging="158"/>
      </w:pPr>
      <w:r>
        <w:rPr>
          <w:color w:val="2F75B5"/>
        </w:rPr>
        <w:t xml:space="preserve">• </w:t>
      </w:r>
      <w:r>
        <w:rPr>
          <w:b/>
        </w:rPr>
        <w:t xml:space="preserve">Low confidence: </w:t>
      </w:r>
      <w:r>
        <w:t>the true recovery-rate trend, causal operational drivers, ROI and financial break-even; current data does not identify them reliably.</w:t>
      </w:r>
    </w:p>
    <w:p>
      <w:pPr>
        <w:spacing w:after="28"/>
        <w:ind w:left="187" w:hanging="158"/>
      </w:pPr>
      <w:r>
        <w:rPr>
          <w:color w:val="2F75B5"/>
        </w:rPr>
        <w:t xml:space="preserve">• </w:t>
      </w:r>
      <w:r>
        <w:rPr>
          <w:b/>
        </w:rPr>
        <w:t xml:space="preserve">Needed before scale: </w:t>
      </w:r>
      <w:r>
        <w:t>approved strategy cutover and account assignment history; full historical eligible-account snapshots; stable borrower/agent crosswalks; canonical event-time/time-zone rules; payment-to-reversal links; cost data; and a metric contract defining denominator, attribution window and exclusions.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2F0D9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7365D"/>
                <w:sz w:val="18"/>
              </w:rPr>
              <w:t xml:space="preserve">DECISION REQUEST: </w:t>
            </w:r>
            <w:r>
              <w:rPr>
                <w:rFonts w:ascii="Aptos" w:hAnsi="Aptos"/>
                <w:color w:val="263746"/>
                <w:sz w:val="18"/>
              </w:rPr>
              <w:t>Approve data reconciliation and a capped randomized Better borrower targeting pilot. Release the remaining budget only if incremental net recovery is statistically and operationally credible, positive after full costs, and within complaint/compliance guardrails.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62" w:right="893" w:bottom="691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86775"/>
        <w:sz w:val="14"/>
      </w:rPr>
      <w:t>Internal analysis • Challenge dataset through 8 Aug 2026 • Validate before investment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86775"/>
        <w:sz w:val="15"/>
      </w:rPr>
      <w:t>CREDRESOLVE  /  ANALYTICS DECISION SUPPORT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5" w:lineRule="auto"/>
    </w:pPr>
    <w:rPr>
      <w:rFonts w:ascii="Aptos" w:hAnsi="Aptos"/>
      <w:color w:val="26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5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5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5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CredResolve Executive Decision Memo</dc:title>
  <dc:subject>Recovery trend assessment and ₹10 crore investment decision</dc:subject>
  <dc:creator>CredResolve Analytics Team</dc:creator>
  <cp:keywords>CredResolve, recovery, data quality, counterfactual, investment memo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