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15" w:lineRule="auto"/>
        <w:rPr>
          <w:rFonts w:ascii="Arial" w:cs="Arial" w:eastAsia="Arial" w:hAnsi="Arial"/>
          <w:color w:val="2b6cc4"/>
        </w:rPr>
      </w:pPr>
      <w:r w:rsidDel="00000000" w:rsidR="00000000" w:rsidRPr="00000000">
        <w:rPr>
          <w:rFonts w:ascii="Arial" w:cs="Arial" w:eastAsia="Arial" w:hAnsi="Arial"/>
          <w:color w:val="2b6cc4"/>
          <w:rtl w:val="0"/>
        </w:rPr>
        <w:t xml:space="preserve">CONTRAT-CADRE DE SERVICES (MASTER SERVICE AGREEMENT)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4a4a4a"/>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color w:val="4a4a4a"/>
          <w:rtl w:val="0"/>
        </w:rPr>
        <w:t xml:space="preserve">ENTRE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4a4a4a"/>
        </w:rPr>
      </w:pPr>
      <w:r w:rsidDel="00000000" w:rsidR="00000000" w:rsidRPr="00000000">
        <w:rPr>
          <w:rFonts w:ascii="Arial" w:cs="Arial" w:eastAsia="Arial" w:hAnsi="Arial"/>
          <w:b w:val="1"/>
          <w:bCs w:val="1"/>
          <w:color w:val="4a4a4a"/>
          <w:rtl w:val="0"/>
        </w:rPr>
        <w:t xml:space="preserve">MAD DevOps</w:t>
      </w:r>
      <w:r w:rsidDel="00000000" w:rsidR="00000000" w:rsidRPr="00000000">
        <w:rPr>
          <w:rFonts w:ascii="Arial" w:cs="Arial" w:eastAsia="Arial" w:hAnsi="Arial"/>
          <w:color w:val="4a4a4a"/>
          <w:rtl w:val="0"/>
        </w:rPr>
        <w:t xml:space="preserve">, studio logiciel indépendant représenté par Marc-André Dufour, ayant son principal lieu d'affaires au Québec, Canada (ci-après désigné « </w:t>
      </w:r>
      <w:r w:rsidDel="00000000" w:rsidR="00000000" w:rsidRPr="00000000">
        <w:rPr>
          <w:rFonts w:ascii="Arial" w:cs="Arial" w:eastAsia="Arial" w:hAnsi="Arial"/>
          <w:b w:val="1"/>
          <w:bCs w:val="1"/>
          <w:color w:val="4a4a4a"/>
          <w:rtl w:val="0"/>
        </w:rPr>
        <w:t xml:space="preserve">MAD DevOps</w:t>
      </w:r>
      <w:r w:rsidDel="00000000" w:rsidR="00000000" w:rsidRPr="00000000">
        <w:rPr>
          <w:rFonts w:ascii="Arial" w:cs="Arial" w:eastAsia="Arial" w:hAnsi="Arial"/>
          <w:color w:val="4a4a4a"/>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4a4a4a"/>
        </w:rPr>
      </w:pPr>
      <w:r w:rsidDel="00000000" w:rsidR="00000000" w:rsidRPr="00000000">
        <w:rPr>
          <w:rFonts w:ascii="Arial" w:cs="Arial" w:eastAsia="Arial" w:hAnsi="Arial"/>
          <w:b w:val="1"/>
          <w:bCs w:val="1"/>
          <w:color w:val="4a4a4a"/>
          <w:rtl w:val="0"/>
        </w:rPr>
        <w:t xml:space="preserve">ET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4a4a4a"/>
        </w:rPr>
      </w:pPr>
      <w:r w:rsidDel="00000000" w:rsidR="00000000" w:rsidRPr="00000000">
        <w:rPr>
          <w:rFonts w:ascii="Arial" w:cs="Arial" w:eastAsia="Arial" w:hAnsi="Arial"/>
          <w:color w:val="4a4a4a"/>
          <w:rtl w:val="0"/>
        </w:rPr>
        <w:t xml:space="preserve">L'entité juridique ou la personne physique identifiée dans la Description des travaux applicable (ci-après désigné le « </w:t>
      </w:r>
      <w:r w:rsidDel="00000000" w:rsidR="00000000" w:rsidRPr="00000000">
        <w:rPr>
          <w:rFonts w:ascii="Arial" w:cs="Arial" w:eastAsia="Arial" w:hAnsi="Arial"/>
          <w:b w:val="1"/>
          <w:bCs w:val="1"/>
          <w:color w:val="4a4a4a"/>
          <w:rtl w:val="0"/>
        </w:rPr>
        <w:t xml:space="preserve">Client</w:t>
      </w:r>
      <w:r w:rsidDel="00000000" w:rsidR="00000000" w:rsidRPr="00000000">
        <w:rPr>
          <w:rFonts w:ascii="Arial" w:cs="Arial" w:eastAsia="Arial" w:hAnsi="Arial"/>
          <w:color w:val="4a4a4a"/>
          <w:rtl w:val="0"/>
        </w:rPr>
        <w:t xml:space="preserve"> »).</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color w:val="2b6cc4"/>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b6cc4"/>
          <w:rtl w:val="0"/>
        </w:rPr>
        <w:t xml:space="preserve">SECTION 1 : OBJET DU CONTRAT ET STRUCTURE DES TRAVAUX</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1.1 Objet du contrat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Le présent Contrat-Cadre de Services (le « Contrat ») a pour objet de définir les conditions juridiques, financières et opérationnelles générales sous lesquelles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s’engage à exécuter des prestations de services en développement logiciel, conseil technologique et planification d'innovation numérique pour le Client.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1.2 Structure par Description des Travaux (« SOW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Chaque prestation spécifique fera l'objet d'une annexe distincte appelée Description des travaux ou </w:t>
      </w:r>
      <w:r w:rsidDel="00000000" w:rsidR="00000000" w:rsidRPr="00000000">
        <w:rPr>
          <w:rFonts w:ascii="Arial" w:cs="Arial" w:eastAsia="Arial" w:hAnsi="Arial"/>
          <w:i w:val="1"/>
          <w:iCs w:val="1"/>
          <w:rtl w:val="0"/>
        </w:rPr>
        <w:t xml:space="preserve">Statement of Work</w:t>
      </w:r>
      <w:r w:rsidDel="00000000" w:rsidR="00000000" w:rsidRPr="00000000">
        <w:rPr>
          <w:rFonts w:ascii="Arial" w:cs="Arial" w:eastAsia="Arial" w:hAnsi="Arial"/>
          <w:rtl w:val="0"/>
        </w:rPr>
        <w:t xml:space="preserve"> (le « SOW »), signée de manière indépendante par les deux parties. Chaque SOW fera expressément référence au présent Contrat et en intégrera toutes les modalités. En cas de contradiction entre les termes du présent Contrat-cadre et d'un SOW, les dispositions du SOW prévaudront pour le projet concerné.</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1.3 Contenu obligatoire d'un SOW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Pour être valide et exécutoire, chaque Description des travaux (SOW) émise sous ce contrat devra spécifier de façon claire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La description détaillée des livrables techniques et des services à rendre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Le calendrier d'exécution, les échéanciers et les jalons de livraison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La structure tarifaire (prix fixe ou taux horaire) et les jalons financiers de facturation.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rFonts w:ascii="Arial" w:cs="Arial" w:eastAsia="Arial" w:hAnsi="Arial"/>
          <w:color w:val="2a9d8f"/>
        </w:rPr>
      </w:pPr>
      <w:r w:rsidDel="00000000" w:rsidR="00000000" w:rsidRPr="00000000">
        <w:rPr>
          <w:rFonts w:ascii="Arial" w:cs="Arial" w:eastAsia="Arial" w:hAnsi="Arial"/>
          <w:color w:val="2a9d8f"/>
          <w:rtl w:val="0"/>
        </w:rPr>
        <w:t xml:space="preserve">1.4 Indépendance des SOW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La résiliation, la fin ou la suspension d'un SOW spécifique n'entraîne pas automatiquement la résiliation du présent Contrat-cadre, ni des autres SOW en cours d'exécution.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b6cc4"/>
        </w:rPr>
      </w:pPr>
      <w:r w:rsidDel="00000000" w:rsidR="00000000" w:rsidRPr="00000000">
        <w:rPr>
          <w:rFonts w:ascii="Arial" w:cs="Arial" w:eastAsia="Arial" w:hAnsi="Arial"/>
          <w:color w:val="2b6cc4"/>
          <w:rtl w:val="0"/>
        </w:rPr>
        <w:t xml:space="preserve">SECTION 2 : PROPRIÉTÉ INTELLECTUELLE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2.1 Droits du Client (« Livrables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Sous réserve du paiement complet des honoraires prévus à la Description des travaux (SOW) applicable,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cède au Client tous les droits, titres et intérêts exclusifs sur les développements logiciels spécifiques, interfaces et configurations créés sur mesure pour le Client dans le cadre du mandat (les « Livrables »). Le Client devient pleinement propriétaire du code final et des données hébergées.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2.2 Droits de MAD DevOps (« Éléments Préexistants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conserve la propriété exclusive de tous ses droits de propriété intellectuelle préexistants à la signature du contrat ou développés de manière indépendante. Cela inclut, sans s'y limiter : les structures de bases de données (ex: modèles PostgreSQL), les architectures et composants de code réutilisables (ex: frameworks React/Node.js), ainsi que les scripts d’automatisation, outils de gestion de la charge cognitive et méthodologies logicielles (les « Éléments Préexistants »).</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2.3 Octroi de Licence au Client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Pour permettre le bon fonctionnement des Livrables,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accorde au Client une licence d’utilisation non exclusive, mondiale, perpétuelle et libre de redevances sur les </w:t>
      </w:r>
      <w:r w:rsidDel="00000000" w:rsidR="00000000" w:rsidRPr="00000000">
        <w:rPr>
          <w:rFonts w:ascii="Arial" w:cs="Arial" w:eastAsia="Arial" w:hAnsi="Arial"/>
          <w:i w:val="1"/>
          <w:iCs w:val="1"/>
          <w:rtl w:val="0"/>
        </w:rPr>
        <w:t xml:space="preserve">Éléments Préexistants</w:t>
      </w:r>
      <w:r w:rsidDel="00000000" w:rsidR="00000000" w:rsidRPr="00000000">
        <w:rPr>
          <w:rFonts w:ascii="Arial" w:cs="Arial" w:eastAsia="Arial" w:hAnsi="Arial"/>
          <w:rtl w:val="0"/>
        </w:rPr>
        <w:t xml:space="preserve"> qui sont intégrés au produit final. Le Client n’est pas autorisé à vendre, sous-licencier ou distribuer ces Éléments Préexistants de manière isolée à des tiers.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2.4 Droit d'Amélioration et Innovation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Le Client accepte que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puisse réutiliser les concepts généraux, le savoir-faire technique, les idées d'automatisation ou les optimisations d'infrastructure logicielle développés ou découverts au cours du mandat.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conserve le droit absolu d’intégrer des fonctionnalités ou des architectures similaires au sein de ses propres produits et plateformes propriétaires, notamment la </w:t>
      </w:r>
      <w:r w:rsidDel="00000000" w:rsidR="00000000" w:rsidRPr="00000000">
        <w:rPr>
          <w:rFonts w:ascii="Arial" w:cs="Arial" w:eastAsia="Arial" w:hAnsi="Arial"/>
          <w:b w:val="1"/>
          <w:bCs w:val="1"/>
          <w:rtl w:val="0"/>
        </w:rPr>
        <w:t xml:space="preserve">MADSuite</w:t>
      </w:r>
      <w:r w:rsidDel="00000000" w:rsidR="00000000" w:rsidRPr="00000000">
        <w:rPr>
          <w:rFonts w:ascii="Arial" w:cs="Arial" w:eastAsia="Arial" w:hAnsi="Arial"/>
          <w:rtl w:val="0"/>
        </w:rPr>
        <w:t xml:space="preserve">, à condition qu'aucune donnée confidentialisée ou secrète du Client ne soit divulguée.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b6cc4"/>
        </w:rPr>
      </w:pPr>
      <w:r w:rsidDel="00000000" w:rsidR="00000000" w:rsidRPr="00000000">
        <w:rPr>
          <w:rFonts w:ascii="Arial" w:cs="Arial" w:eastAsia="Arial" w:hAnsi="Arial"/>
          <w:color w:val="2b6cc4"/>
          <w:rtl w:val="0"/>
        </w:rPr>
        <w:t xml:space="preserve">SECTION 3 : RESPONSABILITÉS ET OBLIGATIONS DES PARTIES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3.1 Obligations de MAD DevOps (« Obligation de moyens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s’engage à exécuter les services décrits dans chaque Description des travaux (SOW) selon les règles de l'art et avec toute la diligence professionnelle requise. Les parties reconnaissent expressément que les obligations de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au titre du présent contrat sont des </w:t>
      </w:r>
      <w:r w:rsidDel="00000000" w:rsidR="00000000" w:rsidRPr="00000000">
        <w:rPr>
          <w:rFonts w:ascii="Arial" w:cs="Arial" w:eastAsia="Arial" w:hAnsi="Arial"/>
          <w:b w:val="1"/>
          <w:bCs w:val="1"/>
          <w:rtl w:val="0"/>
        </w:rPr>
        <w:t xml:space="preserve">obligations de moyens</w:t>
      </w:r>
      <w:r w:rsidDel="00000000" w:rsidR="00000000" w:rsidRPr="00000000">
        <w:rPr>
          <w:rFonts w:ascii="Arial" w:cs="Arial" w:eastAsia="Arial" w:hAnsi="Arial"/>
          <w:rtl w:val="0"/>
        </w:rPr>
        <w:t xml:space="preserve">, et non de résultat absolu.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ne peut garantir que les logiciels développés seront exempts de toute erreur mineure ou interruption, mais s'engage à corriger les anomalies critiques signalées durant la période de garantie prévue au SOW.</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3.2 Obligations du Client (« Obligation de collaboration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Le succès de l'innovation numérique repose sur une collaboration active. Le Client s’engage à fournir à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des informations claires, précises et complètes sur ses besoins réels, à désigner un gestionnaire de projet unique comme interlocuteur principal, et à transmettre les accès techniques nécessaires (serveurs, hébergements, API, données d'inventaire) dans les délais convenus.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3.3 Conséquences des retards du Client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Si l'exécution des travaux par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est retardée en raison d'un manque de réactivité du Client, d'un retard dans la transmission des accès ou d'un changement de directives en cours de route, les échéanciers et dates de livraison initialement prévus dans le SOW seront repoussés d'une période minimale équivalente au retard causé par le Client.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se réserve également le droit de réaffecter ses ressources à d'autres mandats du studio en attendant le déblocage.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3.4 Limite de responsabilité</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En aucun cas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ne pourra être tenu responsable des dommages indirects, pertes de profits, pertes de données d'affaires, interruptions d'activité ou manques à gagner subis par le Client. La responsabilité globale et cumulative de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pour toute réclamation liée au présent contrat ou à un SOW spécifique sera strictement limitée aux montants réellement payés par le Client à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pour le projet en question au cours des trois (3) mois précédant l'événement à l'origine de la réclamation.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b6cc4"/>
        </w:rPr>
      </w:pPr>
      <w:r w:rsidDel="00000000" w:rsidR="00000000" w:rsidRPr="00000000">
        <w:rPr>
          <w:rFonts w:ascii="Arial" w:cs="Arial" w:eastAsia="Arial" w:hAnsi="Arial"/>
          <w:color w:val="2b6cc4"/>
          <w:rtl w:val="0"/>
        </w:rPr>
        <w:t xml:space="preserve">SECTION 4 : MODALITÉS DE PAIEMENT ET FACTURATION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4.1 Émission des factures et échéanciers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Les prestations sont facturées conformément aux jalons financiers convenus dans le SOW. À défaut d'un calendrier spécifique, la structure de facturation standard de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s'applique :</w:t>
      </w:r>
    </w:p>
    <w:tbl>
      <w:tblPr>
        <w:tblStyle w:val="Table1"/>
        <w:tblW w:w="9360.0" w:type="dxa"/>
        <w:jc w:val="left"/>
        <w:tblBorders>
          <w:top w:color="4a4a4a" w:space="0" w:sz="6" w:val="single"/>
          <w:left w:color="4a4a4a" w:space="0" w:sz="6" w:val="single"/>
          <w:bottom w:color="4a4a4a" w:space="0" w:sz="6" w:val="single"/>
          <w:right w:color="4a4a4a" w:space="0" w:sz="6" w:val="single"/>
          <w:insideH w:color="4a4a4a" w:space="0" w:sz="6" w:val="single"/>
          <w:insideV w:color="4a4a4a"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4a4a4a" w:space="0" w:sz="6" w:val="single"/>
              <w:left w:color="4a4a4a" w:space="0" w:sz="6" w:val="single"/>
              <w:bottom w:color="4a4a4a" w:space="0" w:sz="6" w:val="single"/>
              <w:right w:color="4a4a4a" w:space="0" w:sz="6" w:val="single"/>
            </w:tcBorders>
            <w:shd w:fill="2b6cc4"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Jalon Financier</w:t>
            </w:r>
          </w:p>
        </w:tc>
        <w:tc>
          <w:tcPr>
            <w:tcBorders>
              <w:top w:color="4a4a4a" w:space="0" w:sz="6" w:val="single"/>
              <w:left w:color="4a4a4a" w:space="0" w:sz="6" w:val="single"/>
              <w:bottom w:color="4a4a4a" w:space="0" w:sz="6" w:val="single"/>
              <w:right w:color="4a4a4a" w:space="0" w:sz="6" w:val="single"/>
            </w:tcBorders>
            <w:shd w:fill="2b6cc4"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Pourcentage</w:t>
            </w:r>
          </w:p>
        </w:tc>
        <w:tc>
          <w:tcPr>
            <w:tcBorders>
              <w:top w:color="4a4a4a" w:space="0" w:sz="6" w:val="single"/>
              <w:left w:color="4a4a4a" w:space="0" w:sz="6" w:val="single"/>
              <w:bottom w:color="4a4a4a" w:space="0" w:sz="6" w:val="single"/>
              <w:right w:color="4a4a4a" w:space="0" w:sz="6" w:val="single"/>
            </w:tcBorders>
            <w:shd w:fill="2b6cc4"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Moment du Déclenchement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4a4a4a" w:space="0" w:sz="6" w:val="single"/>
              <w:left w:color="4a4a4a" w:space="0" w:sz="6" w:val="single"/>
              <w:bottom w:color="4a4a4a" w:space="0" w:sz="6" w:val="single"/>
              <w:right w:color="4a4a4a"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4a4a"/>
                <w:shd w:fill="auto" w:val="clear"/>
              </w:rPr>
            </w:pPr>
            <w:r w:rsidDel="00000000" w:rsidR="00000000" w:rsidRPr="00000000">
              <w:rPr>
                <w:rFonts w:ascii="Arial" w:cs="Arial" w:eastAsia="Arial" w:hAnsi="Arial"/>
                <w:color w:val="4a4a4a"/>
                <w:shd w:fill="auto" w:val="clear"/>
                <w:rtl w:val="0"/>
              </w:rPr>
              <w:t xml:space="preserve">Acompte initial</w:t>
            </w:r>
          </w:p>
        </w:tc>
        <w:tc>
          <w:tcPr>
            <w:tcBorders>
              <w:top w:color="4a4a4a" w:space="0" w:sz="6" w:val="single"/>
              <w:left w:color="4a4a4a" w:space="0" w:sz="6" w:val="single"/>
              <w:bottom w:color="4a4a4a" w:space="0" w:sz="6" w:val="single"/>
              <w:right w:color="4a4a4a"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4a4a4a"/>
                <w:shd w:fill="auto" w:val="clear"/>
              </w:rPr>
            </w:pPr>
            <w:r w:rsidDel="00000000" w:rsidR="00000000" w:rsidRPr="00000000">
              <w:rPr>
                <w:rFonts w:ascii="Arial" w:cs="Arial" w:eastAsia="Arial" w:hAnsi="Arial"/>
                <w:b w:val="1"/>
                <w:bCs w:val="1"/>
                <w:color w:val="4a4a4a"/>
                <w:shd w:fill="auto" w:val="clear"/>
                <w:rtl w:val="0"/>
              </w:rPr>
              <w:t xml:space="preserve">30 %</w:t>
            </w:r>
          </w:p>
        </w:tc>
        <w:tc>
          <w:tcPr>
            <w:tcBorders>
              <w:top w:color="4a4a4a" w:space="0" w:sz="6" w:val="single"/>
              <w:left w:color="4a4a4a" w:space="0" w:sz="6" w:val="single"/>
              <w:bottom w:color="4a4a4a" w:space="0" w:sz="6" w:val="single"/>
              <w:right w:color="4a4a4a"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4a4a"/>
                <w:shd w:fill="auto" w:val="clear"/>
              </w:rPr>
            </w:pPr>
            <w:r w:rsidDel="00000000" w:rsidR="00000000" w:rsidRPr="00000000">
              <w:rPr>
                <w:rFonts w:ascii="Arial" w:cs="Arial" w:eastAsia="Arial" w:hAnsi="Arial"/>
                <w:color w:val="4a4a4a"/>
                <w:shd w:fill="auto" w:val="clear"/>
                <w:rtl w:val="0"/>
              </w:rPr>
              <w:t xml:space="preserve">À la signature du SOW, avant le début des travaux</w:t>
            </w:r>
          </w:p>
        </w:tc>
      </w:tr>
      <w:tr>
        <w:trPr>
          <w:cantSplit w:val="0"/>
          <w:tblHeader w:val="0"/>
        </w:trPr>
        <w:tc>
          <w:tcPr>
            <w:tcBorders>
              <w:top w:color="4a4a4a" w:space="0" w:sz="6" w:val="single"/>
              <w:left w:color="4a4a4a" w:space="0" w:sz="6" w:val="single"/>
              <w:bottom w:color="4a4a4a" w:space="0" w:sz="6" w:val="single"/>
              <w:right w:color="4a4a4a"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4a4a"/>
              </w:rPr>
            </w:pPr>
            <w:r w:rsidDel="00000000" w:rsidR="00000000" w:rsidRPr="00000000">
              <w:rPr>
                <w:rFonts w:ascii="Arial" w:cs="Arial" w:eastAsia="Arial" w:hAnsi="Arial"/>
                <w:color w:val="4a4a4a"/>
                <w:rtl w:val="0"/>
              </w:rPr>
              <w:t xml:space="preserve">Jalon intermédiaire</w:t>
            </w:r>
          </w:p>
        </w:tc>
        <w:tc>
          <w:tcPr>
            <w:tcBorders>
              <w:top w:color="4a4a4a" w:space="0" w:sz="6" w:val="single"/>
              <w:left w:color="4a4a4a" w:space="0" w:sz="6" w:val="single"/>
              <w:bottom w:color="4a4a4a" w:space="0" w:sz="6" w:val="single"/>
              <w:right w:color="4a4a4a"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4a4a4a"/>
              </w:rPr>
            </w:pPr>
            <w:r w:rsidDel="00000000" w:rsidR="00000000" w:rsidRPr="00000000">
              <w:rPr>
                <w:rFonts w:ascii="Arial" w:cs="Arial" w:eastAsia="Arial" w:hAnsi="Arial"/>
                <w:b w:val="1"/>
                <w:bCs w:val="1"/>
                <w:color w:val="4a4a4a"/>
                <w:rtl w:val="0"/>
              </w:rPr>
              <w:t xml:space="preserve">40 %</w:t>
            </w:r>
          </w:p>
        </w:tc>
        <w:tc>
          <w:tcPr>
            <w:tcBorders>
              <w:top w:color="4a4a4a" w:space="0" w:sz="6" w:val="single"/>
              <w:left w:color="4a4a4a" w:space="0" w:sz="6" w:val="single"/>
              <w:bottom w:color="4a4a4a" w:space="0" w:sz="6" w:val="single"/>
              <w:right w:color="4a4a4a"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4a4a"/>
              </w:rPr>
            </w:pPr>
            <w:r w:rsidDel="00000000" w:rsidR="00000000" w:rsidRPr="00000000">
              <w:rPr>
                <w:rFonts w:ascii="Arial" w:cs="Arial" w:eastAsia="Arial" w:hAnsi="Arial"/>
                <w:color w:val="4a4a4a"/>
                <w:rtl w:val="0"/>
              </w:rPr>
              <w:t xml:space="preserve">Validation de l'architecture ou de la maquette d'interface</w:t>
            </w:r>
          </w:p>
        </w:tc>
      </w:tr>
      <w:tr>
        <w:trPr>
          <w:cantSplit w:val="0"/>
          <w:tblHeader w:val="0"/>
        </w:trPr>
        <w:tc>
          <w:tcPr>
            <w:tcBorders>
              <w:top w:color="4a4a4a" w:space="0" w:sz="6" w:val="single"/>
              <w:left w:color="4a4a4a" w:space="0" w:sz="6" w:val="single"/>
              <w:bottom w:color="4a4a4a" w:space="0" w:sz="6" w:val="single"/>
              <w:right w:color="4a4a4a"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4a4a"/>
                <w:shd w:fill="auto" w:val="clear"/>
              </w:rPr>
            </w:pPr>
            <w:r w:rsidDel="00000000" w:rsidR="00000000" w:rsidRPr="00000000">
              <w:rPr>
                <w:rFonts w:ascii="Arial" w:cs="Arial" w:eastAsia="Arial" w:hAnsi="Arial"/>
                <w:color w:val="4a4a4a"/>
                <w:shd w:fill="auto" w:val="clear"/>
                <w:rtl w:val="0"/>
              </w:rPr>
              <w:t xml:space="preserve">Livraison finale</w:t>
            </w:r>
          </w:p>
        </w:tc>
        <w:tc>
          <w:tcPr>
            <w:tcBorders>
              <w:top w:color="4a4a4a" w:space="0" w:sz="6" w:val="single"/>
              <w:left w:color="4a4a4a" w:space="0" w:sz="6" w:val="single"/>
              <w:bottom w:color="4a4a4a" w:space="0" w:sz="6" w:val="single"/>
              <w:right w:color="4a4a4a"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4a4a4a"/>
                <w:shd w:fill="auto" w:val="clear"/>
              </w:rPr>
            </w:pPr>
            <w:r w:rsidDel="00000000" w:rsidR="00000000" w:rsidRPr="00000000">
              <w:rPr>
                <w:rFonts w:ascii="Arial" w:cs="Arial" w:eastAsia="Arial" w:hAnsi="Arial"/>
                <w:b w:val="1"/>
                <w:bCs w:val="1"/>
                <w:color w:val="4a4a4a"/>
                <w:shd w:fill="auto" w:val="clear"/>
                <w:rtl w:val="0"/>
              </w:rPr>
              <w:t xml:space="preserve">30 %</w:t>
            </w:r>
          </w:p>
        </w:tc>
        <w:tc>
          <w:tcPr>
            <w:tcBorders>
              <w:top w:color="4a4a4a" w:space="0" w:sz="6" w:val="single"/>
              <w:left w:color="4a4a4a" w:space="0" w:sz="6" w:val="single"/>
              <w:bottom w:color="4a4a4a" w:space="0" w:sz="6" w:val="single"/>
              <w:right w:color="4a4a4a" w:space="0" w:sz="6" w:val="single"/>
            </w:tcBorders>
            <w:shd w:fill="f8f9fa"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4a4a4a"/>
                <w:shd w:fill="auto" w:val="clear"/>
              </w:rPr>
            </w:pPr>
            <w:r w:rsidDel="00000000" w:rsidR="00000000" w:rsidRPr="00000000">
              <w:rPr>
                <w:rFonts w:ascii="Arial" w:cs="Arial" w:eastAsia="Arial" w:hAnsi="Arial"/>
                <w:color w:val="4a4a4a"/>
                <w:shd w:fill="auto" w:val="clear"/>
                <w:rtl w:val="0"/>
              </w:rPr>
              <w:t xml:space="preserve">À la livraison et recette finale du produit fini</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2a9d8f"/>
        </w:rPr>
      </w:pPr>
      <w:r w:rsidDel="00000000" w:rsidR="00000000" w:rsidRPr="00000000">
        <w:rPr>
          <w:rFonts w:ascii="Arial" w:cs="Arial" w:eastAsia="Arial" w:hAnsi="Arial"/>
          <w:color w:val="2a9d8f"/>
          <w:rtl w:val="0"/>
        </w:rPr>
        <w:t xml:space="preserve">4.2 Délais de paiement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Toutes les factures émises par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sont payables dès leur réception. Le Client dispose d'un délai maximal de </w:t>
      </w:r>
      <w:r w:rsidDel="00000000" w:rsidR="00000000" w:rsidRPr="00000000">
        <w:rPr>
          <w:rFonts w:ascii="Arial" w:cs="Arial" w:eastAsia="Arial" w:hAnsi="Arial"/>
          <w:b w:val="1"/>
          <w:bCs w:val="1"/>
          <w:rtl w:val="0"/>
        </w:rPr>
        <w:t xml:space="preserve">quinze (15) jours calendaires</w:t>
      </w:r>
      <w:r w:rsidDel="00000000" w:rsidR="00000000" w:rsidRPr="00000000">
        <w:rPr>
          <w:rFonts w:ascii="Arial" w:cs="Arial" w:eastAsia="Arial" w:hAnsi="Arial"/>
          <w:rtl w:val="0"/>
        </w:rPr>
        <w:t xml:space="preserve"> suivant la date d'émission de la facture pour effectuer le règlement complet.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4.3 Frais de retard et pénalités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Tout montant impayé à l'expiration du délai portera automatiquement intérêt, sans mise en demeure préalable, au taux de </w:t>
      </w:r>
      <w:r w:rsidDel="00000000" w:rsidR="00000000" w:rsidRPr="00000000">
        <w:rPr>
          <w:rFonts w:ascii="Arial" w:cs="Arial" w:eastAsia="Arial" w:hAnsi="Arial"/>
          <w:b w:val="1"/>
          <w:bCs w:val="1"/>
          <w:rtl w:val="0"/>
        </w:rPr>
        <w:t xml:space="preserve">1,5 % par mois</w:t>
      </w:r>
      <w:r w:rsidDel="00000000" w:rsidR="00000000" w:rsidRPr="00000000">
        <w:rPr>
          <w:rFonts w:ascii="Arial" w:cs="Arial" w:eastAsia="Arial" w:hAnsi="Arial"/>
          <w:rtl w:val="0"/>
        </w:rPr>
        <w:t xml:space="preserve"> (soit 18 % par année), calculé quotidiennement à compter de la date d'échéance jusqu'au paiement complet.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4.4 Suspension des travaux pour non-paiement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En cas de retard de paiement supérieur à dix (10) jours après la date d'échéance d'une facture,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se réserve le droit absolu de suspendre l'exécution de tous les services en cours ou l'accès aux plateformes de test, et ce, jusqu'au paiement intégral. Les délais de livraison initiaux seront alors automatiquement repoussés d'une période équivalente.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4.5 Taxes applicables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Les prix indiqués s'entendent nets et hors taxes. Le Client s'engage à verser à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toutes les taxes applicables (TPS, TVQ) en vigueur à la date de facturation.</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b6cc4"/>
        </w:rPr>
      </w:pPr>
      <w:r w:rsidDel="00000000" w:rsidR="00000000" w:rsidRPr="00000000">
        <w:rPr>
          <w:rFonts w:ascii="Arial" w:cs="Arial" w:eastAsia="Arial" w:hAnsi="Arial"/>
          <w:color w:val="2b6cc4"/>
          <w:rtl w:val="0"/>
        </w:rPr>
        <w:t xml:space="preserve">SECTION 5 : CONFIDENTIALITÉ ET PROTECTION DES DONNÉES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5.1 Définition des Informations Confidentielles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Sont considérées comme « Informations Confidentielles » toutes les informations de nature technique, commerciale, financière ou opérationnelle transmises entre les parties, incluant sans s'y limiter : les secrets d'affaires, les listes de clients, les structures de bases de données, les codes sources, les processus d'automatisation, ainsi que les données d'inventaire ou d'affaires spécifiques transmises par le Client.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5.2 Engagement de non-divulgation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Chaque partie s’engage formellement à maintenir le secret le plus strict à l'égard des Informations Confidentielles de l’autre partie, à ne pas les divulguer à des tiers sans accord écrit préalable, et à ne les utiliser que dans le but strict d'exécuter les services prévus au SOW.</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5.3 Sécurité et intégrité des données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Fidèle à son approche de rigueur professionnelle,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s'engage à mettre en œuvre les mesures de sécurité logicielles et d'infrastructure raisonnables pour protéger les données hébergées ou manipulées au cours du projet contre tout accès non autorisé, altération ou fuite.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before="0" w:lineRule="auto"/>
        <w:rPr>
          <w:rFonts w:ascii="Arial" w:cs="Arial" w:eastAsia="Arial" w:hAnsi="Arial"/>
          <w:color w:val="2b6cc4"/>
        </w:rPr>
      </w:pPr>
      <w:r w:rsidDel="00000000" w:rsidR="00000000" w:rsidRPr="00000000">
        <w:rPr>
          <w:rFonts w:ascii="Arial" w:cs="Arial" w:eastAsia="Arial" w:hAnsi="Arial"/>
          <w:color w:val="2b6cc4"/>
          <w:rtl w:val="0"/>
        </w:rPr>
        <w:t xml:space="preserve">SECTION 6 : RÉSILIATION ET FIN DE CONTRAT</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6.1 Résiliation pour convenance (« Clause de sortie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Chacune des parties peut mettre fin au présent contrat-cadre ou à un SOW en cours, sans cause particulière, en transmettant un préavis écrit de </w:t>
      </w:r>
      <w:r w:rsidDel="00000000" w:rsidR="00000000" w:rsidRPr="00000000">
        <w:rPr>
          <w:rFonts w:ascii="Arial" w:cs="Arial" w:eastAsia="Arial" w:hAnsi="Arial"/>
          <w:b w:val="1"/>
          <w:bCs w:val="1"/>
          <w:rtl w:val="0"/>
        </w:rPr>
        <w:t xml:space="preserve">trente (30) jours calendaires</w:t>
      </w:r>
      <w:r w:rsidDel="00000000" w:rsidR="00000000" w:rsidRPr="00000000">
        <w:rPr>
          <w:rFonts w:ascii="Arial" w:cs="Arial" w:eastAsia="Arial" w:hAnsi="Arial"/>
          <w:rtl w:val="0"/>
        </w:rPr>
        <w:t xml:space="preserve"> à l'autre partie.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6.2 Résiliation pour faute ou défaut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Si l'une des parties fait défaut de respecter une obligation importante du présent contrat (non-paiement, manquement grave aux obligations), l'autre partie peut résilier le contrat immédiatement si le défaut n'est pas corrigé dans les </w:t>
      </w:r>
      <w:r w:rsidDel="00000000" w:rsidR="00000000" w:rsidRPr="00000000">
        <w:rPr>
          <w:rFonts w:ascii="Arial" w:cs="Arial" w:eastAsia="Arial" w:hAnsi="Arial"/>
          <w:b w:val="1"/>
          <w:bCs w:val="1"/>
          <w:rtl w:val="0"/>
        </w:rPr>
        <w:t xml:space="preserve">dix (10) jours calendaires</w:t>
      </w:r>
      <w:r w:rsidDel="00000000" w:rsidR="00000000" w:rsidRPr="00000000">
        <w:rPr>
          <w:rFonts w:ascii="Arial" w:cs="Arial" w:eastAsia="Arial" w:hAnsi="Arial"/>
          <w:rtl w:val="0"/>
        </w:rPr>
        <w:t xml:space="preserve"> suivant la réception d'un avis écrit décrivant le manquement.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a9d8f"/>
        </w:rPr>
      </w:pPr>
      <w:r w:rsidDel="00000000" w:rsidR="00000000" w:rsidRPr="00000000">
        <w:rPr>
          <w:rFonts w:ascii="Arial" w:cs="Arial" w:eastAsia="Arial" w:hAnsi="Arial"/>
          <w:color w:val="2a9d8f"/>
          <w:rtl w:val="0"/>
        </w:rPr>
        <w:t xml:space="preserve">6.3 Effets de la résiliation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cas de résiliation, le Client s’engage à payer à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la totalité des sommes dues pour les services rendus et jalons atteints jusqu'à la date de résiliation. </w:t>
      </w:r>
      <w:r w:rsidDel="00000000" w:rsidR="00000000" w:rsidRPr="00000000">
        <w:rPr>
          <w:rFonts w:ascii="Arial" w:cs="Arial" w:eastAsia="Arial" w:hAnsi="Arial"/>
          <w:b w:val="1"/>
          <w:bCs w:val="1"/>
          <w:rtl w:val="0"/>
        </w:rPr>
        <w:t xml:space="preserve">MAD DevOps</w:t>
      </w:r>
      <w:r w:rsidDel="00000000" w:rsidR="00000000" w:rsidRPr="00000000">
        <w:rPr>
          <w:rFonts w:ascii="Arial" w:cs="Arial" w:eastAsia="Arial" w:hAnsi="Arial"/>
          <w:rtl w:val="0"/>
        </w:rPr>
        <w:t xml:space="preserve"> remettra les Livrables en l'état à la date de fin des travaux, sous réserve du paiement complet. Les obligations de Propriété Intellectuelle (Section 2) et de Confidentialité (Section 5) survivent à la fin du contrat.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