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PROPOSITION COMMERCIALE – TRANSFORMATION NUMÉRIQUE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Préparée par :</w:t>
      </w:r>
      <w:r w:rsidDel="00000000" w:rsidR="00000000" w:rsidRPr="00000000">
        <w:rPr>
          <w:rtl w:val="0"/>
        </w:rPr>
        <w:t xml:space="preserve"> Marc-André Dufour, Fondateur — MAD DevOps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Date :</w:t>
      </w:r>
      <w:r w:rsidDel="00000000" w:rsidR="00000000" w:rsidRPr="00000000">
        <w:rPr>
          <w:rtl w:val="0"/>
        </w:rPr>
        <w:t xml:space="preserve"> Juin 2026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Destinataire :</w:t>
      </w:r>
      <w:r w:rsidDel="00000000" w:rsidR="00000000" w:rsidRPr="00000000">
        <w:rPr>
          <w:rtl w:val="0"/>
        </w:rPr>
        <w:t xml:space="preserve"> [Nom de l'entreprise cliente / Nom du contact]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color w:val="2b6cc4"/>
        </w:rPr>
      </w:pPr>
      <w:r w:rsidDel="00000000" w:rsidR="00000000" w:rsidRPr="00000000">
        <w:rPr>
          <w:color w:val="2b6cc4"/>
          <w:rtl w:val="0"/>
        </w:rPr>
        <w:t xml:space="preserve">1. Notre Compréhension de vos Défis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Chaque entreprise en croissance atteint un point de friction où la gestion des opérations commence à gruger l'énergie nécessaire à l'exercice du métier. D'après nos récents échanges, vos principaux points de blocage actuels se résument ainsi 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La dispersion de l'information :</w:t>
      </w:r>
      <w:r w:rsidDel="00000000" w:rsidR="00000000" w:rsidRPr="00000000">
        <w:rPr>
          <w:rtl w:val="0"/>
        </w:rPr>
        <w:t xml:space="preserve"> Données cruciales (inventaires, suivis de temps, dossiers clients) fragmentées à travers des fichiers Excel manuels, augmentant le risque d'erreurs et de pertes financières.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La charge mentale opérationnelle :</w:t>
      </w:r>
      <w:r w:rsidDel="00000000" w:rsidR="00000000" w:rsidRPr="00000000">
        <w:rPr>
          <w:rtl w:val="0"/>
        </w:rPr>
        <w:t xml:space="preserve"> Processus répétitifs et chronophages qui reposent entièrement sur la mémoire humaine ou des actions manuelles quotidiennes.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Le besoin de simplicité :</w:t>
      </w:r>
      <w:r w:rsidDel="00000000" w:rsidR="00000000" w:rsidRPr="00000000">
        <w:rPr>
          <w:rtl w:val="0"/>
        </w:rPr>
        <w:t xml:space="preserve"> Les solutions logicielles génériques du marché sont souvent trop complexes, rigides et mal adaptées à vos besoins réels.</w:t>
      </w:r>
    </w:p>
    <w:p w:rsidR="00000000" w:rsidDel="00000000" w:rsidP="00000000" w:rsidRDefault="00000000" w:rsidRPr="00000000" w14:paraId="0000000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2b6cc4"/>
        </w:rPr>
      </w:pPr>
      <w:r w:rsidDel="00000000" w:rsidR="00000000" w:rsidRPr="00000000">
        <w:rPr>
          <w:color w:val="2b6cc4"/>
          <w:rtl w:val="0"/>
        </w:rPr>
        <w:t xml:space="preserve">2. La Solution MAD DevOps : L'Offre Intégrée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Nous ne développons pas pour développer. Nous concevons une solution logicielle sur mesure, fluide et durable, pensée exclusivement pour simplifier votre quotidien et sécuriser vos actifs d'affaires.</w:t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color w:val="2a9d8f"/>
        </w:rPr>
      </w:pPr>
      <w:r w:rsidDel="00000000" w:rsidR="00000000" w:rsidRPr="00000000">
        <w:rPr>
          <w:color w:val="2a9d8f"/>
          <w:rtl w:val="0"/>
        </w:rPr>
        <w:t xml:space="preserve">📦 A. Le socle "Data Central" (Centralisation)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Objectif :</w:t>
      </w:r>
      <w:r w:rsidDel="00000000" w:rsidR="00000000" w:rsidRPr="00000000">
        <w:rPr>
          <w:rtl w:val="0"/>
        </w:rPr>
        <w:t xml:space="preserve"> Éliminer définitivement l'enfer des tableurs Excel.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Livrables :</w:t>
      </w:r>
      <w:r w:rsidDel="00000000" w:rsidR="00000000" w:rsidRPr="00000000">
        <w:rPr>
          <w:rtl w:val="0"/>
        </w:rPr>
        <w:t xml:space="preserve"> Création d'une base de données relationnelle sécurisée (PostgreSQL) centralisant toutes vos données d'affaires (inventaires, fiches clients, données de logistique). L'information devient propre, unique et accessible instantanément.</w:t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color w:val="2a9d8f"/>
        </w:rPr>
      </w:pPr>
      <w:r w:rsidDel="00000000" w:rsidR="00000000" w:rsidRPr="00000000">
        <w:rPr>
          <w:color w:val="2a9d8f"/>
          <w:rtl w:val="0"/>
        </w:rPr>
        <w:t xml:space="preserve">⚙️ B. Le "Automation Hub" (Libération du temps)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Objectif :</w:t>
      </w:r>
      <w:r w:rsidDel="00000000" w:rsidR="00000000" w:rsidRPr="00000000">
        <w:rPr>
          <w:rtl w:val="0"/>
        </w:rPr>
        <w:t xml:space="preserve"> Faire travailler la technologie à votre place.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Livrables :</w:t>
      </w:r>
      <w:r w:rsidDel="00000000" w:rsidR="00000000" w:rsidRPr="00000000">
        <w:rPr>
          <w:rtl w:val="0"/>
        </w:rPr>
        <w:t xml:space="preserve"> Automatisation complète de vos flux de travail redondants. Mise en place de déclencheurs intelligents (triggers) : alertes de bas niveau d'inventaire, génération automatique de rapports ou synchronisation de données en arrière-plan sans action manuelle.</w:t>
      </w:r>
    </w:p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color w:val="2a9d8f"/>
        </w:rPr>
      </w:pPr>
      <w:r w:rsidDel="00000000" w:rsidR="00000000" w:rsidRPr="00000000">
        <w:rPr>
          <w:color w:val="2a9d8f"/>
          <w:rtl w:val="0"/>
        </w:rPr>
        <w:t xml:space="preserve">🧠 C. L'Interface Épurée &amp; Sécurisée (Réduction de la charge cognitive)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Objectif :</w:t>
      </w:r>
      <w:r w:rsidDel="00000000" w:rsidR="00000000" w:rsidRPr="00000000">
        <w:rPr>
          <w:rtl w:val="0"/>
        </w:rPr>
        <w:t xml:space="preserve"> Offrir une expérience logicielle agréable, rapide et rassurante.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Livrables :</w:t>
      </w:r>
      <w:r w:rsidDel="00000000" w:rsidR="00000000" w:rsidRPr="00000000">
        <w:rPr>
          <w:rtl w:val="0"/>
        </w:rPr>
        <w:t xml:space="preserve"> Développement d'une application web moderne (React/Tailwind) au design minimaliste et accessible en moins de deux clics. Intégration d'une sécurité stricte des données à la source (Row Level Security) pour garantir la confidentialité totale de vos secrets d'affaires.</w:t>
      </w:r>
    </w:p>
    <w:p w:rsidR="00000000" w:rsidDel="00000000" w:rsidP="00000000" w:rsidRDefault="00000000" w:rsidRPr="00000000" w14:paraId="0000001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color w:val="2b6cc4"/>
        </w:rPr>
      </w:pPr>
      <w:r w:rsidDel="00000000" w:rsidR="00000000" w:rsidRPr="00000000">
        <w:rPr>
          <w:color w:val="2b6cc4"/>
          <w:rtl w:val="0"/>
        </w:rPr>
        <w:t xml:space="preserve">3. Plan de Match et Jalons de Livraison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Pour garantir une visibilité totale et respecter une rigueur digne des services publics, le projet est découpé en 3 phases claires et progressives :</w:t>
      </w:r>
    </w:p>
    <w:tbl>
      <w:tblPr>
        <w:tblStyle w:val="Table1"/>
        <w:tblW w:w="9360.0" w:type="dxa"/>
        <w:jc w:val="left"/>
        <w:tblBorders>
          <w:top w:color="4a4a4a" w:space="0" w:sz="6" w:val="single"/>
          <w:left w:color="4a4a4a" w:space="0" w:sz="6" w:val="single"/>
          <w:bottom w:color="4a4a4a" w:space="0" w:sz="6" w:val="single"/>
          <w:right w:color="4a4a4a" w:space="0" w:sz="6" w:val="single"/>
          <w:insideH w:color="4a4a4a" w:space="0" w:sz="6" w:val="single"/>
          <w:insideV w:color="4a4a4a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4a4a4a" w:space="0" w:sz="6" w:val="single"/>
              <w:left w:color="4a4a4a" w:space="0" w:sz="6" w:val="single"/>
              <w:bottom w:color="4a4a4a" w:space="0" w:sz="6" w:val="single"/>
              <w:right w:color="4a4a4a" w:space="0" w:sz="6" w:val="single"/>
            </w:tcBorders>
            <w:shd w:fill="2b6cc4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color w:val="ffffff"/>
                <w:shd w:fill="auto" w:val="clear"/>
              </w:rPr>
            </w:pPr>
            <w:r w:rsidDel="00000000" w:rsidR="00000000" w:rsidRPr="00000000">
              <w:rPr>
                <w:color w:val="ffffff"/>
                <w:shd w:fill="auto" w:val="clear"/>
                <w:rtl w:val="0"/>
              </w:rPr>
              <w:t xml:space="preserve">Phase</w:t>
            </w:r>
          </w:p>
        </w:tc>
        <w:tc>
          <w:tcPr>
            <w:tcBorders>
              <w:top w:color="4a4a4a" w:space="0" w:sz="6" w:val="single"/>
              <w:left w:color="4a4a4a" w:space="0" w:sz="6" w:val="single"/>
              <w:bottom w:color="4a4a4a" w:space="0" w:sz="6" w:val="single"/>
              <w:right w:color="4a4a4a" w:space="0" w:sz="6" w:val="single"/>
            </w:tcBorders>
            <w:shd w:fill="2b6cc4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color w:val="ffffff"/>
                <w:shd w:fill="auto" w:val="clear"/>
              </w:rPr>
            </w:pPr>
            <w:r w:rsidDel="00000000" w:rsidR="00000000" w:rsidRPr="00000000">
              <w:rPr>
                <w:color w:val="ffffff"/>
                <w:shd w:fill="auto" w:val="clear"/>
                <w:rtl w:val="0"/>
              </w:rPr>
              <w:t xml:space="preserve">Description</w:t>
            </w:r>
          </w:p>
        </w:tc>
        <w:tc>
          <w:tcPr>
            <w:tcBorders>
              <w:top w:color="4a4a4a" w:space="0" w:sz="6" w:val="single"/>
              <w:left w:color="4a4a4a" w:space="0" w:sz="6" w:val="single"/>
              <w:bottom w:color="4a4a4a" w:space="0" w:sz="6" w:val="single"/>
              <w:right w:color="4a4a4a" w:space="0" w:sz="6" w:val="single"/>
            </w:tcBorders>
            <w:shd w:fill="2b6cc4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color w:val="ffffff"/>
                <w:shd w:fill="auto" w:val="clear"/>
              </w:rPr>
            </w:pPr>
            <w:r w:rsidDel="00000000" w:rsidR="00000000" w:rsidRPr="00000000">
              <w:rPr>
                <w:color w:val="ffffff"/>
                <w:shd w:fill="auto" w:val="clear"/>
                <w:rtl w:val="0"/>
              </w:rPr>
              <w:t xml:space="preserve">Livrables clés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a4a4a" w:space="0" w:sz="6" w:val="single"/>
              <w:left w:color="4a4a4a" w:space="0" w:sz="6" w:val="single"/>
              <w:bottom w:color="4a4a4a" w:space="0" w:sz="6" w:val="single"/>
              <w:right w:color="4a4a4a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Phase 1 (30%)</w:t>
            </w:r>
          </w:p>
        </w:tc>
        <w:tc>
          <w:tcPr>
            <w:tcBorders>
              <w:top w:color="4a4a4a" w:space="0" w:sz="6" w:val="single"/>
              <w:left w:color="4a4a4a" w:space="0" w:sz="6" w:val="single"/>
              <w:bottom w:color="4a4a4a" w:space="0" w:sz="6" w:val="single"/>
              <w:right w:color="4a4a4a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Spécification &amp; Design</w:t>
            </w:r>
          </w:p>
        </w:tc>
        <w:tc>
          <w:tcPr>
            <w:tcBorders>
              <w:top w:color="4a4a4a" w:space="0" w:sz="6" w:val="single"/>
              <w:left w:color="4a4a4a" w:space="0" w:sz="6" w:val="single"/>
              <w:bottom w:color="4a4a4a" w:space="0" w:sz="6" w:val="single"/>
              <w:right w:color="4a4a4a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Modélisation de la base de données et validation des maquettes visuelles de l'interface.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a4a4a" w:space="0" w:sz="6" w:val="single"/>
              <w:left w:color="4a4a4a" w:space="0" w:sz="6" w:val="single"/>
              <w:bottom w:color="4a4a4a" w:space="0" w:sz="6" w:val="single"/>
              <w:right w:color="4a4a4a" w:space="0" w:sz="6" w:val="single"/>
            </w:tcBorders>
            <w:shd w:fill="f8f9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Phase 2 (40%)</w:t>
            </w:r>
          </w:p>
        </w:tc>
        <w:tc>
          <w:tcPr>
            <w:tcBorders>
              <w:top w:color="4a4a4a" w:space="0" w:sz="6" w:val="single"/>
              <w:left w:color="4a4a4a" w:space="0" w:sz="6" w:val="single"/>
              <w:bottom w:color="4a4a4a" w:space="0" w:sz="6" w:val="single"/>
              <w:right w:color="4a4a4a" w:space="0" w:sz="6" w:val="single"/>
            </w:tcBorders>
            <w:shd w:fill="f8f9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Développement Core</w:t>
            </w:r>
          </w:p>
        </w:tc>
        <w:tc>
          <w:tcPr>
            <w:tcBorders>
              <w:top w:color="4a4a4a" w:space="0" w:sz="6" w:val="single"/>
              <w:left w:color="4a4a4a" w:space="0" w:sz="6" w:val="single"/>
              <w:bottom w:color="4a4a4a" w:space="0" w:sz="6" w:val="single"/>
              <w:right w:color="4a4a4a" w:space="0" w:sz="6" w:val="single"/>
            </w:tcBorders>
            <w:shd w:fill="f8f9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Codage de l'application, raccordement de la base de données et configuration du moteur d'automatisation.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a4a4a" w:space="0" w:sz="6" w:val="single"/>
              <w:left w:color="4a4a4a" w:space="0" w:sz="6" w:val="single"/>
              <w:bottom w:color="4a4a4a" w:space="0" w:sz="6" w:val="single"/>
              <w:right w:color="4a4a4a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Phase 3 (30%)</w:t>
            </w:r>
          </w:p>
        </w:tc>
        <w:tc>
          <w:tcPr>
            <w:tcBorders>
              <w:top w:color="4a4a4a" w:space="0" w:sz="6" w:val="single"/>
              <w:left w:color="4a4a4a" w:space="0" w:sz="6" w:val="single"/>
              <w:bottom w:color="4a4a4a" w:space="0" w:sz="6" w:val="single"/>
              <w:right w:color="4a4a4a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Tests, Sécurité &amp; Livraison</w:t>
            </w:r>
          </w:p>
        </w:tc>
        <w:tc>
          <w:tcPr>
            <w:tcBorders>
              <w:top w:color="4a4a4a" w:space="0" w:sz="6" w:val="single"/>
              <w:left w:color="4a4a4a" w:space="0" w:sz="6" w:val="single"/>
              <w:bottom w:color="4a4a4a" w:space="0" w:sz="6" w:val="single"/>
              <w:right w:color="4a4a4a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Phase de rodage, audits de sécurité, formation et mise en production officielle.</w:t>
            </w:r>
          </w:p>
        </w:tc>
      </w:tr>
    </w:tbl>
    <w:p w:rsidR="00000000" w:rsidDel="00000000" w:rsidP="00000000" w:rsidRDefault="00000000" w:rsidRPr="00000000" w14:paraId="0000002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2b6cc4"/>
        </w:rPr>
      </w:pPr>
      <w:r w:rsidDel="00000000" w:rsidR="00000000" w:rsidRPr="00000000">
        <w:rPr>
          <w:color w:val="2b6cc4"/>
          <w:rtl w:val="0"/>
        </w:rPr>
        <w:t xml:space="preserve">4. Investissement Financier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Conformément à notre approche de relation directe et sans intermédiaire, l'investissement pour cette transformation numérique complète est proposé sous forme de forfait bloqué :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Montant Global de l'Innovation Numérique :</w:t>
      </w:r>
      <w:r w:rsidDel="00000000" w:rsidR="00000000" w:rsidRPr="00000000">
        <w:rPr>
          <w:rtl w:val="0"/>
        </w:rPr>
        <w:t xml:space="preserve"> [X XXX] $ CAD (Hors taxes)</w:t>
      </w:r>
    </w:p>
    <w:p w:rsidR="00000000" w:rsidDel="00000000" w:rsidP="00000000" w:rsidRDefault="00000000" w:rsidRPr="00000000" w14:paraId="0000002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color w:val="2a9d8f"/>
        </w:rPr>
      </w:pPr>
      <w:r w:rsidDel="00000000" w:rsidR="00000000" w:rsidRPr="00000000">
        <w:rPr>
          <w:color w:val="2a9d8f"/>
          <w:rtl w:val="0"/>
        </w:rPr>
        <w:t xml:space="preserve">💳 Modalités de Facturation (Réf : Contrat MSA)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L'échéancier suit la progression réelle des livrables de notre intervention :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30 % à la signature</w:t>
      </w:r>
      <w:r w:rsidDel="00000000" w:rsidR="00000000" w:rsidRPr="00000000">
        <w:rPr>
          <w:rtl w:val="0"/>
        </w:rPr>
        <w:t xml:space="preserve"> du SOW (Lancement du projet) : [Montant] $CAD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40 % à la validation de la Phase 1</w:t>
      </w:r>
      <w:r w:rsidDel="00000000" w:rsidR="00000000" w:rsidRPr="00000000">
        <w:rPr>
          <w:rtl w:val="0"/>
        </w:rPr>
        <w:t xml:space="preserve"> (Maquettes &amp; Architecture) : [Montant]$ CAD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30 % à la livraison finale</w:t>
      </w:r>
      <w:r w:rsidDel="00000000" w:rsidR="00000000" w:rsidRPr="00000000">
        <w:rPr>
          <w:rtl w:val="0"/>
        </w:rPr>
        <w:t xml:space="preserve"> (Recette et mise en production) : [Montant] $ CAD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Termes de paiement : Net 15 jours dès émission de la facture via la plateforme sécurisée MADSuite.</w:t>
      </w:r>
    </w:p>
    <w:p w:rsidR="00000000" w:rsidDel="00000000" w:rsidP="00000000" w:rsidRDefault="00000000" w:rsidRPr="00000000" w14:paraId="0000002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color w:val="2b6cc4"/>
        </w:rPr>
      </w:pPr>
      <w:r w:rsidDel="00000000" w:rsidR="00000000" w:rsidRPr="00000000">
        <w:rPr>
          <w:color w:val="2b6cc4"/>
          <w:rtl w:val="0"/>
        </w:rPr>
        <w:t xml:space="preserve">5. Pourquoi choisir MAD DevOps ?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Une expertise de confiance :</w:t>
      </w:r>
      <w:r w:rsidDel="00000000" w:rsidR="00000000" w:rsidRPr="00000000">
        <w:rPr>
          <w:rtl w:val="0"/>
        </w:rPr>
        <w:t xml:space="preserve"> Près de trente ans d'évolution au cœur d'environnements publics rigoureux (municipal et transport collectif), où la sécurité, la rigueur et la fiabilité ne sont pas des options.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Une structure légère et réactive :</w:t>
      </w:r>
      <w:r w:rsidDel="00000000" w:rsidR="00000000" w:rsidRPr="00000000">
        <w:rPr>
          <w:rtl w:val="0"/>
        </w:rPr>
        <w:t xml:space="preserve"> Vous traitez directement avec le fondateur. Aucun intermédiaire technique, aucune perte d'information.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Une vision durable :</w:t>
      </w:r>
      <w:r w:rsidDel="00000000" w:rsidR="00000000" w:rsidRPr="00000000">
        <w:rPr>
          <w:rtl w:val="0"/>
        </w:rPr>
        <w:t xml:space="preserve"> Nous bâtissons des outils fiables, durables, agréables à utiliser et conçus pour que votre entreprise puisse croître sans friction.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