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Conception d'Interfaces (UI/UX) pour le TDAH : Intégration des Données Neurobiologiques dans le Développement d'Applications de Productivité</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L'essor fulgurant des technologies numériques a fondamentalement transformé la manière dont les individus gèrent leur productivité, leur temps, ainsi que la planification de leurs tâches quotidiennes. Cependant, la conception standard des interfaces utilisateur (UI) et des expériences utilisateur (UX) repose traditionnellement sur des modèles cognitifs neurotypiques. Ces modèles présupposent une capacité linéaire à traiter l'information, à maintenir une attention soutenue sur de longues périodes, à évaluer le temps de manière adéquate et à s'auto-motiver sans nécessiter de récompense immédiate.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recherches démographiques estiment qu'environ 15 % de la population américaine est neurodivergente , tandis que les estimations spécifiques au TDAH varient de 3,5 % à 10 % de la population globale. L'absence de prise en compte de ces spécificités neurologiques dans le développement de logiciels entraîne un phénomène de friction cognitive aiguë, conduisant à l'abandon définitif de l'outil.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L'intégration des données médicales et neurobiologiques dans le processus de conception UX/UI représente donc un changement de paradigme fondamental. Il ne s'agit plus de corriger l'utilisateur, mais de concevoir une architecture numérique qui pallie de manière proactive les déficits neurologiques sous-jacents.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Les Fondements Neurobiologiques du TDAH et Leurs Implications Numériques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Pour concevoir une application de productivité véritablement adaptée au TDAH, il est cliniquement impératif de traduire les réalités neurobiologiques du trouble en heuristiques de conception. Le TDAH est un trouble complexe du développement des fonctions exécutives, intrinsèquement associé à des anomalies dans la synthèse de la dopamine et à des déficiences de la mémoire de travail.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Modèle des Fonctions Exécutives et l'Architecture de la Pensée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recherches neurologiques (notamment les travaux de Roselló et ses collègues) indiquent que les adultes atteints de TDAH opèrent avec un retard de développement d'environ 30 % au niveau de leurs fonctions exécutives par rapport à leurs pairs neurotypiques. Cet écart entrave directement la capacité de planification et de suivi des tâches.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Selon le modèle conceptuel du Dr Russell Barkley, sommité mondiale sur le TDAH, la mémoire de travail (verbale et non verbale) agit comme le "GPS" du cerveau. Chez les individus TDAH, ce GPS est défaillant. Par conséquent, Barkley insiste sur la nécessité clinique d'"externaliser" les fonctions exécutives en fournissant des représentations physiques ou visuelles de l'information (rappels, listes, signaux) directement dans l'environnement de l'individu. De son côté, le chercheur Tom Brown identifie six "clusters" de fonctions exécutives touchés par le TDAH, incluant l'organisation, la gestion de la frustration et la régulation de l'alerte, qui doivent être soutenus par des aides externes.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 Théorique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Fonction Exécutive Altérée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Conséquence pour le Développement Logiciel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 de Barkley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Mémoire de travail non verbale.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Nécessité d'une navigation plate, sans menus profonds ou cachés ("Out of sight, out of mind"). L'information doit être externalisée.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 de Barkley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Internalisation de la parole (Auto-direction).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Externalisation des instructions : affichage permanent des règles directement à côté des champs de saisie, limitant la mémorisation.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 de Brown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Concentration et priorisation.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Élimination absolue du multitâche imposé par l'interface pour limiter le coût neurologique du changement de contexte.</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Gestion de la Charge Cognitive et Architecture de l'Information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Théorie de la Charge Cognitive (Sweller)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théorie de la charge cognitive (Sweller, 1988) postule que la mémoire de travail possède une bande passante extrêmement limitée. L'ingénierie d'interface doit réduire la charge "extrinsèque" (la friction causée par un mauvais design) au profit de la charge "intrinsèque" (la tâche elle-même).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Divulgation Progressive et Tableaux de Bord "Système 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L'incertitude et la surcharge d'options augmentent drastiquement la charge cognitive. Pour pallier ce problème, le principe de conception d'interaction le plus efficace est la divulgation progressive (</w:t>
      </w:r>
      <w:r w:rsidDel="00000000" w:rsidR="00000000" w:rsidRPr="00000000">
        <w:rPr>
          <w:i w:val="1"/>
          <w:iCs w:val="1"/>
          <w:rtl w:val="0"/>
        </w:rPr>
        <w:t xml:space="preserve">progressive disclosure</w:t>
      </w:r>
      <w:r w:rsidDel="00000000" w:rsidR="00000000" w:rsidRPr="00000000">
        <w:rPr>
          <w:rtl w:val="0"/>
        </w:rPr>
        <w:t xml:space="preserve">). Une étude mesurant la charge mentale via l'indice NASA-TLX a démontré que les participants atteints de TDAH ressentaient une charge cognitive significativement plus faible et une plus grande satisfaction lorsqu'ils utilisaient une interface à divulgation progressive plutôt qu'une interface dense.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Dans le contexte analytique, les tableaux de bord doivent utiliser un design de "Système 1" (réflexion intuitive) qui pré-digère l'information pour afficher des synthèses visuelles (ex: flèches de tendance), évitant le traitement analytique coûteux du "Système 2" qui épuise la mémoire de travail.</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Interfaces Tolérantes (Forgiving UI) et Directives du W3C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Dans un contexte où l'attention fluctue, la philosophie de conception doit intégrer une interface "indulgente" (</w:t>
      </w:r>
      <w:r w:rsidDel="00000000" w:rsidR="00000000" w:rsidRPr="00000000">
        <w:rPr>
          <w:i w:val="1"/>
          <w:iCs w:val="1"/>
          <w:rtl w:val="0"/>
        </w:rPr>
        <w:t xml:space="preserve">Forgiving UI</w:t>
      </w:r>
      <w:r w:rsidDel="00000000" w:rsidR="00000000" w:rsidRPr="00000000">
        <w:rPr>
          <w:rtl w:val="0"/>
        </w:rPr>
        <w:t xml:space="preserve">) qui permet de corriger facilement les erreurs sans pénalité. Conformément aux directives sur l'accessibilité cognitive (COGA) du W3C, l'application doit :</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 jamais s'appuyer sur la mémoire de l'utilisateur pour les processus.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Éviter les concepts abstraits et faire preuve de flexibilité dans la validation des données (ex: autoriser les espaces dans un numéro de téléphone).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Abolir les vidéos ou sons en lecture automatique (</w:t>
      </w:r>
      <w:r w:rsidDel="00000000" w:rsidR="00000000" w:rsidRPr="00000000">
        <w:rPr>
          <w:i w:val="1"/>
          <w:iCs w:val="1"/>
          <w:rtl w:val="0"/>
        </w:rPr>
        <w:t xml:space="preserve">autoplay</w:t>
      </w:r>
      <w:r w:rsidDel="00000000" w:rsidR="00000000" w:rsidRPr="00000000">
        <w:rPr>
          <w:rtl w:val="0"/>
        </w:rPr>
        <w:t xml:space="preserve">) pour empêcher la distraction immédiate et la surcharge.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L'Impact Visuel : Psychologie des Couleurs, Typographie et Formes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Modélisation Inclusives des Couleurs et Typographie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recherches de la British Dyslexia Association (BDA) et des études spécialisées soulignent que les palettes de couleurs vives et hautement saturées constituent une source majeure de surcharge sensorielle et d'anxiété pour la neurodiversité. Les tons chauds atténués (pêche, crème, orange doux) favorisent une lecture beaucoup plus fluide pour les utilisateurs présentant une dyslexie comorbide. Les couleurs froides (bleu, vert) sont associées à la concentration profonde et réduisent l'anxiété. Concernant la typographie, l'utilisation de polices sans-serif avec un interlignage (kerning) généreux et une taille d'au moins 12pt est une nécessité scientifique.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L'Architecture Anti-Menace (Coins Arrondis) L'esthétique géométrique du logiciel a un impact direct sur le système endocrinien. L'étude de Bar et Neta (2006), publiée dans </w:t>
      </w:r>
      <w:r w:rsidDel="00000000" w:rsidR="00000000" w:rsidRPr="00000000">
        <w:rPr>
          <w:i w:val="1"/>
          <w:iCs w:val="1"/>
          <w:rtl w:val="0"/>
        </w:rPr>
        <w:t xml:space="preserve">Psychological Science</w:t>
      </w:r>
      <w:r w:rsidDel="00000000" w:rsidR="00000000" w:rsidRPr="00000000">
        <w:rPr>
          <w:rtl w:val="0"/>
        </w:rPr>
        <w:t xml:space="preserve">, a prouvé que les angles vifs et pointus sont analysés inconsciemment par l'amygdale cérébrale comme des menaces. L'utilisation d'interfaces arborant des coins arrondis demande moins d'efforts de calcul visuel et permet de réduire les niveaux de cortisol (l'hormone du stress) de 15 %.</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Ingénierie des Interfaces pour Surmonter la Cécité Temporelle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TDAH génère une "cécité temporelle" (</w:t>
      </w:r>
      <w:r w:rsidDel="00000000" w:rsidR="00000000" w:rsidRPr="00000000">
        <w:rPr>
          <w:i w:val="1"/>
          <w:iCs w:val="1"/>
          <w:rtl w:val="0"/>
        </w:rPr>
        <w:t xml:space="preserve">time blindness</w:t>
      </w:r>
      <w:r w:rsidDel="00000000" w:rsidR="00000000" w:rsidRPr="00000000">
        <w:rPr>
          <w:rtl w:val="0"/>
        </w:rPr>
        <w:t xml:space="preserve">), se manifestant par une incapacité neurologique à estimer, gérer et percevoir avec précision l'écoulement du temps. Le Dr Russell Barkley souligne que le cerveau TDAH vit selon deux fuseaux horaires distincts : "maintenant" et "pas maintenant". Construire un système de productivité uniquement basé sur des dates limites lointaines est donc inefficace.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contrer cette dysfonction, les ergothérapeutes de l'Université Stanford recommandent "d'externaliser le temps". Plutôt qu'une simple horloge numérique qui exige un calcul mental, l'intégration de "minuteurs visuels" (</w:t>
      </w:r>
      <w:r w:rsidDel="00000000" w:rsidR="00000000" w:rsidRPr="00000000">
        <w:rPr>
          <w:i w:val="1"/>
          <w:iCs w:val="1"/>
          <w:rtl w:val="0"/>
        </w:rPr>
        <w:t xml:space="preserve">visual timers</w:t>
      </w:r>
      <w:r w:rsidDel="00000000" w:rsidR="00000000" w:rsidRPr="00000000">
        <w:rPr>
          <w:rtl w:val="0"/>
        </w:rPr>
        <w:t xml:space="preserve"> analogiques, comme un disque coloré qui rétrécit) est préconisée. Cette représentation spatiale du temps, combinée à la technique de séquençage Pomodoro (25 minutes de travail, 5 minutes de pause), permet à l'utilisateur de comprendre intuitivement la proportion de temps restante.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5. Ingénierie Comportementale Avancée : Gamification et Flow</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Aversion au Délai et Dopamine (RPE)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"gamification" professionnelle n'est pas un artifice, mais une prothèse dopaminergique. Le TDAH est cliniquement caractérisé par une forte "aversion au délai" (</w:t>
      </w:r>
      <w:r w:rsidDel="00000000" w:rsidR="00000000" w:rsidRPr="00000000">
        <w:rPr>
          <w:i w:val="1"/>
          <w:iCs w:val="1"/>
          <w:rtl w:val="0"/>
        </w:rPr>
        <w:t xml:space="preserve">Delay Aversion</w:t>
      </w:r>
      <w:r w:rsidDel="00000000" w:rsidR="00000000" w:rsidRPr="00000000">
        <w:rPr>
          <w:rtl w:val="0"/>
        </w:rPr>
        <w:t xml:space="preserve">) : les individus ont une préférence neurologique mesurable pour les petites récompenses immédiates au détriment des grandes récompenses différées.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Sur le plan biologique, les études de Wolfram Schultz par IRMf ont mis en lumière le mécanisme de l'Erreur de Prédiction de la Récompense (RPE - </w:t>
      </w:r>
      <w:r w:rsidDel="00000000" w:rsidR="00000000" w:rsidRPr="00000000">
        <w:rPr>
          <w:i w:val="1"/>
          <w:iCs w:val="1"/>
          <w:rtl w:val="0"/>
        </w:rPr>
        <w:t xml:space="preserve">Reward Prediction Error</w:t>
      </w:r>
      <w:r w:rsidDel="00000000" w:rsidR="00000000" w:rsidRPr="00000000">
        <w:rPr>
          <w:rtl w:val="0"/>
        </w:rPr>
        <w:t xml:space="preserve">) : la dopamine n'est pas un simple détecteur de plaisir, mais un détecteur de surprise. Les neurones dopaminergiques déchargent massivement lorsque le résultat d'une action dépasse les attentes. Intégrer des micro-interactions fluides et gratifiantes (des éclats visuels, un changement d'état d'un bouton) génère des micro-récompenses (RPE positives) qui stimulent artificiellement la production de dopamine et renforcent les boucles d'habitudes.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Modèle de Fogg et l'Effet Zeigarnik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modèle comportemental de B.J. Fogg (Université Stanford) établit qu'une action ne se produit que lorsque trois vecteurs convergent : la Motivation, la Capacité et le Déclencheur. Pour maintenir l'engagement, l'interface doit également exploiter l'Effet Zeigarnik, identifié par la psychologue Bluma Zeigarnik. Ce biais cognitif démontre que le cerveau humain retient beaucoup mieux les tâches inachevées que celles complétées, créant une "tension mentale". Des études (Baumeister et Masicampo, 2011) ont prouvé que planifier ou intégrer une barre de progression claire permet de libérer cette tension cognitive et d'inciter l'utilisateur à clore l'action en cours.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Validation Clinique et Traitements Numériques (FDA)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pertinence d'utiliser le logiciel comme traitement cognitif est aujourd'hui une réalité médicale. Récemment, la FDA américaine a autorisé </w:t>
      </w:r>
      <w:r w:rsidDel="00000000" w:rsidR="00000000" w:rsidRPr="00000000">
        <w:rPr>
          <w:i w:val="1"/>
          <w:iCs w:val="1"/>
          <w:rtl w:val="0"/>
        </w:rPr>
        <w:t xml:space="preserve">EndeavorRx</w:t>
      </w:r>
      <w:r w:rsidDel="00000000" w:rsidR="00000000" w:rsidRPr="00000000">
        <w:rPr>
          <w:rtl w:val="0"/>
        </w:rPr>
        <w:t xml:space="preserve"> (AKL-T01), le premier jeu vidéo thérapeutique approuvé sur ordonnance pour le traitement de l'inattention liée au TDAH. Publié dans </w:t>
      </w:r>
      <w:r w:rsidDel="00000000" w:rsidR="00000000" w:rsidRPr="00000000">
        <w:rPr>
          <w:i w:val="1"/>
          <w:iCs w:val="1"/>
          <w:rtl w:val="0"/>
        </w:rPr>
        <w:t xml:space="preserve">The Lancet Digital Health</w:t>
      </w:r>
      <w:r w:rsidDel="00000000" w:rsidR="00000000" w:rsidRPr="00000000">
        <w:rPr>
          <w:rtl w:val="0"/>
        </w:rPr>
        <w:t xml:space="preserve">, l'essai clinique randomisé STARS-ADHD a prouvé qu'une expérience numérique ciblée et gamifiée améliorait significativement les fonctions d'attention objectives.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Synthèse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fusionnant la rigueur des neurosciences cliniques (dopamine/RPE), la psychologie cognitive de pointe (Effet Zeigarnik, Loi de Tesler) et les normes d'accessibilité (W3C COGA), un outil technologique peut s'élever au rang d'extension prothétique de la cognition exécutive. Cette approche holistique ne manipule pas l'utilisateur ; elle collabore intimement avec sa nature neurologique pour lui permettre de naviguer dans le chaos de ses responsabilités professionnelles avec une clarté restaurée et une efficacité véritablement soutenable.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Ouvrages cités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Designing for the 15%: Why Neurodivergent UX Is the Future - PRINT Magazine, https://www.printmag.com/industry-perspectives/why-neurodivergent-ux-is-the-future/ 2. ADHD-Friendly Web Design: Minimizing Distractions, https://www.boia.org/blog/adhd-friendly-web-design-minimizing-distractions 3. Transform Chaos: Best Organization Systems for ADHD - Elevating ..., https://elevatingmindspsychiatry.com/transform-chaos-best-organization-systems-for-adhd/ 4. Executive Function Skills - CHADD, https://chadd.org/about-adhd/executive-function-skills/ 5. Few Guesses, More Success: 4 Principles to Reduce Cognitive Load in Forms - NN/G, https://www.nngroup.com/articles/4-principles-reduce-cognitive-load/ 6. The Principles of Neurodivergent UX Design Every Designer Should Know, https://www.accessibilitychecker.org/blog/neurodivergent-ux-design/ 7. Thesis - DiVA, https://hj.diva-portal.org/smash/get/diva2:2069190/FULLTEXT01.pdf 8. The Cognitive Cost of Dashboard Design: Data Visualisation is a Neuroscience Problem, https://blog.prototypr.io/the-cognitive-cost-of-dashboard-design-data-visualisation-is-a-neuroscience-problem-a71f95cdc9b4 9. Cognitive accessibility guidelines | Accessibility manual - Department for Education, https://accessibility.education.gov.uk/guidelines/coga 10. Our Branding | Exceptional Minds, https://www.exceptional-minds.com/our-branding 11. Office Design For Neurodiversity: The Role of Colour - DENTON, https://www.denton.co.uk/insights/designing-for-neurodiversity-the-impact-of-colour 12. Managing Time Blindness - Stanford Center for Teaching and Learning, https://ctl.stanford.edu/managing-time-blindness 13. Managing Distractions With The Pomodoro Technique For ADHD | Life Skills Advocate, https://lifeskillsadvocate.com/blog/pomodoro-technique-for-adhd/ 14. ADHD Time Blindness: How to Detect It &amp; Regain Control Over Time, https://add.org/adhd-time-blindness/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