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sz w:val="96"/>
          <w:szCs w:val="96"/>
        </w:rPr>
        <w:t xml:space="preserve">🔋</w:t>
      </w:r>
    </w:p>
    <w:p>
      <w:pPr>
        <w:spacing w:after="200" w:before="200"/>
        <w:jc w:val="center"/>
      </w:pPr>
      <w:r>
        <w:rPr>
          <w:rFonts w:ascii="Cambria" w:cs="Cambria" w:eastAsia="Cambria" w:hAnsi="Cambria"/>
          <w:b/>
          <w:bCs/>
          <w:color w:val="1E2761"/>
          <w:sz w:val="56"/>
          <w:szCs w:val="56"/>
        </w:rPr>
        <w:t xml:space="preserve">Integrated ESP32 Battery Management System</w:t>
      </w:r>
    </w:p>
    <w:p>
      <w:pPr>
        <w:spacing w:after="400"/>
        <w:jc w:val="center"/>
      </w:pPr>
      <w:r>
        <w:rPr>
          <w:i/>
          <w:iCs/>
          <w:color w:val="36454F"/>
          <w:sz w:val="26"/>
          <w:szCs w:val="26"/>
        </w:rPr>
        <w:t xml:space="preserve">Production-Grade Battery Intelligence, Safety, Fault Tolerance &amp; IoT Monitoring</w:t>
      </w:r>
    </w:p>
    <w:p>
      <w:pPr>
        <w:spacing w:after="1200"/>
        <w:jc w:val="center"/>
      </w:pPr>
      <w:r>
        <w:rPr>
          <w:b/>
          <w:bCs/>
          <w:color w:val="990011"/>
          <w:sz w:val="30"/>
          <w:szCs w:val="30"/>
        </w:rPr>
        <w:t xml:space="preserve">Project Report</w:t>
      </w:r>
    </w:p>
    <w:p>
      <w:pPr>
        <w:spacing w:after="100"/>
        <w:jc w:val="center"/>
      </w:pPr>
      <w:r>
        <w:rPr>
          <w:color w:val="36454F"/>
          <w:sz w:val="22"/>
          <w:szCs w:val="22"/>
        </w:rPr>
        <w:t xml:space="preserve">Platform: ESP32 DevKit V1  •  Simulation: Wokwi  •  Cloud: Blynk IoT</w:t>
      </w:r>
    </w:p>
    <w:p>
      <w:pPr>
        <w:jc w:val="center"/>
      </w:pPr>
      <w:r>
        <w:rPr>
          <w:color w:val="36454F"/>
          <w:sz w:val="22"/>
          <w:szCs w:val="22"/>
        </w:rPr>
        <w:t xml:space="preserve">Architecture: Unified Integrated System — Six Interconnected Modules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Introduction</w:t>
      </w:r>
    </w:p>
    <w:p>
      <w:pPr>
        <w:spacing w:after="120"/>
      </w:pPr>
      <w:r>
        <w:t xml:space="preserve">The Integrated ESP32 Battery Management System (BMS) is a unified embedded-systems project that monitors a simulated four-cell lithium-ion battery pack and delivers battery intelligence, safety protection, a local diagnostic interface, fault-tolerant runtime behaviour, cloud telemetry, and an executive dashboard — all within a single Wokwi simulation.</w:t>
      </w:r>
    </w:p>
    <w:p>
      <w:pPr>
        <w:spacing w:after="120"/>
      </w:pPr>
      <w:r>
        <w:t xml:space="preserve">Rather than treating each capability as an isolated exercise, the project integrates six challenge tasks into one continuous data pipeline: sensing feeds analytics, analytics feeds safety logic, safety logic drives protection hardware and the fault-tolerant runtime, and the runtime's state is surfaced simultaneously through a local LCD, an IoT cloud dashboard, and an executive summary view.</w:t>
      </w:r>
    </w:p>
    <w:p>
      <w:pPr>
        <w:pStyle w:val="Heading2"/>
        <w:spacing w:after="100" w:before="220"/>
      </w:pPr>
      <w:r>
        <w:t xml:space="preserve">1.1 Six Integrated Challenge Tasks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00"/>
        <w:gridCol w:w="3800"/>
      </w:tblGrid>
      <w:tr>
        <w:trPr>
          <w:tblHeader/>
        </w:trPr>
        <w:tc>
          <w:tcPr>
            <w:tcW w:type="dxa" w:w="12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4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8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Main Function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Task 1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Adaptive Multi-Cell Battery Intelligence Engine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Cell monitoring, SOC, imbalance, health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Task 2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Event-Driven Safety Protection Kernel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Fault detection and protection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Task 3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Intelligent Embedded HMI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LCD diagnostics and fault display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Task 4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Fault-Tolerant Embedded Runtime System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Fault handling and recovery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Task 5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Intelligent Cloud Telemetry Architecture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Blynk IoT and event telemetry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Task 6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Executive Battery Intelligence Dashboard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Live analytics and operator information</w:t>
            </w:r>
          </w:p>
        </w:tc>
      </w:tr>
    </w:tbl>
    <w:p>
      <w:pPr>
        <w:pStyle w:val="Heading1"/>
        <w:spacing w:after="150" w:before="300"/>
      </w:pPr>
      <w:r>
        <w:t xml:space="preserve">2. Complete System Architecture</w:t>
      </w:r>
    </w:p>
    <w:p>
      <w:pPr>
        <w:spacing w:after="120"/>
      </w:pPr>
      <w:r>
        <w:t xml:space="preserve">Data flows in one direction from the physical sensing layer through analytics, protection, and finally presentation, as shown below.</w:t>
      </w:r>
    </w:p>
    <w:p>
      <w:pPr>
        <w:spacing w:after="60" w:before="120"/>
        <w:jc w:val="center"/>
      </w:pPr>
      <w:r>
        <w:drawing>
          <wp:inline distT="0" distB="0" distL="0" distR="0">
            <wp:extent cx="3962400" cy="590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555555"/>
          <w:sz w:val="20"/>
          <w:szCs w:val="20"/>
        </w:rPr>
        <w:t xml:space="preserve">Figure 1: End-to-end module architecture — from cell sensing to the executive dashboard.</w:t>
      </w:r>
    </w:p>
    <w:p>
      <w:pPr>
        <w:pStyle w:val="Heading1"/>
        <w:spacing w:after="150" w:before="300"/>
      </w:pPr>
      <w:r>
        <w:t xml:space="preserve">3. Hardware Components</w:t>
      </w:r>
    </w:p>
    <w:p>
      <w:pPr>
        <w:spacing w:after="120"/>
      </w:pPr>
      <w:r>
        <w:t xml:space="preserve">The Wokwi prototype uses the following components, with the four potentiometers standing in for the four simulated lithium-ion cells: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ESP32 DevKit V1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 × 10 kΩ potentiometers (simulated cells)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16×2 I2C LCD with PCF8574 backpack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 × relay module (battery protection cutoff)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 × active buzzer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Red, yellow, and green status LEDs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Push button for HMI screen control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Push button for fault injection / demo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Relay feedback signal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Blynk IoT cloud connectivity</w:t>
      </w:r>
    </w:p>
    <w:p>
      <w:pPr>
        <w:pStyle w:val="Heading2"/>
        <w:spacing w:after="100" w:before="220"/>
      </w:pPr>
      <w:r>
        <w:t xml:space="preserve">3.1 Pin Configuration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600"/>
        <w:gridCol w:w="1200"/>
      </w:tblGrid>
      <w:tr>
        <w:trPr>
          <w:tblHeader/>
        </w:trPr>
        <w:tc>
          <w:tcPr>
            <w:tcW w:type="dxa" w:w="14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GPIO</w:t>
            </w:r>
          </w:p>
        </w:tc>
        <w:tc>
          <w:tcPr>
            <w:tcW w:type="dxa" w:w="22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6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12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GPIO 34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POT 1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Cell 1 ADC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GPIO 35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POT 2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Cell 2 ADC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GPIO 32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POT 3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Cell 3 ADC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GPIO 33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POT 4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Cell 4 ADC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GPIO 21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LCD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I2C SDA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I/O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GPIO 22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LCD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I2C SCL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I/O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GPIO 13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Relay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Relay command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GPIO 14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Buzzer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Fault buzzer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GPIO 25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 LED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Critical / Fault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GPIO 26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Yellow LED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Warning / Imbalance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GPIO 27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Green LED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Healthy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GPIO 18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Push Button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HMI screen control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GPIO 19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Relay feedback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Relay status verification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GPIO 23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Push Button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Fault injection / demo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</w:tr>
    </w:tbl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GPIO 34 and 35 are input-only pins, making them well suited to analog sensor inputs; GPIO 32 and 33 are also configured as ADC inputs. The I2C LCD is addressed at 0x27.</w:t>
      </w:r>
    </w:p>
    <w:p>
      <w:pPr>
        <w:pStyle w:val="Heading1"/>
        <w:spacing w:after="150" w:before="300"/>
      </w:pPr>
      <w:r>
        <w:t xml:space="preserve">4. Wokwi Circuit Simulation</w:t>
      </w:r>
    </w:p>
    <w:p>
      <w:pPr>
        <w:spacing w:after="120"/>
      </w:pPr>
      <w:r>
        <w:t xml:space="preserve">The complete circuit — four cell potentiometers, the ESP32, the I2C LCD, status LEDs, buzzer, dual relay modules, and both push buttons — was wired and simulated in Wokwi. The screenshot below shows the simulation mid-run, with a fault condition (frozen ADC signal) reported on the serial console.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2124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555555"/>
          <w:sz w:val="20"/>
          <w:szCs w:val="20"/>
        </w:rPr>
        <w:t xml:space="preserve">Figure 2: Wokwi simulation of the complete BMS circuit, showing a sensor-fault condition on the serial monitor.</w:t>
      </w:r>
    </w:p>
    <w:p>
      <w:pPr>
        <w:pStyle w:val="Heading1"/>
        <w:spacing w:after="150" w:before="300"/>
      </w:pPr>
      <w:r>
        <w:t xml:space="preserve">5. Software Architecture</w:t>
      </w:r>
    </w:p>
    <w:p>
      <w:pPr>
        <w:spacing w:after="120"/>
      </w:pPr>
      <w:r>
        <w:t xml:space="preserve">The firmware avoids blocking delay() calls and is organised into independent, millis()-scheduled modules:</w:t>
      </w:r>
    </w:p>
    <w:p>
      <w:pPr>
        <w:pStyle w:val="Heading2"/>
        <w:spacing w:after="100" w:before="220"/>
      </w:pPr>
      <w:r>
        <w:t xml:space="preserve">5.1 setup()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GPIO initialization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ADC configuration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LCD initialization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Wi-Fi initialization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Blynk initialization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Safety initialization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Runtime initialization</w:t>
      </w:r>
    </w:p>
    <w:p>
      <w:pPr>
        <w:pStyle w:val="Heading2"/>
        <w:spacing w:after="100" w:before="220"/>
      </w:pPr>
      <w:r>
        <w:t xml:space="preserve">5.2 loop()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readCells()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calculateBatteryAnalytics()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updateHealthState()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runSafetyProtection()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runFaultRuntime()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updateHMI()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processTelemetry()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processEventQueue()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updateDashboard()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processButtons()</w:t>
      </w:r>
    </w:p>
    <w:p>
      <w:pPr>
        <w:pStyle w:val="Heading2"/>
        <w:spacing w:after="100" w:before="220"/>
      </w:pPr>
      <w:r>
        <w:t xml:space="preserve">5.3 Timing Architecture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000"/>
      </w:tblGrid>
      <w:tr>
        <w:trPr>
          <w:tblHeader/>
        </w:trPr>
        <w:tc>
          <w:tcPr>
            <w:tcW w:type="dxa" w:w="40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40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Interval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ADC sampling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 ms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Safety evaluation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 ms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Runtime monitoring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 ms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HMI update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 ms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LCD screen rotation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s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Wi-Fi retry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 s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 events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Event driven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Queue synchronization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 reconnect</w:t>
            </w:r>
          </w:p>
        </w:tc>
      </w:tr>
    </w:tbl>
    <w:p>
      <w:pPr>
        <w:pStyle w:val="Heading1"/>
        <w:spacing w:after="150" w:before="300"/>
      </w:pPr>
      <w:r>
        <w:t xml:space="preserve">6. Task 1 — Battery Intelligence Engine</w:t>
      </w:r>
    </w:p>
    <w:p>
      <w:pPr>
        <w:spacing w:after="120"/>
      </w:pPr>
      <w:r>
        <w:t xml:space="preserve">Each cell is oversampled eight times to reduce ADC noise, then converted from a 12-bit raw reading (0–4095) into a modelled cell voltage between 2.5 V and 4.2 V: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cellVoltage = 2.5 + (adcVoltage / 3.3) × (4.2 − 2.5), constrained to [2.5, 4.2] V</w:t>
      </w:r>
    </w:p>
    <w:p>
      <w:pPr>
        <w:spacing w:after="120"/>
      </w:pPr>
      <w:r>
        <w:t xml:space="preserve">This is explicitly a simulation model — a real BMS would use a dedicated cell-sensing front end rather than connecting a lithium cell directly to an ESP32 ADC pin.</w:t>
      </w:r>
    </w:p>
    <w:p>
      <w:pPr>
        <w:pStyle w:val="Heading2"/>
        <w:spacing w:after="100" w:before="220"/>
      </w:pPr>
      <w:r>
        <w:t xml:space="preserve">6.1 Pack Analytics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Pack voltage = cell1 + cell2 + cell3 + cell4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Average voltage = pack voltage ÷ 4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Delta voltage = maximum cell − minimum cell</w:t>
      </w:r>
    </w:p>
    <w:p>
      <w:pPr>
        <w:pStyle w:val="Heading2"/>
        <w:spacing w:after="100" w:before="220"/>
      </w:pPr>
      <w:r>
        <w:t xml:space="preserve">6.2 Cell Imbalance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Individual imbalance = |Vcell − Vavg| ÷ Vavg × 100%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Pack imbalance = (Vmax − Vmin) ÷ Vavg × 100%</w:t>
      </w:r>
    </w:p>
    <w:p>
      <w:pPr>
        <w:pStyle w:val="Heading2"/>
        <w:spacing w:after="100" w:before="220"/>
      </w:pPr>
      <w:r>
        <w:t xml:space="preserve">6.3 State of Charge (SOC)</w:t>
      </w:r>
    </w:p>
    <w:p>
      <w:pPr>
        <w:spacing w:after="120"/>
      </w:pPr>
      <w:r>
        <w:t xml:space="preserve">SOC uses a linear voltage-based model: SOC = (V − 2.5) / (4.2 − 2.5) × 100%, constrained to 0–100%, where 2.50 V maps to 0% and 4.20 V maps to 100%. This is a demonstration model, not a substitute for a chemistry-specific SOC estimator.</w:t>
      </w:r>
    </w:p>
    <w:p>
      <w:pPr>
        <w:pStyle w:val="Heading2"/>
        <w:spacing w:after="100" w:before="220"/>
      </w:pPr>
      <w:r>
        <w:t xml:space="preserve">6.4 Health Classification</w:t>
      </w:r>
    </w:p>
    <w:p>
      <w:pPr>
        <w:spacing w:after="120"/>
      </w:pPr>
      <w:r>
        <w:t xml:space="preserve">Battery health is derived from fault status and pack imbalance, as shown in the decision flow below.</w:t>
      </w:r>
    </w:p>
    <w:p>
      <w:pPr>
        <w:spacing w:after="60" w:before="120"/>
        <w:jc w:val="center"/>
      </w:pPr>
      <w:r>
        <w:drawing>
          <wp:inline distT="0" distB="0" distL="0" distR="0">
            <wp:extent cx="40005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555555"/>
          <w:sz w:val="20"/>
          <w:szCs w:val="20"/>
        </w:rPr>
        <w:t xml:space="preserve">Figure 3: Health-classification decision flow.</w:t>
      </w:r>
    </w:p>
    <w:p>
      <w:pPr>
        <w:pStyle w:val="Heading1"/>
        <w:spacing w:after="150" w:before="300"/>
      </w:pPr>
      <w:r>
        <w:t xml:space="preserve">7. Task 2 — Safety Protection Kernel</w:t>
      </w:r>
    </w:p>
    <w:p>
      <w:pPr>
        <w:pStyle w:val="Heading2"/>
        <w:spacing w:after="100" w:before="220"/>
      </w:pPr>
      <w:r>
        <w:t xml:space="preserve">7.1 Safety Thresholds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800"/>
      </w:tblGrid>
      <w:tr>
        <w:trPr>
          <w:tblHeader/>
        </w:trPr>
        <w:tc>
          <w:tcPr>
            <w:tcW w:type="dxa" w:w="42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8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Minimum modeled voltage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2.50 V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Undervoltage fault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2.80 V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Nominal reference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3.70 V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Overvoltage fault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4.15 V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Maximum modeled voltage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4.20 V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Minor imbalance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&gt; 3%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Critical imbalance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&gt; 10%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Rapid dV/dt threshold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&gt; 0.15 V/s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ADC resolution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12-bit (0–4095)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ADC oversampling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 samples</w:t>
            </w:r>
          </w:p>
        </w:tc>
      </w:tr>
    </w:tbl>
    <w:p>
      <w:pPr>
        <w:pStyle w:val="Heading2"/>
        <w:spacing w:after="100" w:before="220"/>
      </w:pPr>
      <w:r>
        <w:t xml:space="preserve">7.2 Faults Detected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Undervoltage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Overvoltage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Rapid voltage change (dV/dt)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Sensor anomaly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Relay mismatch (commanded vs. feedback)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Invalid ADC reading</w:t>
      </w:r>
    </w:p>
    <w:p>
      <w:pPr>
        <w:pStyle w:val="Heading2"/>
        <w:spacing w:after="100" w:before="220"/>
      </w:pPr>
      <w:r>
        <w:t xml:space="preserve">7.3 Non-Blocking Fault Debounce</w:t>
      </w:r>
    </w:p>
    <w:p>
      <w:pPr>
        <w:spacing w:after="120"/>
      </w:pPr>
      <w:r>
        <w:t xml:space="preserve">A fault is confirmed only after it persists for a configured debounce period, rather than on a single noisy sample — this is implemented with millis()-based timers so the main loop never blocks.</w:t>
      </w:r>
    </w:p>
    <w:p>
      <w:pPr>
        <w:pStyle w:val="Heading2"/>
        <w:spacing w:after="100" w:before="220"/>
      </w:pPr>
      <w:r>
        <w:t xml:space="preserve">7.4 Safety State Machine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1028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555555"/>
          <w:sz w:val="20"/>
          <w:szCs w:val="20"/>
        </w:rPr>
        <w:t xml:space="preserve">Figure 4: Safety-kernel state machine (NORMAL → FAULT → COOLDOWN → NORMAL).</w:t>
      </w:r>
    </w:p>
    <w:p>
      <w:pPr>
        <w:pStyle w:val="Heading1"/>
        <w:spacing w:after="150" w:before="300"/>
      </w:pPr>
      <w:r>
        <w:t xml:space="preserve">8. Task 3 — Intelligent Embedded HMI</w:t>
      </w:r>
    </w:p>
    <w:p>
      <w:pPr>
        <w:spacing w:after="120"/>
      </w:pPr>
      <w:r>
        <w:t xml:space="preserve">The 16×2 LCD automatically rotates through four diagnostic screens every 4 seconds: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 1 — Pack voltage, SOC, and overall health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 2 — Cell 1 &amp; 2 voltages, weakest/strongest cell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 3 — Cell 3 &amp; 4 voltages, delta voltage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 4 — Pack imbalance and relay status</w:t>
      </w:r>
    </w:p>
    <w:p>
      <w:pPr>
        <w:spacing w:after="120"/>
      </w:pPr>
      <w:r>
        <w:t xml:space="preserve">During a critical fault, normal screen rotation is immediately overridden by a dedicated FAULT/WARNING screen. Rotation resumes automatically once the fault is resolved.</w:t>
      </w:r>
    </w:p>
    <w:p>
      <w:pPr>
        <w:pStyle w:val="Heading1"/>
        <w:spacing w:after="150" w:before="300"/>
      </w:pPr>
      <w:r>
        <w:t xml:space="preserve">9. Task 4 — Fault-Tolerant Embedded Runtime</w:t>
      </w:r>
    </w:p>
    <w:p>
      <w:pPr>
        <w:spacing w:after="120"/>
      </w:pPr>
      <w:r>
        <w:t xml:space="preserve">The runtime subsystem tracks four operational modes, escalating and recovering based on fault severity and persistence: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NORMAL — all monitored subsystems operating normally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DEGRADED — a non-critical fault exists while essential monitoring continues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FAILSAFE — a serious fault is detected: relay OFF, buzzer ON, red LED ON, fault logged, cloud event generated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SHUTDOWN — persistent or severe faults force a safe terminal state until explicit recovery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1009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555555"/>
          <w:sz w:val="20"/>
          <w:szCs w:val="20"/>
        </w:rPr>
        <w:t xml:space="preserve">Figure 5: Fault-tolerant runtime state machine.</w:t>
      </w:r>
    </w:p>
    <w:p>
      <w:pPr>
        <w:spacing w:after="120"/>
      </w:pPr>
      <w:r>
        <w:t xml:space="preserve">Each fault is logged as a structured event containing a timestamp, type, severity, affected cell, and measured value — for example: 5230 ms | UNDERVOLTAGE | CRITICAL | CELL 2 | 2.74 V.</w:t>
      </w:r>
    </w:p>
    <w:p>
      <w:pPr>
        <w:pStyle w:val="Heading1"/>
        <w:spacing w:after="150" w:before="300"/>
      </w:pPr>
      <w:r>
        <w:t xml:space="preserve">10. Task 5 — Intelligent Cloud Telemetry</w:t>
      </w:r>
    </w:p>
    <w:p>
      <w:pPr>
        <w:spacing w:after="120"/>
      </w:pPr>
      <w:r>
        <w:t xml:space="preserve">Telemetry is event-driven rather than continuous: data is transmitted to Blynk only when something meaningful changes — a health-state change, a significant SOC or imbalance shift, a fault, a threshold crossing, or a Wi-Fi reconnection. This significantly reduces network traffic compared with streaming every sensor sample.</w:t>
      </w:r>
    </w:p>
    <w:p>
      <w:pPr>
        <w:pStyle w:val="Heading2"/>
        <w:spacing w:after="100" w:before="220"/>
      </w:pPr>
      <w:r>
        <w:t xml:space="preserve">10.1 Offline Event Queue</w:t>
      </w:r>
    </w:p>
    <w:p>
      <w:pPr>
        <w:spacing w:after="120"/>
      </w:pPr>
      <w:r>
        <w:t xml:space="preserve">If Wi-Fi is unavailable, battery events are stored in a 20-event ring buffer. On reconnection, the queue is synchronized to the Blynk cloud in order, so no safety-relevant event is lost during a network outage.</w:t>
      </w:r>
    </w:p>
    <w:p>
      <w:pPr>
        <w:pStyle w:val="Heading2"/>
        <w:spacing w:after="100" w:before="220"/>
      </w:pPr>
      <w:r>
        <w:t xml:space="preserve">10.2 Wi-Fi Signal Monitoring</w:t>
      </w:r>
    </w:p>
    <w:p>
      <w:pPr>
        <w:spacing w:after="120"/>
      </w:pPr>
      <w:r>
        <w:t xml:space="preserve">Signal strength is read via WiFi.RSSI() and classified as Excellent, Good, Fair, or Weak for display on the dashboard.</w:t>
      </w:r>
    </w:p>
    <w:p>
      <w:pPr>
        <w:pStyle w:val="Heading1"/>
        <w:spacing w:after="150" w:before="300"/>
      </w:pPr>
      <w:r>
        <w:t xml:space="preserve">11. Task 6 — Executive Battery Intelligence Dashboard</w:t>
      </w:r>
    </w:p>
    <w:p>
      <w:pPr>
        <w:spacing w:after="120"/>
      </w:pPr>
      <w:r>
        <w:t xml:space="preserve">The dashboard is built on Blynk virtual pins, mapping each analytics output to a live widget: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2200"/>
      </w:tblGrid>
      <w:tr>
        <w:trPr>
          <w:tblHeader/>
        </w:trPr>
        <w:tc>
          <w:tcPr>
            <w:tcW w:type="dxa" w:w="16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Pin</w:t>
            </w:r>
          </w:p>
        </w:tc>
        <w:tc>
          <w:tcPr>
            <w:tcW w:type="dxa" w:w="42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22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Widget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V0–V3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Cell 1–4 voltage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Gauge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V4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Pack voltage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Gauge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V5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SOC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Gauge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V6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Imbalance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Gauge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V7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Health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V8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RSSI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V9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Event log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Terminal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V10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Risk level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V11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Operator recommendation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V12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Weakest cell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V13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Strongest cell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V14–V16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Green / Yellow / Red indicator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LED</w:t>
            </w:r>
          </w:p>
        </w:tc>
      </w:tr>
    </w:tbl>
    <w:p>
      <w:pPr>
        <w:pStyle w:val="Heading2"/>
        <w:spacing w:after="100" w:before="220"/>
      </w:pPr>
      <w:r>
        <w:t xml:space="preserve">11.1 Operator Recommendations</w:t>
      </w:r>
    </w:p>
    <w:p>
      <w:pPr>
        <w:spacing w:after="120"/>
      </w:pPr>
      <w:r>
        <w:t xml:space="preserve">The dashboard generates plain-language operator messages driven by battery state, such as: SYSTEM NOMINAL, MONITOR IMBALANCE, BALANCE CELLS, CHARGE SOON, STOP – LOW CELL, and STOP – OVERVOLTAGE.</w:t>
      </w:r>
    </w:p>
    <w:p>
      <w:pPr>
        <w:pStyle w:val="Heading2"/>
        <w:spacing w:after="100" w:before="220"/>
      </w:pPr>
      <w:r>
        <w:t xml:space="preserve">11.2 Severity Indication</w:t>
      </w:r>
    </w:p>
    <w:p>
      <w:pPr>
        <w:spacing w:after="120"/>
      </w:pPr>
      <w:r>
        <w:t xml:space="preserve">Overall severity escalates from GREEN (healthy) to YELLOW (warning / imbalance) to RED (critical fault), mirrored across the LCD LEDs, the physical LEDs, and the Blynk dashboard indicators.</w:t>
      </w:r>
    </w:p>
    <w:p>
      <w:pPr>
        <w:pStyle w:val="Heading1"/>
        <w:spacing w:after="150" w:before="300"/>
      </w:pPr>
      <w:r>
        <w:t xml:space="preserve">12. Testing &amp; Demonstration Procedure</w:t>
      </w:r>
    </w:p>
    <w:p>
      <w:pPr>
        <w:spacing w:after="120"/>
      </w:pPr>
      <w:r>
        <w:t xml:space="preserve">Seven scenarios were used to validate the system end-to-end in Wokwi: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4100"/>
      </w:tblGrid>
      <w:tr>
        <w:trPr>
          <w:tblHeader/>
        </w:trPr>
        <w:tc>
          <w:tcPr>
            <w:tcW w:type="dxa" w:w="7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42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41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Healthy battery — all cells ≈ 3.70 V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Health: HEALTHY · Green LED · Relay ON · Buzzer OFF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Minor imbalance — one cell at 3.50 V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Health: MINOR IMBALANCE · Yellow LED · Recommend monitor/balance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Critical imbalance — large cell gap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Health: CRITICAL IMBALANCE · Red LED · High risk · Balance cells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Undervoltage — cell below 2.80 V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Fault · Relay OFF · Red LED + Buzzer ON · LCD warning · Cloud event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Overvoltage — cell above 4.15 V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Overvoltage · Relay OFF · Red LED + Buzzer ON · Cloud event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Sensor fault injection (frozen ADC)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DEGRADED → FAILSAFE, depending on severity/persistence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Wi-Fi failure and reconnection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Local BMS continues; events queued; synchronized on reconnect</w:t>
            </w:r>
          </w:p>
        </w:tc>
      </w:tr>
    </w:tbl>
    <w:p>
      <w:pPr>
        <w:pStyle w:val="Heading1"/>
        <w:spacing w:after="150" w:before="300"/>
      </w:pPr>
      <w:r>
        <w:t xml:space="preserve">13. End-to-End System Flow</w:t>
      </w:r>
    </w:p>
    <w:p>
      <w:pPr>
        <w:spacing w:after="60" w:before="120"/>
        <w:jc w:val="center"/>
      </w:pPr>
      <w:r>
        <w:drawing>
          <wp:inline distT="0" distB="0" distL="0" distR="0">
            <wp:extent cx="1362075" cy="571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555555"/>
          <w:sz w:val="20"/>
          <w:szCs w:val="20"/>
        </w:rPr>
        <w:t xml:space="preserve">Figure 6: Complete sense → analyze → detect → protect → display → transmit → visualize → recover cycle.</w:t>
      </w:r>
    </w:p>
    <w:p>
      <w:pPr>
        <w:pStyle w:val="Heading1"/>
        <w:spacing w:after="150" w:before="300"/>
      </w:pPr>
      <w:r>
        <w:t xml:space="preserve">14. Safety Note &amp; Limitations</w:t>
      </w:r>
    </w:p>
    <w:p>
      <w:pPr>
        <w:spacing w:after="120"/>
      </w:pPr>
      <w:r>
        <w:t xml:space="preserve">This project is an educational Wokwi prototype. The simulated voltage conversion, SOC estimation, thresholds, relay protection, and fault models exist to demonstrate embedded-systems architecture. They should not be used directly in a real EV, aircraft, industrial battery, or other safety-critical BMS without dedicated battery-monitoring ICs, galvanic isolation, redundant sensing, thermal monitoring, active balancing circuitry, validated protection logic, EMC testing, and applicable safety certification.</w:t>
      </w:r>
    </w:p>
    <w:p>
      <w:pPr>
        <w:pStyle w:val="Heading1"/>
        <w:spacing w:after="150" w:before="300"/>
      </w:pPr>
      <w:r>
        <w:t xml:space="preserve">15. Technology Stack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000"/>
      </w:tblGrid>
      <w:tr>
        <w:trPr>
          <w:tblHeader/>
        </w:trPr>
        <w:tc>
          <w:tcPr>
            <w:tcW w:type="dxa" w:w="32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50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Microcontroller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ESP32 DevKit V1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Language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C++ (Arduino framework)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Simulation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Wokwi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Blynk IoT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Display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16×2 I2C LCD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Wi-Fi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ADC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ESP32 12-bit ADC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Timing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millis() scheduler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Event-driven / modular</w:t>
            </w:r>
          </w:p>
        </w:tc>
      </w:tr>
    </w:tbl>
    <w:p>
      <w:pPr>
        <w:pStyle w:val="Heading1"/>
        <w:spacing w:after="150" w:before="300"/>
      </w:pPr>
      <w:r>
        <w:t xml:space="preserve">16. Conclusion</w:t>
      </w:r>
    </w:p>
    <w:p>
      <w:pPr>
        <w:spacing w:after="120"/>
      </w:pPr>
      <w:r>
        <w:t xml:space="preserve">All six challenge tasks — battery intelligence, safety protection, embedded HMI, fault-tolerant runtime, cloud telemetry, and the executive dashboard — were implemented as interconnected modules within a single Wokwi project and demonstrated together as one complete Battery Management System. The result is a cohesive, end-to-end BMS pipeline: sensing feeds analytics, analytics drives protection and the runtime state machine, and that state is simultaneously reflected on a local display, an IoT cloud dashboard, and an executive summary — with graceful degradation under sensor and network faults.</w:t>
      </w:r>
    </w:p>
    <w:p>
      <w:pPr>
        <w:pStyle w:val="Heading2"/>
        <w:spacing w:after="100" w:before="220"/>
      </w:pPr>
      <w:r>
        <w:t xml:space="preserve">Skills Demonstrated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ESP32 &amp; embedded C++ · ADC interfacing · battery monitoring &amp; analytics · SOC estimation · cell-balancing analysis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State machines · event-driven programming · non-blocking firmware · millis() scheduling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Fault detection, recovery, and logging · relay protection · buzzer control · LED diagnostics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LCD HMI · I2C communication · Wi-Fi communication · IoT telemetry · Blynk · cloud dashboards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Wokwi simulation · modular embedded architecture</w:t>
      </w:r>
    </w:p>
    <w:sectPr>
      <w:headerReference w:type="default" r:id="rId7"/>
      <w:footerReference w:type="default" r:id="rId8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Integrated ESP32 Battery Management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1E2761" w:sz="6"/>
      </w:pBdr>
      <w:spacing w:after="150" w:before="300"/>
    </w:pPr>
    <w:rPr>
      <w:rFonts w:ascii="Cambria" w:cs="Cambria" w:eastAsia="Cambria" w:hAnsi="Cambria"/>
      <w:b/>
      <w:bCs/>
      <w:color w:val="1E2761"/>
      <w:sz w:val="32"/>
      <w:szCs w:val="32"/>
    </w:rPr>
  </w:style>
  <w:style w:type="paragraph" w:styleId="Heading2">
    <w:name w:val="Heading 2"/>
    <w:basedOn w:val="Normal"/>
    <w:next w:val="Normal"/>
    <w:pPr>
      <w:spacing w:after="100" w:before="220"/>
    </w:pPr>
    <w:rPr>
      <w:rFonts w:ascii="Cambria" w:cs="Cambria" w:eastAsia="Cambria" w:hAnsi="Cambria"/>
      <w:b/>
      <w:bCs/>
      <w:color w:val="1E276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3a41920916affb5bd068269f60d4fd46821a5c4.png"/><Relationship Id="rId10" Type="http://schemas.openxmlformats.org/officeDocument/2006/relationships/image" Target="media/269ab27a6a00de34cd3c2aadacee89350a146821.png"/><Relationship Id="rId11" Type="http://schemas.openxmlformats.org/officeDocument/2006/relationships/image" Target="media/07f118494fd9e34fadeef30bf4565735d058d981.png"/><Relationship Id="rId12" Type="http://schemas.openxmlformats.org/officeDocument/2006/relationships/image" Target="media/c3642b1094add765d4a1c83aaa7daa4d95d52f72.png"/><Relationship Id="rId13" Type="http://schemas.openxmlformats.org/officeDocument/2006/relationships/image" Target="media/0e70102b33c029df732bd4fd5535a0fe9e160a5a.png"/><Relationship Id="rId14" Type="http://schemas.openxmlformats.org/officeDocument/2006/relationships/image" Target="media/67811a086414ab663c0769c52856dd0fdfeb01f0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2026-09-27T20:53:20.242Z</dcterms:created>
  <dcterms:modified xsi:type="dcterms:W3CDTF">2026-09-27T20:53:20.242Z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