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HitPredict Song Hit Classification Report</w:t>
      </w:r>
    </w:p>
    <w:p>
      <w:pPr>
        <w:pStyle w:val="Heading1"/>
      </w:pPr>
      <w:r>
        <w:t>Objective and Overview</w:t>
      </w:r>
    </w:p>
    <w:p>
      <w:r>
        <w:t>HitPredict investigates whether a song's audio characteristics and an artist's earlier chart history can distinguish Billboard Hot 100 hits from non-hit candidates. The project implements a supervised classification workflow covering data preparation, feature engineering, model comparison, evaluation, and command-line inference. Its main finding is that prior artist chart history contributes substantially more predictive information than the three audio descriptors alone.</w:t>
      </w:r>
    </w:p>
    <w:p>
      <w:pPr>
        <w:pStyle w:val="Heading1"/>
      </w:pPr>
      <w:r>
        <w:t>Dataset and Preparation</w:t>
      </w:r>
    </w:p>
    <w:p>
      <w:r>
        <w:t>The project combines Million Song Dataset audio descriptors with historical Billboard Hot 100 records. The final balanced dataset contains 4,000 songs: 2,000 hits and 2,000 non-hit candidates, representing 2,660 normalized artist keys. The hit-label window is 1990 to 2018; artist-history records cover 1986 to 2018.</w:t>
      </w:r>
    </w:p>
    <w:p>
      <w:r>
        <w:t>Artist names and song titles are normalized before exact matching. A hit is a matched song appearing anywhere in the Hot 100 during the label window. Non-hit candidates have no exact match in the available chart history, which does not prove they never charted. Invalid audio values, missing identities, and duplicate song identities are filtered before sampling. Only 2,538 of 10,878 eligible Billboard identities match the retained procedure, limiting positive-sample coverage.</w:t>
      </w:r>
    </w:p>
    <w:p>
      <w:pPr>
        <w:pStyle w:val="Heading1"/>
      </w:pPr>
      <w:r>
        <w:t>Input Features</w:t>
      </w:r>
    </w:p>
    <w:p>
      <w:r>
        <w:t>The four inputs are tempo in beats per minute, loudness in decibels, duration in seconds, and binary Artist Score. Artist Score equals 1 when the same normalized artist has an earlier chart appearance for a different song; otherwise it equals 0. The current song is excluded from its own history. Chart rank, peak position, and weeks on chart are excluded from model inputs.</w:t>
      </w:r>
    </w:p>
    <w:p>
      <w:r>
        <w:t>Artist Score is present for 70.35% of hits and 6.05% of non-hit candidates. Hits are also louder on average, while tempo and duration show weaker relationships with the label. These observations describe associations within the sample.</w:t>
      </w:r>
    </w:p>
    <w:p>
      <w:pPr>
        <w:pStyle w:val="Heading1"/>
      </w:pPr>
      <w:r>
        <w:t>Modeling and Evaluation</w:t>
      </w:r>
    </w:p>
    <w:p>
      <w:r>
        <w:t>The original benchmark compares logistic regression, linear, RBF and polynomial SVMs, a decision tree, a random forest, and a small neural network. Later development also evaluates polynomial logistic regression, bagged trees, AdaBoost, and gradient boosting. A prior baseline provides approximately 50% accuracy.</w:t>
      </w:r>
    </w:p>
    <w:p>
      <w:r>
        <w:t>The primary split separates artists: 3,024 training songs and 976 test songs share no normalized artist keys. Five outer validation folds and five inner tuning folds support model comparison and hyperparameter selection. Imputation and scaling are fitted within training folds. Feature ablation compares audio alone with audio plus Artist Score; later development selects probability thresholds using inner training predictions.</w:t>
      </w:r>
    </w:p>
    <w:p>
      <w:r>
        <w:br w:type="page"/>
      </w:r>
    </w:p>
    <w:p>
      <w:pPr>
        <w:pStyle w:val="Heading1"/>
      </w:pPr>
      <w:r>
        <w:t>Key Results</w:t>
      </w:r>
    </w:p>
    <w:p>
      <w:r>
        <w:t>The following results use all four inputs on the original 976-song test set with no shared artist keys. Random forest has the highest observed test accuracy and is now used for inference. This deployment choice followed review of the completed comparison.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429"/>
        <w:gridCol w:w="2160"/>
        <w:gridCol w:w="2160"/>
      </w:tblGrid>
      <w:tr>
        <w:trPr>
          <w:cantSplit/>
          <w:tblHeader/>
        </w:trPr>
        <w:tc>
          <w:tcPr>
            <w:tcW w:type="dxa" w:w="5429"/>
            <w:vAlign w:val="center"/>
            <w:tcMar>
              <w:top w:w="85" w:type="dxa"/>
              <w:left w:w="85" w:type="dxa"/>
              <w:bottom w:w="85" w:type="dxa"/>
              <w:right w:w="85" w:type="dxa"/>
            </w:tcMar>
            <w:shd w:fill="E8EDF2"/>
          </w:tcPr>
          <w:p>
            <w:pPr>
              <w:spacing w:after="0" w:line="240" w:lineRule="auto"/>
              <w:jc w:val="left"/>
            </w:pPr>
            <w:r>
              <w:rPr>
                <w:b/>
                <w:sz w:val="20"/>
              </w:rPr>
              <w:t>Model</w:t>
            </w:r>
          </w:p>
        </w:tc>
        <w:tc>
          <w:tcPr>
            <w:tcW w:type="dxa" w:w="2160"/>
            <w:vAlign w:val="center"/>
            <w:tcMar>
              <w:top w:w="85" w:type="dxa"/>
              <w:left w:w="85" w:type="dxa"/>
              <w:bottom w:w="85" w:type="dxa"/>
              <w:right w:w="85" w:type="dxa"/>
            </w:tcMar>
            <w:shd w:fill="E8EDF2"/>
          </w:tcPr>
          <w:p>
            <w:pPr>
              <w:spacing w:after="0" w:line="240" w:lineRule="auto"/>
              <w:jc w:val="center"/>
            </w:pPr>
            <w:r>
              <w:rPr>
                <w:b/>
                <w:sz w:val="20"/>
              </w:rPr>
              <w:t>Test accuracy</w:t>
            </w:r>
          </w:p>
        </w:tc>
        <w:tc>
          <w:tcPr>
            <w:tcW w:type="dxa" w:w="2160"/>
            <w:vAlign w:val="center"/>
            <w:tcMar>
              <w:top w:w="85" w:type="dxa"/>
              <w:left w:w="85" w:type="dxa"/>
              <w:bottom w:w="85" w:type="dxa"/>
              <w:right w:w="85" w:type="dxa"/>
            </w:tcMar>
            <w:shd w:fill="E8EDF2"/>
          </w:tcPr>
          <w:p>
            <w:pPr>
              <w:spacing w:after="0" w:line="240" w:lineRule="auto"/>
              <w:jc w:val="center"/>
            </w:pPr>
            <w:r>
              <w:rPr>
                <w:b/>
                <w:sz w:val="20"/>
              </w:rPr>
              <w:t>ROC AUC</w:t>
            </w:r>
          </w:p>
        </w:tc>
      </w:tr>
      <w:tr>
        <w:trPr>
          <w:cantSplit/>
        </w:trPr>
        <w:tc>
          <w:tcPr>
            <w:tcW w:type="dxa" w:w="5429"/>
            <w:vAlign w:val="center"/>
            <w:tcMar>
              <w:top w:w="85" w:type="dxa"/>
              <w:left w:w="85" w:type="dxa"/>
              <w:bottom w:w="85" w:type="dxa"/>
              <w:right w:w="85" w:type="dxa"/>
            </w:tcMar>
            <w:shd w:fill="FFFFFF"/>
          </w:tcPr>
          <w:p>
            <w:pPr>
              <w:spacing w:after="0" w:line="240" w:lineRule="auto"/>
              <w:jc w:val="left"/>
            </w:pPr>
            <w:r>
              <w:rPr>
                <w:b w:val="0"/>
                <w:sz w:val="20"/>
              </w:rPr>
              <w:t>Logistic regression</w:t>
            </w:r>
          </w:p>
        </w:tc>
        <w:tc>
          <w:tcPr>
            <w:tcW w:type="dxa" w:w="2160"/>
            <w:vAlign w:val="center"/>
            <w:tcMar>
              <w:top w:w="85" w:type="dxa"/>
              <w:left w:w="85" w:type="dxa"/>
              <w:bottom w:w="85" w:type="dxa"/>
              <w:right w:w="85" w:type="dxa"/>
            </w:tcMar>
            <w:shd w:fill="FFFFFF"/>
          </w:tcPr>
          <w:p>
            <w:pPr>
              <w:spacing w:after="0" w:line="240" w:lineRule="auto"/>
              <w:jc w:val="center"/>
            </w:pPr>
            <w:r>
              <w:rPr>
                <w:b w:val="0"/>
                <w:sz w:val="20"/>
              </w:rPr>
              <w:t>81.45%</w:t>
            </w:r>
          </w:p>
        </w:tc>
        <w:tc>
          <w:tcPr>
            <w:tcW w:type="dxa" w:w="2160"/>
            <w:vAlign w:val="center"/>
            <w:tcMar>
              <w:top w:w="85" w:type="dxa"/>
              <w:left w:w="85" w:type="dxa"/>
              <w:bottom w:w="85" w:type="dxa"/>
              <w:right w:w="85" w:type="dxa"/>
            </w:tcMar>
            <w:shd w:fill="FFFFFF"/>
          </w:tcPr>
          <w:p>
            <w:pPr>
              <w:spacing w:after="0" w:line="240" w:lineRule="auto"/>
              <w:jc w:val="center"/>
            </w:pPr>
            <w:r>
              <w:rPr>
                <w:b w:val="0"/>
                <w:sz w:val="20"/>
              </w:rPr>
              <w:t>0.8668</w:t>
            </w:r>
          </w:p>
        </w:tc>
      </w:tr>
      <w:tr>
        <w:trPr>
          <w:cantSplit/>
        </w:trPr>
        <w:tc>
          <w:tcPr>
            <w:tcW w:type="dxa" w:w="5429"/>
            <w:vAlign w:val="center"/>
            <w:tcMar>
              <w:top w:w="85" w:type="dxa"/>
              <w:left w:w="85" w:type="dxa"/>
              <w:bottom w:w="85" w:type="dxa"/>
              <w:right w:w="85" w:type="dxa"/>
            </w:tcMar>
            <w:shd w:fill="FFFFFF"/>
          </w:tcPr>
          <w:p>
            <w:pPr>
              <w:spacing w:after="0" w:line="240" w:lineRule="auto"/>
              <w:jc w:val="left"/>
            </w:pPr>
            <w:r>
              <w:rPr>
                <w:b w:val="0"/>
                <w:sz w:val="20"/>
              </w:rPr>
              <w:t>Linear SVM</w:t>
            </w:r>
          </w:p>
        </w:tc>
        <w:tc>
          <w:tcPr>
            <w:tcW w:type="dxa" w:w="2160"/>
            <w:vAlign w:val="center"/>
            <w:tcMar>
              <w:top w:w="85" w:type="dxa"/>
              <w:left w:w="85" w:type="dxa"/>
              <w:bottom w:w="85" w:type="dxa"/>
              <w:right w:w="85" w:type="dxa"/>
            </w:tcMar>
            <w:shd w:fill="FFFFFF"/>
          </w:tcPr>
          <w:p>
            <w:pPr>
              <w:spacing w:after="0" w:line="240" w:lineRule="auto"/>
              <w:jc w:val="center"/>
            </w:pPr>
            <w:r>
              <w:rPr>
                <w:b w:val="0"/>
                <w:sz w:val="20"/>
              </w:rPr>
              <w:t>81.56%</w:t>
            </w:r>
          </w:p>
        </w:tc>
        <w:tc>
          <w:tcPr>
            <w:tcW w:type="dxa" w:w="2160"/>
            <w:vAlign w:val="center"/>
            <w:tcMar>
              <w:top w:w="85" w:type="dxa"/>
              <w:left w:w="85" w:type="dxa"/>
              <w:bottom w:w="85" w:type="dxa"/>
              <w:right w:w="85" w:type="dxa"/>
            </w:tcMar>
            <w:shd w:fill="FFFFFF"/>
          </w:tcPr>
          <w:p>
            <w:pPr>
              <w:spacing w:after="0" w:line="240" w:lineRule="auto"/>
              <w:jc w:val="center"/>
            </w:pPr>
            <w:r>
              <w:rPr>
                <w:b w:val="0"/>
                <w:sz w:val="20"/>
              </w:rPr>
              <w:t>0.8668</w:t>
            </w:r>
          </w:p>
        </w:tc>
      </w:tr>
      <w:tr>
        <w:trPr>
          <w:cantSplit/>
        </w:trPr>
        <w:tc>
          <w:tcPr>
            <w:tcW w:type="dxa" w:w="5429"/>
            <w:vAlign w:val="center"/>
            <w:tcMar>
              <w:top w:w="85" w:type="dxa"/>
              <w:left w:w="85" w:type="dxa"/>
              <w:bottom w:w="85" w:type="dxa"/>
              <w:right w:w="85" w:type="dxa"/>
            </w:tcMar>
            <w:shd w:fill="FFFFFF"/>
          </w:tcPr>
          <w:p>
            <w:pPr>
              <w:spacing w:after="0" w:line="240" w:lineRule="auto"/>
              <w:jc w:val="left"/>
            </w:pPr>
            <w:r>
              <w:rPr>
                <w:b w:val="0"/>
                <w:sz w:val="20"/>
              </w:rPr>
              <w:t>RBF SVM</w:t>
            </w:r>
          </w:p>
        </w:tc>
        <w:tc>
          <w:tcPr>
            <w:tcW w:type="dxa" w:w="2160"/>
            <w:vAlign w:val="center"/>
            <w:tcMar>
              <w:top w:w="85" w:type="dxa"/>
              <w:left w:w="85" w:type="dxa"/>
              <w:bottom w:w="85" w:type="dxa"/>
              <w:right w:w="85" w:type="dxa"/>
            </w:tcMar>
            <w:shd w:fill="FFFFFF"/>
          </w:tcPr>
          <w:p>
            <w:pPr>
              <w:spacing w:after="0" w:line="240" w:lineRule="auto"/>
              <w:jc w:val="center"/>
            </w:pPr>
            <w:r>
              <w:rPr>
                <w:b w:val="0"/>
                <w:sz w:val="20"/>
              </w:rPr>
              <w:t>81.76%</w:t>
            </w:r>
          </w:p>
        </w:tc>
        <w:tc>
          <w:tcPr>
            <w:tcW w:type="dxa" w:w="2160"/>
            <w:vAlign w:val="center"/>
            <w:tcMar>
              <w:top w:w="85" w:type="dxa"/>
              <w:left w:w="85" w:type="dxa"/>
              <w:bottom w:w="85" w:type="dxa"/>
              <w:right w:w="85" w:type="dxa"/>
            </w:tcMar>
            <w:shd w:fill="FFFFFF"/>
          </w:tcPr>
          <w:p>
            <w:pPr>
              <w:spacing w:after="0" w:line="240" w:lineRule="auto"/>
              <w:jc w:val="center"/>
            </w:pPr>
            <w:r>
              <w:rPr>
                <w:b w:val="0"/>
                <w:sz w:val="20"/>
              </w:rPr>
              <w:t>0.8724</w:t>
            </w:r>
          </w:p>
        </w:tc>
      </w:tr>
      <w:tr>
        <w:trPr>
          <w:cantSplit/>
        </w:trPr>
        <w:tc>
          <w:tcPr>
            <w:tcW w:type="dxa" w:w="5429"/>
            <w:vAlign w:val="center"/>
            <w:tcMar>
              <w:top w:w="85" w:type="dxa"/>
              <w:left w:w="85" w:type="dxa"/>
              <w:bottom w:w="85" w:type="dxa"/>
              <w:right w:w="85" w:type="dxa"/>
            </w:tcMar>
            <w:shd w:fill="FFFFFF"/>
          </w:tcPr>
          <w:p>
            <w:pPr>
              <w:spacing w:after="0" w:line="240" w:lineRule="auto"/>
              <w:jc w:val="left"/>
            </w:pPr>
            <w:r>
              <w:rPr>
                <w:b w:val="0"/>
                <w:sz w:val="20"/>
              </w:rPr>
              <w:t>Polynomial SVM</w:t>
            </w:r>
          </w:p>
        </w:tc>
        <w:tc>
          <w:tcPr>
            <w:tcW w:type="dxa" w:w="2160"/>
            <w:vAlign w:val="center"/>
            <w:tcMar>
              <w:top w:w="85" w:type="dxa"/>
              <w:left w:w="85" w:type="dxa"/>
              <w:bottom w:w="85" w:type="dxa"/>
              <w:right w:w="85" w:type="dxa"/>
            </w:tcMar>
            <w:shd w:fill="FFFFFF"/>
          </w:tcPr>
          <w:p>
            <w:pPr>
              <w:spacing w:after="0" w:line="240" w:lineRule="auto"/>
              <w:jc w:val="center"/>
            </w:pPr>
            <w:r>
              <w:rPr>
                <w:b w:val="0"/>
                <w:sz w:val="20"/>
              </w:rPr>
              <w:t>81.56%</w:t>
            </w:r>
          </w:p>
        </w:tc>
        <w:tc>
          <w:tcPr>
            <w:tcW w:type="dxa" w:w="2160"/>
            <w:vAlign w:val="center"/>
            <w:tcMar>
              <w:top w:w="85" w:type="dxa"/>
              <w:left w:w="85" w:type="dxa"/>
              <w:bottom w:w="85" w:type="dxa"/>
              <w:right w:w="85" w:type="dxa"/>
            </w:tcMar>
            <w:shd w:fill="FFFFFF"/>
          </w:tcPr>
          <w:p>
            <w:pPr>
              <w:spacing w:after="0" w:line="240" w:lineRule="auto"/>
              <w:jc w:val="center"/>
            </w:pPr>
            <w:r>
              <w:rPr>
                <w:b w:val="0"/>
                <w:sz w:val="20"/>
              </w:rPr>
              <w:t>0.8776</w:t>
            </w:r>
          </w:p>
        </w:tc>
      </w:tr>
      <w:tr>
        <w:trPr>
          <w:cantSplit/>
        </w:trPr>
        <w:tc>
          <w:tcPr>
            <w:tcW w:type="dxa" w:w="5429"/>
            <w:vAlign w:val="center"/>
            <w:tcMar>
              <w:top w:w="85" w:type="dxa"/>
              <w:left w:w="85" w:type="dxa"/>
              <w:bottom w:w="85" w:type="dxa"/>
              <w:right w:w="85" w:type="dxa"/>
            </w:tcMar>
            <w:shd w:fill="FFFFFF"/>
          </w:tcPr>
          <w:p>
            <w:pPr>
              <w:spacing w:after="0" w:line="240" w:lineRule="auto"/>
              <w:jc w:val="left"/>
            </w:pPr>
            <w:r>
              <w:rPr>
                <w:b w:val="0"/>
                <w:sz w:val="20"/>
              </w:rPr>
              <w:t>Decision tree</w:t>
            </w:r>
          </w:p>
        </w:tc>
        <w:tc>
          <w:tcPr>
            <w:tcW w:type="dxa" w:w="2160"/>
            <w:vAlign w:val="center"/>
            <w:tcMar>
              <w:top w:w="85" w:type="dxa"/>
              <w:left w:w="85" w:type="dxa"/>
              <w:bottom w:w="85" w:type="dxa"/>
              <w:right w:w="85" w:type="dxa"/>
            </w:tcMar>
            <w:shd w:fill="FFFFFF"/>
          </w:tcPr>
          <w:p>
            <w:pPr>
              <w:spacing w:after="0" w:line="240" w:lineRule="auto"/>
              <w:jc w:val="center"/>
            </w:pPr>
            <w:r>
              <w:rPr>
                <w:b w:val="0"/>
                <w:sz w:val="20"/>
              </w:rPr>
              <w:t>79.20%</w:t>
            </w:r>
          </w:p>
        </w:tc>
        <w:tc>
          <w:tcPr>
            <w:tcW w:type="dxa" w:w="2160"/>
            <w:vAlign w:val="center"/>
            <w:tcMar>
              <w:top w:w="85" w:type="dxa"/>
              <w:left w:w="85" w:type="dxa"/>
              <w:bottom w:w="85" w:type="dxa"/>
              <w:right w:w="85" w:type="dxa"/>
            </w:tcMar>
            <w:shd w:fill="FFFFFF"/>
          </w:tcPr>
          <w:p>
            <w:pPr>
              <w:spacing w:after="0" w:line="240" w:lineRule="auto"/>
              <w:jc w:val="center"/>
            </w:pPr>
            <w:r>
              <w:rPr>
                <w:b w:val="0"/>
                <w:sz w:val="20"/>
              </w:rPr>
              <w:t>0.8747</w:t>
            </w:r>
          </w:p>
        </w:tc>
      </w:tr>
      <w:tr>
        <w:trPr>
          <w:cantSplit/>
        </w:trPr>
        <w:tc>
          <w:tcPr>
            <w:tcW w:type="dxa" w:w="5429"/>
            <w:vAlign w:val="center"/>
            <w:tcMar>
              <w:top w:w="85" w:type="dxa"/>
              <w:left w:w="85" w:type="dxa"/>
              <w:bottom w:w="85" w:type="dxa"/>
              <w:right w:w="85" w:type="dxa"/>
            </w:tcMar>
            <w:shd w:fill="FFFFFF"/>
          </w:tcPr>
          <w:p>
            <w:pPr>
              <w:spacing w:after="0" w:line="240" w:lineRule="auto"/>
              <w:jc w:val="left"/>
            </w:pPr>
            <w:r>
              <w:rPr>
                <w:b/>
                <w:sz w:val="20"/>
              </w:rPr>
              <w:t>Random forest selected model</w:t>
            </w:r>
          </w:p>
        </w:tc>
        <w:tc>
          <w:tcPr>
            <w:tcW w:type="dxa" w:w="2160"/>
            <w:vAlign w:val="center"/>
            <w:tcMar>
              <w:top w:w="85" w:type="dxa"/>
              <w:left w:w="85" w:type="dxa"/>
              <w:bottom w:w="85" w:type="dxa"/>
              <w:right w:w="85" w:type="dxa"/>
            </w:tcMar>
            <w:shd w:fill="FFFFFF"/>
          </w:tcPr>
          <w:p>
            <w:pPr>
              <w:spacing w:after="0" w:line="240" w:lineRule="auto"/>
              <w:jc w:val="center"/>
            </w:pPr>
            <w:r>
              <w:rPr>
                <w:b/>
                <w:sz w:val="20"/>
              </w:rPr>
              <w:t>82.48%</w:t>
            </w:r>
          </w:p>
        </w:tc>
        <w:tc>
          <w:tcPr>
            <w:tcW w:type="dxa" w:w="2160"/>
            <w:vAlign w:val="center"/>
            <w:tcMar>
              <w:top w:w="85" w:type="dxa"/>
              <w:left w:w="85" w:type="dxa"/>
              <w:bottom w:w="85" w:type="dxa"/>
              <w:right w:w="85" w:type="dxa"/>
            </w:tcMar>
            <w:shd w:fill="FFFFFF"/>
          </w:tcPr>
          <w:p>
            <w:pPr>
              <w:spacing w:after="0" w:line="240" w:lineRule="auto"/>
              <w:jc w:val="center"/>
            </w:pPr>
            <w:r>
              <w:rPr>
                <w:b/>
                <w:sz w:val="20"/>
              </w:rPr>
              <w:t>0.8767</w:t>
            </w:r>
          </w:p>
        </w:tc>
      </w:tr>
      <w:tr>
        <w:trPr>
          <w:cantSplit/>
        </w:trPr>
        <w:tc>
          <w:tcPr>
            <w:tcW w:type="dxa" w:w="5429"/>
            <w:vAlign w:val="center"/>
            <w:tcMar>
              <w:top w:w="85" w:type="dxa"/>
              <w:left w:w="85" w:type="dxa"/>
              <w:bottom w:w="85" w:type="dxa"/>
              <w:right w:w="85" w:type="dxa"/>
            </w:tcMar>
            <w:shd w:fill="FFFFFF"/>
          </w:tcPr>
          <w:p>
            <w:pPr>
              <w:spacing w:after="0" w:line="240" w:lineRule="auto"/>
              <w:jc w:val="left"/>
            </w:pPr>
            <w:r>
              <w:rPr>
                <w:b w:val="0"/>
                <w:sz w:val="20"/>
              </w:rPr>
              <w:t>Neural network</w:t>
            </w:r>
          </w:p>
        </w:tc>
        <w:tc>
          <w:tcPr>
            <w:tcW w:type="dxa" w:w="2160"/>
            <w:vAlign w:val="center"/>
            <w:tcMar>
              <w:top w:w="85" w:type="dxa"/>
              <w:left w:w="85" w:type="dxa"/>
              <w:bottom w:w="85" w:type="dxa"/>
              <w:right w:w="85" w:type="dxa"/>
            </w:tcMar>
            <w:shd w:fill="FFFFFF"/>
          </w:tcPr>
          <w:p>
            <w:pPr>
              <w:spacing w:after="0" w:line="240" w:lineRule="auto"/>
              <w:jc w:val="center"/>
            </w:pPr>
            <w:r>
              <w:rPr>
                <w:b w:val="0"/>
                <w:sz w:val="20"/>
              </w:rPr>
              <w:t>82.07%</w:t>
            </w:r>
          </w:p>
        </w:tc>
        <w:tc>
          <w:tcPr>
            <w:tcW w:type="dxa" w:w="2160"/>
            <w:vAlign w:val="center"/>
            <w:tcMar>
              <w:top w:w="85" w:type="dxa"/>
              <w:left w:w="85" w:type="dxa"/>
              <w:bottom w:w="85" w:type="dxa"/>
              <w:right w:w="85" w:type="dxa"/>
            </w:tcMar>
            <w:shd w:fill="FFFFFF"/>
          </w:tcPr>
          <w:p>
            <w:pPr>
              <w:spacing w:after="0" w:line="240" w:lineRule="auto"/>
              <w:jc w:val="center"/>
            </w:pPr>
            <w:r>
              <w:rPr>
                <w:b w:val="0"/>
                <w:sz w:val="20"/>
              </w:rPr>
              <w:t>0.8863</w:t>
            </w:r>
          </w:p>
        </w:tc>
      </w:tr>
    </w:tbl>
    <w:p>
      <w:pPr>
        <w:spacing w:before="140"/>
      </w:pPr>
      <w:r>
        <w:t>The selected forest correctly classifies 805 of 976 songs, with 92.64% precision, 70.25% recall and F1 of 0.7991. Its confusion matrix is TN 465, FP 27, FN 144 and TP 340. The saved model uses 300 trees, depth 8 and minimum leaf size 5.</w:t>
      </w:r>
    </w:p>
    <w:p>
      <w:r>
        <w:t>Adding Artist Score improves original test accuracy by 14.86 to 20.59 percentage points across models. Audio-only accuracy ranges from 60.86% to 67.01%, showing that the observed performance depends heavily on artist history.</w:t>
      </w:r>
    </w:p>
    <w:p>
      <w:r>
        <w:t>The CLI and Streamlit demo source load the same verified random forest pipeline. Live demo: https://hitpredict-demo.streamlit.app/. A separate later forest reaches 82.77% mean validation accuracy and remains a development candidate; that score is not an independent test result.</w:t>
      </w:r>
    </w:p>
    <w:p>
      <w:pPr>
        <w:pStyle w:val="Heading1"/>
      </w:pPr>
      <w:r>
        <w:t>Limitations and Future Work</w:t>
      </w:r>
    </w:p>
    <w:p>
      <w:r>
        <w:t>Exact matching misses aliases, collaborations, and song versions, potentially affecting labels. Positive dates use chart appearances, while negative dates approximate release using the MSD year; these anchors do not establish availability of features before release. Random artist-separated evaluation does not measure future-release performance.</w:t>
      </w:r>
    </w:p>
    <w:p>
      <w:r>
        <w:t>The balanced sample does not reflect natural hit prevalence, so precision and model probabilities cannot directly transfer to real releases. Three audio descriptors omit lyrics, genre, promotion, and broader musical content. Missing raw source snapshots also prevent a complete independent rebuild. Priorities are verified source data, improved identity matching, richer features available before prediction, and a new chronological test set with realistic class prevalence.</w:t>
      </w:r>
    </w:p>
    <w:p>
      <w:pPr>
        <w:pStyle w:val="Heading1"/>
      </w:pPr>
      <w:r>
        <w:t>Conclusion</w:t>
      </w:r>
    </w:p>
    <w:p>
      <w:r>
        <w:t>HitPredict uses the selected random forest with 82.48% recorded held-out accuracy, the highest observed test accuracy in the original comparison. Artist history is the strongest signal. The deployment revision does not create a fresh independent test; claims about future releases need separate evaluation.</w:t>
      </w:r>
    </w:p>
    <w:p>
      <w:pPr>
        <w:spacing w:before="60"/>
      </w:pPr>
      <w:r>
        <w:rPr>
          <w:sz w:val="18"/>
        </w:rPr>
        <w:t>Sources: Million Song Dataset; mhollingshead Billboard Hot 100 archive; project_report.md and saved project evaluation records.</w:t>
      </w:r>
    </w:p>
    <w:sectPr w:rsidR="00FC693F" w:rsidRPr="0006063C" w:rsidSect="00034616">
      <w:footerReference w:type="default" r:id="rId9"/>
      <w:pgSz w:w="11909" w:h="16834"/>
      <w:pgMar w:top="936" w:right="1080" w:bottom="936" w:left="1080"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4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Arial" w:hAnsi="Arial"/>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HitPredict Song Hit Classification Report</dc:title>
  <dc:subject>Concise two page project report</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