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1 Report: BitTorrent Lite</w:t>
      </w:r>
    </w:p>
    <w:p>
      <w:r>
        <w:rPr>
          <w:b/>
        </w:rPr>
        <w:t>Name:</w:t>
      </w:r>
      <w:r>
        <w:t xml:space="preserve"> </w:t>
      </w:r>
    </w:p>
    <w:p>
      <w:r>
        <w:rPr>
          <w:b/>
        </w:rPr>
        <w:t>Student ID:</w:t>
      </w:r>
      <w:r>
        <w:t xml:space="preserve"> </w:t>
      </w:r>
    </w:p>
    <w:p>
      <w:r>
        <w:rPr>
          <w:i/>
          <w:color w:val="6B7572"/>
        </w:rPr>
        <w:t>Replace every gray prompt with your answer and keep the headings. Submit this file as REPORT.docx (or export it as REPORT.pdf).</w:t>
      </w:r>
    </w:p>
    <w:p>
      <w:pPr>
        <w:pStyle w:val="Heading1"/>
      </w:pPr>
      <w:r>
        <w:t>Part B: Distribution-time experiment</w:t>
      </w:r>
    </w:p>
    <w:p>
      <w:pPr>
        <w:pStyle w:val="Heading2"/>
      </w:pPr>
      <w:r>
        <w:t>B1. Predictions (write these before running anything)</w:t>
      </w:r>
    </w:p>
    <w:p>
      <w:r>
        <w:t>F = 4 MiB = 4096 KiB;  u</w:t>
      </w:r>
      <w:r>
        <w:rPr>
          <w:vertAlign w:val="subscript"/>
        </w:rPr>
        <w:t>s</w:t>
      </w:r>
      <w:r>
        <w:t xml:space="preserve"> = u</w:t>
      </w:r>
      <w:r>
        <w:rPr>
          <w:vertAlign w:val="subscript"/>
        </w:rPr>
        <w:t>i</w:t>
      </w:r>
      <w:r>
        <w:t xml:space="preserve"> = 512 KiB/s;  treat F/d</w:t>
      </w:r>
      <w:r>
        <w:rPr>
          <w:vertAlign w:val="subscript"/>
        </w:rPr>
        <w:t>min</w:t>
      </w:r>
      <w:r>
        <w:t xml:space="preserve"> as 0.</w:t>
      </w:r>
    </w:p>
    <w:tbl>
      <w:tblPr>
        <w:tblW w:type="dxa" w:w="9360"/>
        <w:jc w:val="left"/>
        <w:tblBorders>
          <w:top w:val="single" w:sz="6" w:color="CDDAD5"/>
          <w:left w:val="single" w:sz="6" w:color="CDDAD5"/>
          <w:bottom w:val="single" w:sz="6" w:color="CDDAD5"/>
          <w:right w:val="single" w:sz="6" w:color="CDDAD5"/>
          <w:insideH w:val="single" w:sz="6" w:color="CDDAD5"/>
          <w:insideV w:val="single" w:sz="6" w:color="CDDAD5"/>
        </w:tblBorders>
        <w:tblLayout w:type="fixed"/>
        <w:tblLook w:firstColumn="1" w:firstRow="1" w:lastColumn="0" w:lastRow="0" w:noHBand="0" w:noVBand="1" w:val="04A0"/>
      </w:tblPr>
      <w:tblGrid>
        <w:gridCol w:w="864"/>
        <w:gridCol w:w="4248"/>
        <w:gridCol w:w="4248"/>
      </w:tblGrid>
      <w:tr>
        <w:tc>
          <w:tcPr>
            <w:tcW w:type="dxa" w:w="864"/>
            <w:shd w:val="clear" w:color="auto" w:fill="F3F7F5"/>
          </w:tcPr>
          <w:p>
            <w:pPr>
              <w:spacing w:after="0"/>
            </w:pPr>
            <w:r>
              <w:rPr>
                <w:b/>
              </w:rPr>
              <w:t>N</w:t>
            </w:r>
          </w:p>
        </w:tc>
        <w:tc>
          <w:tcPr>
            <w:tcW w:type="dxa" w:w="4248"/>
            <w:shd w:val="clear" w:color="auto" w:fill="F3F7F5"/>
          </w:tcPr>
          <w:p>
            <w:pPr>
              <w:spacing w:after="0"/>
            </w:pPr>
            <w:r>
              <w:rPr>
                <w:b/>
              </w:rPr>
              <w:t>D</w:t>
            </w:r>
            <w:r>
              <w:rPr>
                <w:b/>
                <w:vertAlign w:val="subscript"/>
              </w:rPr>
              <w:t>c-s</w:t>
            </w:r>
            <w:r>
              <w:rPr>
                <w:b/>
              </w:rPr>
              <w:t xml:space="preserve"> (calculate)</w:t>
            </w:r>
          </w:p>
        </w:tc>
        <w:tc>
          <w:tcPr>
            <w:tcW w:type="dxa" w:w="4248"/>
            <w:shd w:val="clear" w:color="auto" w:fill="F3F7F5"/>
          </w:tcPr>
          <w:p>
            <w:pPr>
              <w:spacing w:after="0"/>
            </w:pPr>
            <w:r>
              <w:rPr>
                <w:b/>
              </w:rPr>
              <w:t>D</w:t>
            </w:r>
            <w:r>
              <w:rPr>
                <w:b/>
                <w:vertAlign w:val="subscript"/>
              </w:rPr>
              <w:t>P2P</w:t>
            </w:r>
            <w:r>
              <w:rPr>
                <w:b/>
              </w:rPr>
              <w:t xml:space="preserve"> (calculate)</w:t>
            </w:r>
          </w:p>
        </w:tc>
      </w:tr>
      <w:tr>
        <w:tc>
          <w:tcPr>
            <w:tcW w:type="dxa" w:w="864"/>
          </w:tcPr>
          <w:p>
            <w:pPr>
              <w:spacing w:after="200" w:before="200"/>
            </w:pPr>
            <w:r>
              <w:rPr>
                <w:b w:val="0"/>
              </w:rPr>
              <w:t>2</w:t>
            </w:r>
          </w:p>
        </w:tc>
        <w:tc>
          <w:tcPr>
            <w:tcW w:type="dxa" w:w="4248"/>
          </w:tcPr>
          <w:p>
            <w:pPr>
              <w:spacing w:after="200" w:before="200"/>
            </w:pPr>
          </w:p>
        </w:tc>
        <w:tc>
          <w:tcPr>
            <w:tcW w:type="dxa" w:w="4248"/>
          </w:tcPr>
          <w:p>
            <w:pPr>
              <w:spacing w:after="200" w:before="200"/>
            </w:pPr>
          </w:p>
        </w:tc>
      </w:tr>
      <w:tr>
        <w:tc>
          <w:tcPr>
            <w:tcW w:type="dxa" w:w="864"/>
          </w:tcPr>
          <w:p>
            <w:pPr>
              <w:spacing w:after="200" w:before="200"/>
            </w:pPr>
            <w:r>
              <w:rPr>
                <w:b w:val="0"/>
              </w:rPr>
              <w:t>4</w:t>
            </w:r>
          </w:p>
        </w:tc>
        <w:tc>
          <w:tcPr>
            <w:tcW w:type="dxa" w:w="4248"/>
          </w:tcPr>
          <w:p>
            <w:pPr>
              <w:spacing w:after="200" w:before="200"/>
            </w:pPr>
          </w:p>
        </w:tc>
        <w:tc>
          <w:tcPr>
            <w:tcW w:type="dxa" w:w="4248"/>
          </w:tcPr>
          <w:p>
            <w:pPr>
              <w:spacing w:after="200" w:before="200"/>
            </w:pPr>
          </w:p>
        </w:tc>
      </w:tr>
      <w:tr>
        <w:tc>
          <w:tcPr>
            <w:tcW w:type="dxa" w:w="864"/>
          </w:tcPr>
          <w:p>
            <w:pPr>
              <w:spacing w:after="200" w:before="200"/>
            </w:pPr>
            <w:r>
              <w:rPr>
                <w:b w:val="0"/>
              </w:rPr>
              <w:t>8</w:t>
            </w:r>
          </w:p>
        </w:tc>
        <w:tc>
          <w:tcPr>
            <w:tcW w:type="dxa" w:w="4248"/>
          </w:tcPr>
          <w:p>
            <w:pPr>
              <w:spacing w:after="200" w:before="200"/>
            </w:pPr>
          </w:p>
        </w:tc>
        <w:tc>
          <w:tcPr>
            <w:tcW w:type="dxa" w:w="4248"/>
          </w:tcPr>
          <w:p>
            <w:pPr>
              <w:spacing w:after="200" w:before="200"/>
            </w:pPr>
          </w:p>
        </w:tc>
      </w:tr>
    </w:tbl>
    <w:p/>
    <w:p>
      <w:pPr>
        <w:pStyle w:val="Heading2"/>
      </w:pPr>
      <w:r>
        <w:t>B2. Measurements</w:t>
      </w:r>
    </w:p>
    <w:p>
      <w:r>
        <w:rPr>
          <w:i/>
          <w:color w:val="6B7572"/>
        </w:rPr>
        <w:t>Copy the measured distribution times from results.csv.</w:t>
      </w:r>
    </w:p>
    <w:tbl>
      <w:tblPr>
        <w:tblW w:type="dxa" w:w="9360"/>
        <w:jc w:val="left"/>
        <w:tblBorders>
          <w:top w:val="single" w:sz="6" w:color="CDDAD5"/>
          <w:left w:val="single" w:sz="6" w:color="CDDAD5"/>
          <w:bottom w:val="single" w:sz="6" w:color="CDDAD5"/>
          <w:right w:val="single" w:sz="6" w:color="CDDAD5"/>
          <w:insideH w:val="single" w:sz="6" w:color="CDDAD5"/>
          <w:insideV w:val="single" w:sz="6" w:color="CDDAD5"/>
        </w:tblBorders>
        <w:tblLayout w:type="fixed"/>
        <w:tblLook w:firstColumn="1" w:firstRow="1" w:lastColumn="0" w:lastRow="0" w:noHBand="0" w:noVBand="1" w:val="04A0"/>
      </w:tblPr>
      <w:tblGrid>
        <w:gridCol w:w="864"/>
        <w:gridCol w:w="2124"/>
        <w:gridCol w:w="2124"/>
        <w:gridCol w:w="2124"/>
        <w:gridCol w:w="2124"/>
      </w:tblGrid>
      <w:tr>
        <w:tc>
          <w:tcPr>
            <w:tcW w:type="dxa" w:w="864"/>
            <w:shd w:val="clear" w:color="auto" w:fill="F3F7F5"/>
          </w:tcPr>
          <w:p>
            <w:pPr>
              <w:spacing w:after="0"/>
            </w:pPr>
            <w:r>
              <w:rPr>
                <w:b/>
              </w:rPr>
              <w:t>N</w:t>
            </w:r>
          </w:p>
        </w:tc>
        <w:tc>
          <w:tcPr>
            <w:tcW w:type="dxa" w:w="2124"/>
            <w:shd w:val="clear" w:color="auto" w:fill="F3F7F5"/>
          </w:tcPr>
          <w:p>
            <w:pPr>
              <w:spacing w:after="0"/>
            </w:pPr>
            <w:r>
              <w:rPr>
                <w:b/>
              </w:rPr>
              <w:t>D</w:t>
            </w:r>
            <w:r>
              <w:rPr>
                <w:b/>
                <w:vertAlign w:val="subscript"/>
              </w:rPr>
              <w:t>c-s</w:t>
            </w:r>
            <w:r>
              <w:rPr>
                <w:b/>
              </w:rPr>
              <w:t xml:space="preserve"> predicted</w:t>
            </w:r>
          </w:p>
        </w:tc>
        <w:tc>
          <w:tcPr>
            <w:tcW w:type="dxa" w:w="2124"/>
            <w:shd w:val="clear" w:color="auto" w:fill="F3F7F5"/>
          </w:tcPr>
          <w:p>
            <w:pPr>
              <w:spacing w:after="0"/>
            </w:pPr>
            <w:r>
              <w:rPr>
                <w:b/>
              </w:rPr>
              <w:t>D</w:t>
            </w:r>
            <w:r>
              <w:rPr>
                <w:b/>
                <w:vertAlign w:val="subscript"/>
              </w:rPr>
              <w:t>c-s</w:t>
            </w:r>
            <w:r>
              <w:rPr>
                <w:b/>
              </w:rPr>
              <w:t xml:space="preserve"> measured</w:t>
            </w:r>
          </w:p>
        </w:tc>
        <w:tc>
          <w:tcPr>
            <w:tcW w:type="dxa" w:w="2124"/>
            <w:shd w:val="clear" w:color="auto" w:fill="F3F7F5"/>
          </w:tcPr>
          <w:p>
            <w:pPr>
              <w:spacing w:after="0"/>
            </w:pPr>
            <w:r>
              <w:rPr>
                <w:b/>
              </w:rPr>
              <w:t>D</w:t>
            </w:r>
            <w:r>
              <w:rPr>
                <w:b/>
                <w:vertAlign w:val="subscript"/>
              </w:rPr>
              <w:t>P2P</w:t>
            </w:r>
            <w:r>
              <w:rPr>
                <w:b/>
              </w:rPr>
              <w:t xml:space="preserve"> predicted</w:t>
            </w:r>
          </w:p>
        </w:tc>
        <w:tc>
          <w:tcPr>
            <w:tcW w:type="dxa" w:w="2124"/>
            <w:shd w:val="clear" w:color="auto" w:fill="F3F7F5"/>
          </w:tcPr>
          <w:p>
            <w:pPr>
              <w:spacing w:after="0"/>
            </w:pPr>
            <w:r>
              <w:rPr>
                <w:b/>
              </w:rPr>
              <w:t>D</w:t>
            </w:r>
            <w:r>
              <w:rPr>
                <w:b/>
                <w:vertAlign w:val="subscript"/>
              </w:rPr>
              <w:t>P2P</w:t>
            </w:r>
            <w:r>
              <w:rPr>
                <w:b/>
              </w:rPr>
              <w:t xml:space="preserve"> measured</w:t>
            </w:r>
          </w:p>
        </w:tc>
      </w:tr>
      <w:tr>
        <w:tc>
          <w:tcPr>
            <w:tcW w:type="dxa" w:w="864"/>
          </w:tcPr>
          <w:p>
            <w:pPr>
              <w:spacing w:after="200" w:before="200"/>
            </w:pPr>
            <w:r>
              <w:rPr>
                <w:b w:val="0"/>
              </w:rPr>
              <w:t>2</w:t>
            </w: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</w:tr>
      <w:tr>
        <w:tc>
          <w:tcPr>
            <w:tcW w:type="dxa" w:w="864"/>
          </w:tcPr>
          <w:p>
            <w:pPr>
              <w:spacing w:after="200" w:before="200"/>
            </w:pPr>
            <w:r>
              <w:rPr>
                <w:b w:val="0"/>
              </w:rPr>
              <w:t>4</w:t>
            </w: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</w:tr>
      <w:tr>
        <w:tc>
          <w:tcPr>
            <w:tcW w:type="dxa" w:w="864"/>
          </w:tcPr>
          <w:p>
            <w:pPr>
              <w:spacing w:after="200" w:before="200"/>
            </w:pPr>
            <w:r>
              <w:rPr>
                <w:b w:val="0"/>
              </w:rPr>
              <w:t>8</w:t>
            </w: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  <w:tc>
          <w:tcPr>
            <w:tcW w:type="dxa" w:w="2124"/>
          </w:tcPr>
          <w:p>
            <w:pPr>
              <w:spacing w:after="200" w:before="200"/>
            </w:pPr>
          </w:p>
        </w:tc>
      </w:tr>
    </w:tbl>
    <w:p/>
    <w:p>
      <w:pPr>
        <w:pStyle w:val="Heading2"/>
      </w:pPr>
      <w:r>
        <w:t>B3. Explanation</w:t>
      </w:r>
    </w:p>
    <w:p>
      <w:pPr>
        <w:spacing w:before="160" w:after="40"/>
      </w:pPr>
      <w:r>
        <w:rPr>
          <w:b/>
        </w:rPr>
        <w:t>1. Client-server</w:t>
      </w:r>
    </w:p>
    <w:p>
      <w:r>
        <w:rPr>
          <w:i/>
          <w:color w:val="6B7572"/>
        </w:rPr>
        <w:t>Does your client-server time grow linearly in N? How close is it to the value you calculated?</w:t>
      </w:r>
    </w:p>
    <w:p>
      <w:pPr>
        <w:spacing w:before="160" w:after="40"/>
      </w:pPr>
      <w:r>
        <w:rPr>
          <w:b/>
        </w:rPr>
        <w:t>2. Why P2P is slower than the calculated value</w:t>
      </w:r>
    </w:p>
    <w:p>
      <w:r>
        <w:rPr>
          <w:b/>
        </w:rPr>
        <w:t>Cause 1:</w:t>
      </w:r>
    </w:p>
    <w:p>
      <w:r>
        <w:rPr>
          <w:i/>
          <w:color w:val="6B7572"/>
        </w:rPr>
        <w:t>Explain the cause in your peer's design.</w:t>
      </w:r>
    </w:p>
    <w:tbl>
      <w:tblPr>
        <w:tblW w:type="dxa" w:w="9360"/>
        <w:tblBorders>
          <w:top w:val="single" w:sz="6" w:color="CDDAD5"/>
          <w:left w:val="single" w:sz="6" w:color="CDDAD5"/>
          <w:bottom w:val="single" w:sz="6" w:color="CDDAD5"/>
          <w:right w:val="single" w:sz="6" w:color="CDDAD5"/>
          <w:insideH w:val="single" w:sz="6" w:color="CDDAD5"/>
          <w:insideV w:val="single" w:sz="6" w:color="CDDAD5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7F5"/>
          </w:tcPr>
          <w:p>
            <w:r>
              <w:rPr>
                <w:rFonts w:ascii="Courier New" w:hAnsi="Courier New"/>
                <w:i/>
                <w:color w:val="6B7572"/>
                <w:sz w:val="19"/>
              </w:rPr>
              <w:t>Paste the log lines (with times) that show cause 1.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/>
    <w:p>
      <w:r>
        <w:rPr>
          <w:b/>
        </w:rPr>
        <w:t>Cause 2:</w:t>
      </w:r>
    </w:p>
    <w:p>
      <w:r>
        <w:rPr>
          <w:i/>
          <w:color w:val="6B7572"/>
        </w:rPr>
        <w:t>Explain the cause in your peer's design.</w:t>
      </w:r>
    </w:p>
    <w:tbl>
      <w:tblPr>
        <w:tblW w:type="dxa" w:w="9360"/>
        <w:tblBorders>
          <w:top w:val="single" w:sz="6" w:color="CDDAD5"/>
          <w:left w:val="single" w:sz="6" w:color="CDDAD5"/>
          <w:bottom w:val="single" w:sz="6" w:color="CDDAD5"/>
          <w:right w:val="single" w:sz="6" w:color="CDDAD5"/>
          <w:insideH w:val="single" w:sz="6" w:color="CDDAD5"/>
          <w:insideV w:val="single" w:sz="6" w:color="CDDAD5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7F5"/>
          </w:tcPr>
          <w:p>
            <w:r>
              <w:rPr>
                <w:rFonts w:ascii="Courier New" w:hAnsi="Courier New"/>
                <w:i/>
                <w:color w:val="6B7572"/>
                <w:sz w:val="19"/>
              </w:rPr>
              <w:t>Paste the log lines (with times) that show cause 2.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/>
    <w:p>
      <w:pPr>
        <w:spacing w:before="160" w:after="40"/>
      </w:pPr>
      <w:r>
        <w:rPr>
          <w:b/>
        </w:rPr>
        <w:t>3. When P2P pays off</w:t>
      </w:r>
    </w:p>
    <w:p>
      <w:r>
        <w:rPr>
          <w:i/>
          <w:color w:val="6B7572"/>
        </w:rPr>
        <w:t>For which N is P2P clearly better on your machine, and why does the benefit grow with N?</w:t>
      </w:r>
    </w:p>
    <w:p>
      <w:pPr>
        <w:pStyle w:val="Heading1"/>
      </w:pPr>
      <w:r>
        <w:t>AI-use note</w:t>
      </w:r>
    </w:p>
    <w:p>
      <w:pPr>
        <w:spacing w:before="160" w:after="40"/>
      </w:pPr>
      <w:r>
        <w:rPr>
          <w:b/>
        </w:rPr>
        <w:t>Tools used, and what for</w:t>
      </w:r>
    </w:p>
    <w:p>
      <w:r>
        <w:rPr>
          <w:i/>
          <w:color w:val="6B7572"/>
        </w:rPr>
        <w:t>If you used no AI tools, say so.</w:t>
      </w:r>
    </w:p>
    <w:p>
      <w:pPr>
        <w:spacing w:before="160" w:after="40"/>
      </w:pPr>
      <w:r>
        <w:rPr>
          <w:b/>
        </w:rPr>
        <w:t>One thing an AI tool got wrong, missed, or that you had to verify</w:t>
      </w:r>
    </w:p>
    <w:p>
      <w:r>
        <w:rPr>
          <w:i/>
          <w:color w:val="6B7572"/>
        </w:rPr>
        <w:t>What was it, and how did you check it?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color w:val="243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eastAsia="Arial" w:cs="Arial"/>
      <w:b/>
      <w:bCs/>
      <w:color w:val="174D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Arial" w:cs="Arial"/>
      <w:b/>
      <w:bCs/>
      <w:color w:val="174D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="Arial" w:hAnsi="Arial" w:eastAsia="Arial" w:cs="Arial"/>
      <w:b/>
      <w:color w:val="174D4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Report: BitTorrent Lite</dc:title>
  <dc:subject/>
  <dc:creator>COMP SCI 3610 - 102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