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240" w:line="360" w:lineRule="auto"/>
        <w:jc w:val="center"/>
      </w:pPr>
      <w:r>
        <w:rPr>
          <w:rFonts w:ascii="Times New Roman" w:hAnsi="Times New Roman"/>
          <w:b/>
          <w:i w:val="0"/>
          <w:sz w:val="28"/>
          <w:rFonts w:ascii="Times New Roman" w:hAnsi="Times New Roman" w:cs="Times New Roman"/>
        </w:rPr>
        <w:t>A Project Report</w:t>
      </w:r>
    </w:p>
    <w:p>
      <w:pPr>
        <w:spacing w:after="80" w:before="0" w:line="360" w:lineRule="auto"/>
        <w:jc w:val="center"/>
      </w:pPr>
      <w:r>
        <w:rPr>
          <w:rFonts w:ascii="Times New Roman" w:hAnsi="Times New Roman"/>
          <w:b w:val="0"/>
          <w:i/>
          <w:sz w:val="24"/>
          <w:rFonts w:ascii="Times New Roman" w:hAnsi="Times New Roman" w:cs="Times New Roman"/>
        </w:rPr>
        <w:t>on</w:t>
      </w:r>
    </w:p>
    <w:p>
      <w:pPr>
        <w:spacing w:after="360" w:before="0" w:line="360" w:lineRule="auto"/>
        <w:jc w:val="center"/>
      </w:pPr>
      <w:r>
        <w:rPr>
          <w:rFonts w:ascii="Times New Roman" w:hAnsi="Times New Roman"/>
          <w:b/>
          <w:i w:val="0"/>
          <w:sz w:val="32"/>
          <w:rFonts w:ascii="Times New Roman" w:hAnsi="Times New Roman" w:cs="Times New Roman"/>
        </w:rPr>
        <w:t>“AI LEGAL CONTRACT RISK ANALYZER”</w:t>
      </w:r>
    </w:p>
    <w:p>
      <w:pPr>
        <w:spacing w:after="40" w:before="0" w:line="360" w:lineRule="auto"/>
        <w:jc w:val="center"/>
      </w:pPr>
      <w:r>
        <w:rPr>
          <w:rFonts w:ascii="Times New Roman" w:hAnsi="Times New Roman"/>
          <w:b w:val="0"/>
          <w:i w:val="0"/>
          <w:sz w:val="24"/>
          <w:rFonts w:ascii="Times New Roman" w:hAnsi="Times New Roman" w:cs="Times New Roman"/>
        </w:rPr>
        <w:t>Submitted in partial fulfillment of the</w:t>
      </w:r>
    </w:p>
    <w:p>
      <w:pPr>
        <w:spacing w:after="80" w:before="0" w:line="360" w:lineRule="auto"/>
        <w:jc w:val="center"/>
      </w:pPr>
      <w:r>
        <w:rPr>
          <w:rFonts w:ascii="Times New Roman" w:hAnsi="Times New Roman"/>
          <w:b w:val="0"/>
          <w:i w:val="0"/>
          <w:sz w:val="24"/>
          <w:rFonts w:ascii="Times New Roman" w:hAnsi="Times New Roman" w:cs="Times New Roman"/>
        </w:rPr>
        <w:t>Requirements for the award of degree of</w:t>
      </w:r>
    </w:p>
    <w:p>
      <w:pPr>
        <w:spacing w:after="40" w:before="0" w:line="360" w:lineRule="auto"/>
        <w:jc w:val="center"/>
      </w:pPr>
      <w:r>
        <w:rPr>
          <w:rFonts w:ascii="Times New Roman" w:hAnsi="Times New Roman"/>
          <w:b/>
          <w:i w:val="0"/>
          <w:sz w:val="28"/>
          <w:rFonts w:ascii="Times New Roman" w:hAnsi="Times New Roman" w:cs="Times New Roman"/>
        </w:rPr>
        <w:t>Bachelor of Technology</w:t>
      </w:r>
    </w:p>
    <w:p>
      <w:pPr>
        <w:spacing w:after="40" w:before="0" w:line="360" w:lineRule="auto"/>
        <w:jc w:val="center"/>
      </w:pPr>
      <w:r>
        <w:rPr>
          <w:rFonts w:ascii="Times New Roman" w:hAnsi="Times New Roman"/>
          <w:b w:val="0"/>
          <w:i w:val="0"/>
          <w:sz w:val="24"/>
          <w:rFonts w:ascii="Times New Roman" w:hAnsi="Times New Roman" w:cs="Times New Roman"/>
        </w:rPr>
        <w:t>in</w:t>
      </w:r>
    </w:p>
    <w:p>
      <w:pPr>
        <w:spacing w:after="280" w:before="0" w:line="360" w:lineRule="auto"/>
        <w:jc w:val="center"/>
      </w:pPr>
      <w:r>
        <w:rPr>
          <w:rFonts w:ascii="Times New Roman" w:hAnsi="Times New Roman"/>
          <w:b/>
          <w:i w:val="0"/>
          <w:sz w:val="26"/>
          <w:rFonts w:ascii="Times New Roman" w:hAnsi="Times New Roman" w:cs="Times New Roman"/>
        </w:rPr>
        <w:t>Computer Science and Engineering – Data Science</w:t>
      </w:r>
    </w:p>
    <w:p>
      <w:pPr>
        <w:spacing w:after="160" w:before="0" w:line="360" w:lineRule="auto"/>
        <w:jc w:val="center"/>
      </w:pPr>
      <w:r>
        <w:rPr>
          <w:rFonts w:ascii="Times New Roman" w:hAnsi="Times New Roman"/>
          <w:b/>
          <w:i w:val="0"/>
          <w:sz w:val="24"/>
          <w:rFonts w:ascii="Times New Roman" w:hAnsi="Times New Roman" w:cs="Times New Roman"/>
        </w:rPr>
        <w:t>By</w:t>
      </w:r>
    </w:p>
    <w:p>
      <w:pPr>
        <w:spacing w:after="40" w:before="0" w:line="360" w:lineRule="auto"/>
        <w:jc w:val="center"/>
      </w:pPr>
      <w:r>
        <w:rPr>
          <w:rFonts w:ascii="Times New Roman" w:hAnsi="Times New Roman"/>
          <w:b/>
          <w:i w:val="0"/>
          <w:sz w:val="24"/>
          <w:rFonts w:ascii="Times New Roman" w:hAnsi="Times New Roman" w:cs="Times New Roman"/>
        </w:rPr>
        <w:t>Kuppala Harshith Kumar (23EG110A27)</w:t>
      </w:r>
    </w:p>
    <w:p>
      <w:pPr>
        <w:spacing w:after="40" w:before="0" w:line="360" w:lineRule="auto"/>
        <w:jc w:val="center"/>
      </w:pPr>
      <w:r>
        <w:rPr>
          <w:rFonts w:ascii="Times New Roman" w:hAnsi="Times New Roman"/>
          <w:b/>
          <w:i w:val="0"/>
          <w:sz w:val="24"/>
          <w:rFonts w:ascii="Times New Roman" w:hAnsi="Times New Roman" w:cs="Times New Roman"/>
        </w:rPr>
        <w:t>Maddula Akshaya Reddy (23EG110A31)</w:t>
      </w:r>
    </w:p>
    <w:p>
      <w:pPr>
        <w:spacing w:after="280" w:before="0" w:line="360" w:lineRule="auto"/>
        <w:jc w:val="center"/>
      </w:pPr>
      <w:r>
        <w:rPr>
          <w:rFonts w:ascii="Times New Roman" w:hAnsi="Times New Roman"/>
          <w:b/>
          <w:i w:val="0"/>
          <w:sz w:val="24"/>
          <w:rFonts w:ascii="Times New Roman" w:hAnsi="Times New Roman" w:cs="Times New Roman"/>
        </w:rPr>
        <w:t>Setti Banu (22EG110A54)</w:t>
      </w:r>
    </w:p>
    <w:p>
      <w:pPr>
        <w:spacing w:after="40" w:before="0" w:line="360" w:lineRule="auto"/>
        <w:jc w:val="center"/>
      </w:pPr>
      <w:r>
        <w:rPr>
          <w:rFonts w:ascii="Times New Roman" w:hAnsi="Times New Roman"/>
          <w:b/>
          <w:i w:val="0"/>
          <w:sz w:val="24"/>
          <w:rFonts w:ascii="Times New Roman" w:hAnsi="Times New Roman" w:cs="Times New Roman"/>
        </w:rPr>
        <w:t>Under the Guidance of</w:t>
      </w:r>
    </w:p>
    <w:p>
      <w:pPr>
        <w:spacing w:after="40" w:before="0" w:line="360" w:lineRule="auto"/>
        <w:jc w:val="center"/>
      </w:pPr>
      <w:r>
        <w:rPr>
          <w:rFonts w:ascii="Times New Roman" w:hAnsi="Times New Roman"/>
          <w:b/>
          <w:i w:val="0"/>
          <w:sz w:val="26"/>
          <w:rFonts w:ascii="Times New Roman" w:hAnsi="Times New Roman" w:cs="Times New Roman"/>
        </w:rPr>
        <w:t>Dr. G. Yedukondalu</w:t>
      </w:r>
    </w:p>
    <w:p>
      <w:pPr>
        <w:spacing w:after="40" w:before="0" w:line="360" w:lineRule="auto"/>
        <w:jc w:val="center"/>
      </w:pPr>
      <w:r>
        <w:rPr>
          <w:rFonts w:ascii="Times New Roman" w:hAnsi="Times New Roman"/>
          <w:b w:val="0"/>
          <w:i w:val="0"/>
          <w:sz w:val="22"/>
          <w:rFonts w:ascii="Times New Roman" w:hAnsi="Times New Roman" w:cs="Times New Roman"/>
        </w:rPr>
        <w:t>Associate Professor,</w:t>
      </w:r>
    </w:p>
    <w:p>
      <w:pPr>
        <w:spacing w:after="280" w:before="0" w:line="360" w:lineRule="auto"/>
        <w:jc w:val="center"/>
      </w:pPr>
      <w:r>
        <w:rPr>
          <w:rFonts w:ascii="Times New Roman" w:hAnsi="Times New Roman"/>
          <w:b w:val="0"/>
          <w:i w:val="0"/>
          <w:sz w:val="22"/>
          <w:rFonts w:ascii="Times New Roman" w:hAnsi="Times New Roman" w:cs="Times New Roman"/>
        </w:rPr>
        <w:t>Department of Data Science</w:t>
      </w:r>
    </w:p>
    <w:p>
      <w:pPr>
        <w:spacing w:after="200"/>
        <w:jc w:val="center"/>
      </w:pPr>
      <w:r>
        <w:drawing>
          <wp:inline xmlns:a="http://schemas.openxmlformats.org/drawingml/2006/main" xmlns:pic="http://schemas.openxmlformats.org/drawingml/2006/picture">
            <wp:extent cx="1188720" cy="969372"/>
            <wp:docPr id="1" name="Picture 1"/>
            <wp:cNvGraphicFramePr>
              <a:graphicFrameLocks noChangeAspect="1"/>
            </wp:cNvGraphicFramePr>
            <a:graphic>
              <a:graphicData uri="http://schemas.openxmlformats.org/drawingml/2006/picture">
                <pic:pic>
                  <pic:nvPicPr>
                    <pic:cNvPr id="0" name="au_logo.png"/>
                    <pic:cNvPicPr/>
                  </pic:nvPicPr>
                  <pic:blipFill>
                    <a:blip r:embed="rId10"/>
                    <a:stretch>
                      <a:fillRect/>
                    </a:stretch>
                  </pic:blipFill>
                  <pic:spPr>
                    <a:xfrm>
                      <a:off x="0" y="0"/>
                      <a:ext cx="1188720" cy="969372"/>
                    </a:xfrm>
                    <a:prstGeom prst="rect"/>
                  </pic:spPr>
                </pic:pic>
              </a:graphicData>
            </a:graphic>
          </wp:inline>
        </w:drawing>
      </w:r>
    </w:p>
    <w:p>
      <w:pPr>
        <w:spacing w:after="40" w:before="0" w:line="360" w:lineRule="auto"/>
        <w:jc w:val="center"/>
      </w:pPr>
      <w:r>
        <w:rPr>
          <w:rFonts w:ascii="Times New Roman" w:hAnsi="Times New Roman"/>
          <w:b/>
          <w:i w:val="0"/>
          <w:sz w:val="26"/>
          <w:rFonts w:ascii="Times New Roman" w:hAnsi="Times New Roman" w:cs="Times New Roman"/>
        </w:rPr>
        <w:t>Department of Data Science</w:t>
      </w:r>
    </w:p>
    <w:p>
      <w:pPr>
        <w:spacing w:after="40" w:before="0" w:line="360" w:lineRule="auto"/>
        <w:jc w:val="center"/>
      </w:pPr>
      <w:r>
        <w:rPr>
          <w:rFonts w:ascii="Times New Roman" w:hAnsi="Times New Roman"/>
          <w:b/>
          <w:i w:val="0"/>
          <w:sz w:val="28"/>
          <w:rFonts w:ascii="Times New Roman" w:hAnsi="Times New Roman" w:cs="Times New Roman"/>
        </w:rPr>
        <w:t>ANURAG UNIVERSITY</w:t>
      </w:r>
    </w:p>
    <w:p>
      <w:pPr>
        <w:spacing w:after="40" w:before="0" w:line="360" w:lineRule="auto"/>
        <w:jc w:val="center"/>
      </w:pPr>
      <w:r>
        <w:rPr>
          <w:rFonts w:ascii="Times New Roman" w:hAnsi="Times New Roman"/>
          <w:b w:val="0"/>
          <w:i w:val="0"/>
          <w:sz w:val="20"/>
          <w:rFonts w:ascii="Times New Roman" w:hAnsi="Times New Roman" w:cs="Times New Roman"/>
        </w:rPr>
        <w:t>Venkatapur (V), Ghatkesar (M), Medchal (D), T.S – 500088</w:t>
      </w:r>
    </w:p>
    <w:p>
      <w:pPr>
        <w:spacing w:after="0" w:before="0" w:line="360" w:lineRule="auto"/>
        <w:jc w:val="center"/>
      </w:pPr>
      <w:r>
        <w:rPr>
          <w:rFonts w:ascii="Times New Roman" w:hAnsi="Times New Roman"/>
          <w:b/>
          <w:i w:val="0"/>
          <w:sz w:val="22"/>
          <w:rFonts w:ascii="Times New Roman" w:hAnsi="Times New Roman" w:cs="Times New Roman"/>
        </w:rPr>
        <w:t>(2023 - 2027)</w:t>
      </w:r>
    </w:p>
    <w:p>
      <w:r>
        <w:br w:type="page"/>
      </w:r>
    </w:p>
    <w:p>
      <w:pPr>
        <w:spacing w:after="240"/>
        <w:jc w:val="center"/>
      </w:pPr>
      <w:r>
        <w:drawing>
          <wp:inline xmlns:a="http://schemas.openxmlformats.org/drawingml/2006/main" xmlns:pic="http://schemas.openxmlformats.org/drawingml/2006/picture">
            <wp:extent cx="4572000" cy="543739"/>
            <wp:docPr id="2" name="Picture 2"/>
            <wp:cNvGraphicFramePr>
              <a:graphicFrameLocks noChangeAspect="1"/>
            </wp:cNvGraphicFramePr>
            <a:graphic>
              <a:graphicData uri="http://schemas.openxmlformats.org/drawingml/2006/picture">
                <pic:pic>
                  <pic:nvPicPr>
                    <pic:cNvPr id="0" name="au_banner.png"/>
                    <pic:cNvPicPr/>
                  </pic:nvPicPr>
                  <pic:blipFill>
                    <a:blip r:embed="rId11"/>
                    <a:stretch>
                      <a:fillRect/>
                    </a:stretch>
                  </pic:blipFill>
                  <pic:spPr>
                    <a:xfrm>
                      <a:off x="0" y="0"/>
                      <a:ext cx="4572000" cy="543739"/>
                    </a:xfrm>
                    <a:prstGeom prst="rect"/>
                  </pic:spPr>
                </pic:pic>
              </a:graphicData>
            </a:graphic>
          </wp:inline>
        </w:drawing>
      </w:r>
    </w:p>
    <w:p>
      <w:pPr>
        <w:spacing w:after="240" w:before="0" w:line="360" w:lineRule="auto"/>
        <w:jc w:val="center"/>
      </w:pPr>
      <w:r>
        <w:rPr>
          <w:rFonts w:ascii="Times New Roman" w:hAnsi="Times New Roman"/>
          <w:b/>
          <w:i w:val="0"/>
          <w:sz w:val="26"/>
          <w:rFonts w:ascii="Times New Roman" w:hAnsi="Times New Roman" w:cs="Times New Roman"/>
        </w:rPr>
        <w:t>DEPARTMENT OF DATA SCIENCE</w:t>
      </w:r>
    </w:p>
    <w:p>
      <w:pPr>
        <w:spacing w:after="360" w:before="0" w:line="360" w:lineRule="auto"/>
        <w:jc w:val="center"/>
      </w:pPr>
      <w:r>
        <w:rPr>
          <w:rFonts w:ascii="Times New Roman" w:hAnsi="Times New Roman"/>
          <w:b/>
          <w:i w:val="0"/>
          <w:sz w:val="28"/>
          <w:rFonts w:ascii="Times New Roman" w:hAnsi="Times New Roman" w:cs="Times New Roman"/>
        </w:rPr>
        <w:t>CERTIFICATE</w:t>
      </w:r>
    </w:p>
    <w:p>
      <w:pPr>
        <w:spacing w:after="240" w:before="0" w:line="360" w:lineRule="auto"/>
        <w:jc w:val="both"/>
      </w:pPr>
      <w:r>
        <w:rPr>
          <w:rFonts w:ascii="Times New Roman" w:hAnsi="Times New Roman"/>
          <w:b w:val="0"/>
          <w:i w:val="0"/>
          <w:sz w:val="24"/>
          <w:rFonts w:ascii="Times New Roman" w:hAnsi="Times New Roman" w:cs="Times New Roman"/>
        </w:rPr>
        <w:t>This is to certify that the project entitled “AI Legal Contract Risk Analyzer” being submitted by Kuppala Harshith Kumar (23EG110A27), Maddula Akshaya Reddy (23EG110A31), and Setti Banu (22EG110A54) in partial fulfillment of the requirements for the award of the degree of the Bachelor of Technology in Computer Science and Engineering – Data Science, Anurag University is a record of bonafide work carried out by them under my guidance and supervision from 2026 to 2027.</w:t>
      </w:r>
    </w:p>
    <w:p>
      <w:pPr>
        <w:spacing w:after="800" w:before="0" w:line="360" w:lineRule="auto"/>
        <w:jc w:val="both"/>
      </w:pPr>
      <w:r>
        <w:rPr>
          <w:rFonts w:ascii="Times New Roman" w:hAnsi="Times New Roman"/>
          <w:b w:val="0"/>
          <w:i w:val="0"/>
          <w:sz w:val="24"/>
          <w:rFonts w:ascii="Times New Roman" w:hAnsi="Times New Roman" w:cs="Times New Roman"/>
        </w:rPr>
        <w:t>The results presented in this project have been verified and found to be satisfactory. The results embodied in this project report have not been submitted to any other University for the award of any other degree or diploma.</w:t>
      </w:r>
    </w:p>
    <w:tbl>
      <w:tblPr>
        <w:tblW w:type="auto" w:w="0"/>
        <w:jc w:val="center"/>
        <w:tblLook w:firstColumn="1" w:firstRow="1" w:lastColumn="0" w:lastRow="0" w:noHBand="0" w:noVBand="1" w:val="04A0"/>
      </w:tblPr>
      <w:tblGrid>
        <w:gridCol w:w="2770"/>
        <w:gridCol w:w="2770"/>
        <w:gridCol w:w="2770"/>
      </w:tblGrid>
      <w:tr>
        <w:tc>
          <w:tcPr>
            <w:tcW w:type="dxa" w:w="3168"/>
          </w:tcPr>
          <w:p>
            <w:pPr>
              <w:jc w:val="center"/>
            </w:pPr>
            <w:r>
              <w:rPr>
                <w:rFonts w:ascii="Times New Roman" w:hAnsi="Times New Roman"/>
                <w:b/>
                <w:i w:val="0"/>
                <w:sz w:val="20"/>
                <w:rFonts w:ascii="Times New Roman" w:hAnsi="Times New Roman" w:cs="Times New Roman"/>
              </w:rPr>
              <w:t>Dr. G. Yedukondalu</w:t>
              <w:br/>
              <w:t>Associate Professor</w:t>
              <w:br/>
              <w:t>Internal Guide</w:t>
            </w:r>
          </w:p>
        </w:tc>
        <w:tc>
          <w:tcPr>
            <w:tcW w:type="dxa" w:w="3168"/>
          </w:tcPr>
          <w:p>
            <w:pPr>
              <w:jc w:val="center"/>
            </w:pPr>
            <w:r>
              <w:rPr>
                <w:rFonts w:ascii="Times New Roman" w:hAnsi="Times New Roman"/>
                <w:b/>
                <w:i w:val="0"/>
                <w:sz w:val="20"/>
                <w:rFonts w:ascii="Times New Roman" w:hAnsi="Times New Roman" w:cs="Times New Roman"/>
              </w:rPr>
              <w:t>Dr. M. Sridevi</w:t>
              <w:br/>
              <w:t>Professor &amp; HOD</w:t>
              <w:br/>
              <w:t>Head of the Department</w:t>
            </w:r>
          </w:p>
        </w:tc>
        <w:tc>
          <w:tcPr>
            <w:tcW w:type="dxa" w:w="3168"/>
          </w:tcPr>
          <w:p>
            <w:pPr>
              <w:jc w:val="center"/>
            </w:pPr>
            <w:r>
              <w:rPr>
                <w:rFonts w:ascii="Times New Roman" w:hAnsi="Times New Roman"/>
                <w:b/>
                <w:i w:val="0"/>
                <w:sz w:val="20"/>
                <w:rFonts w:ascii="Times New Roman" w:hAnsi="Times New Roman" w:cs="Times New Roman"/>
              </w:rPr>
              <w:br/>
              <w:t>External Examiner</w:t>
              <w:br/>
              <w:t xml:space="preserve"> </w:t>
            </w:r>
          </w:p>
        </w:tc>
      </w:tr>
    </w:tbl>
    <w:p>
      <w:r>
        <w:br w:type="page"/>
      </w:r>
    </w:p>
    <w:p>
      <w:pPr>
        <w:spacing w:after="360" w:before="0" w:line="360" w:lineRule="auto"/>
        <w:jc w:val="center"/>
      </w:pPr>
      <w:r>
        <w:rPr>
          <w:rFonts w:ascii="Times New Roman" w:hAnsi="Times New Roman"/>
          <w:b/>
          <w:i w:val="0"/>
          <w:sz w:val="28"/>
          <w:rFonts w:ascii="Times New Roman" w:hAnsi="Times New Roman" w:cs="Times New Roman"/>
        </w:rPr>
        <w:t>ACKNOWLEDGEMENT</w:t>
      </w:r>
    </w:p>
    <w:p>
      <w:pPr>
        <w:spacing w:after="240" w:before="0" w:line="360" w:lineRule="auto"/>
        <w:jc w:val="both"/>
      </w:pPr>
      <w:r>
        <w:rPr>
          <w:rFonts w:ascii="Times New Roman" w:hAnsi="Times New Roman"/>
          <w:b w:val="0"/>
          <w:i w:val="0"/>
          <w:sz w:val="24"/>
          <w:rFonts w:ascii="Times New Roman" w:hAnsi="Times New Roman" w:cs="Times New Roman"/>
        </w:rPr>
        <w:t>It is our privilege and pleasure to express profound sense of respect, gratitude and indebtedness to our internal guide Dr. G. Yedukondalu, Associate Professor, Department of Data Science, ANURAG UNIVERSITY, for his indefatigable inspiration, guidance, cogent discussion, constructive criticisms and encouragement throughout this “AI Legal Contract Risk Analyzer” project work.</w:t>
      </w:r>
    </w:p>
    <w:p>
      <w:pPr>
        <w:spacing w:after="240" w:before="0" w:line="360" w:lineRule="auto"/>
        <w:jc w:val="both"/>
      </w:pPr>
      <w:r>
        <w:rPr>
          <w:rFonts w:ascii="Times New Roman" w:hAnsi="Times New Roman"/>
          <w:b w:val="0"/>
          <w:i w:val="0"/>
          <w:sz w:val="24"/>
          <w:rFonts w:ascii="Times New Roman" w:hAnsi="Times New Roman" w:cs="Times New Roman"/>
        </w:rPr>
        <w:t>We express our sincere gratitude to Dr. M. Sridevi, Head, Department of Data Science, Anurag University, for her suggestions, motivations, and continuous co-operation for the successful completion of the work.</w:t>
      </w:r>
    </w:p>
    <w:p>
      <w:pPr>
        <w:spacing w:after="240" w:before="0" w:line="360" w:lineRule="auto"/>
        <w:jc w:val="both"/>
      </w:pPr>
      <w:r>
        <w:rPr>
          <w:rFonts w:ascii="Times New Roman" w:hAnsi="Times New Roman"/>
          <w:b w:val="0"/>
          <w:i w:val="0"/>
          <w:sz w:val="24"/>
          <w:rFonts w:ascii="Times New Roman" w:hAnsi="Times New Roman" w:cs="Times New Roman"/>
        </w:rPr>
        <w:t>We extend our sincere thanks to Dr. V. Vijaya Kumar, Professor &amp; Dean, School of Engineering, Anurag University, for his encouragement, leadership, and constant support.</w:t>
      </w:r>
    </w:p>
    <w:p>
      <w:pPr>
        <w:spacing w:after="600" w:before="0" w:line="360" w:lineRule="auto"/>
        <w:jc w:val="both"/>
      </w:pPr>
      <w:r>
        <w:rPr>
          <w:rFonts w:ascii="Times New Roman" w:hAnsi="Times New Roman"/>
          <w:b w:val="0"/>
          <w:i w:val="0"/>
          <w:sz w:val="24"/>
          <w:rFonts w:ascii="Times New Roman" w:hAnsi="Times New Roman" w:cs="Times New Roman"/>
        </w:rPr>
        <w:t>We also thank the laboratory staff, faculty members of the Department of Data Science, our classmates, and our parents for their constant encouragement, understanding, and support in the successful completion of this project.</w:t>
      </w:r>
    </w:p>
    <w:p>
      <w:pPr>
        <w:spacing w:after="40" w:before="0" w:line="360" w:lineRule="auto"/>
        <w:jc w:val="right"/>
      </w:pPr>
      <w:r>
        <w:rPr>
          <w:rFonts w:ascii="Times New Roman" w:hAnsi="Times New Roman"/>
          <w:b/>
          <w:i w:val="0"/>
          <w:sz w:val="24"/>
          <w:rFonts w:ascii="Times New Roman" w:hAnsi="Times New Roman" w:cs="Times New Roman"/>
        </w:rPr>
        <w:t>Kuppala Harshith Kumar (23EG110A27)</w:t>
      </w:r>
    </w:p>
    <w:p>
      <w:pPr>
        <w:spacing w:after="40" w:before="0" w:line="360" w:lineRule="auto"/>
        <w:jc w:val="right"/>
      </w:pPr>
      <w:r>
        <w:rPr>
          <w:rFonts w:ascii="Times New Roman" w:hAnsi="Times New Roman"/>
          <w:b/>
          <w:i w:val="0"/>
          <w:sz w:val="24"/>
          <w:rFonts w:ascii="Times New Roman" w:hAnsi="Times New Roman" w:cs="Times New Roman"/>
        </w:rPr>
        <w:t>Maddula Akshaya Reddy (23EG110A31)</w:t>
      </w:r>
    </w:p>
    <w:p>
      <w:pPr>
        <w:spacing w:after="0" w:before="0" w:line="360" w:lineRule="auto"/>
        <w:jc w:val="right"/>
      </w:pPr>
      <w:r>
        <w:rPr>
          <w:rFonts w:ascii="Times New Roman" w:hAnsi="Times New Roman"/>
          <w:b/>
          <w:i w:val="0"/>
          <w:sz w:val="24"/>
          <w:rFonts w:ascii="Times New Roman" w:hAnsi="Times New Roman" w:cs="Times New Roman"/>
        </w:rPr>
        <w:t>Setti Banu (22EG110A54)</w:t>
      </w:r>
    </w:p>
    <w:p>
      <w:r>
        <w:br w:type="page"/>
      </w:r>
    </w:p>
    <w:p>
      <w:pPr>
        <w:spacing w:after="360" w:before="0" w:line="360" w:lineRule="auto"/>
        <w:jc w:val="center"/>
      </w:pPr>
      <w:r>
        <w:rPr>
          <w:rFonts w:ascii="Times New Roman" w:hAnsi="Times New Roman"/>
          <w:b/>
          <w:i w:val="0"/>
          <w:sz w:val="28"/>
          <w:rFonts w:ascii="Times New Roman" w:hAnsi="Times New Roman" w:cs="Times New Roman"/>
        </w:rPr>
        <w:t>DECLARATION</w:t>
      </w:r>
    </w:p>
    <w:p>
      <w:pPr>
        <w:spacing w:after="800" w:before="0" w:line="360" w:lineRule="auto"/>
        <w:jc w:val="both"/>
      </w:pPr>
      <w:r>
        <w:rPr>
          <w:rFonts w:ascii="Times New Roman" w:hAnsi="Times New Roman"/>
          <w:b w:val="0"/>
          <w:i w:val="0"/>
          <w:sz w:val="24"/>
          <w:rFonts w:ascii="Times New Roman" w:hAnsi="Times New Roman" w:cs="Times New Roman"/>
        </w:rPr>
        <w:t>I/We hereby declare that the project work entitled “AI Legal Contract Risk Analyzer” submitted to the Anurag University in partial fulfillment of the requirements for the award of the degree of Bachelor of Technology in Computer Science and Engineering – Data Science is a record of an original work done by us under the guidance of Dr. G. Yedukondalu, Associate Professor, Department of Data Science and this project work has not been submitted to any other university for the award of any other degree or diploma.</w:t>
      </w:r>
    </w:p>
    <w:p>
      <w:pPr>
        <w:spacing w:after="40" w:before="0" w:line="360" w:lineRule="auto"/>
        <w:jc w:val="right"/>
      </w:pPr>
      <w:r>
        <w:rPr>
          <w:rFonts w:ascii="Times New Roman" w:hAnsi="Times New Roman"/>
          <w:b/>
          <w:i w:val="0"/>
          <w:sz w:val="24"/>
          <w:rFonts w:ascii="Times New Roman" w:hAnsi="Times New Roman" w:cs="Times New Roman"/>
        </w:rPr>
        <w:t>Kuppala Harshith Kumar (23EG110A27)</w:t>
      </w:r>
    </w:p>
    <w:p>
      <w:pPr>
        <w:spacing w:after="40" w:before="0" w:line="360" w:lineRule="auto"/>
        <w:jc w:val="right"/>
      </w:pPr>
      <w:r>
        <w:rPr>
          <w:rFonts w:ascii="Times New Roman" w:hAnsi="Times New Roman"/>
          <w:b/>
          <w:i w:val="0"/>
          <w:sz w:val="24"/>
          <w:rFonts w:ascii="Times New Roman" w:hAnsi="Times New Roman" w:cs="Times New Roman"/>
        </w:rPr>
        <w:t>Maddula Akshaya Reddy (23EG110A31)</w:t>
      </w:r>
    </w:p>
    <w:p>
      <w:pPr>
        <w:spacing w:after="480" w:before="0" w:line="360" w:lineRule="auto"/>
        <w:jc w:val="right"/>
      </w:pPr>
      <w:r>
        <w:rPr>
          <w:rFonts w:ascii="Times New Roman" w:hAnsi="Times New Roman"/>
          <w:b/>
          <w:i w:val="0"/>
          <w:sz w:val="24"/>
          <w:rFonts w:ascii="Times New Roman" w:hAnsi="Times New Roman" w:cs="Times New Roman"/>
        </w:rPr>
        <w:t>Setti Banu (22EG110A54)</w:t>
      </w:r>
    </w:p>
    <w:p>
      <w:pPr>
        <w:spacing w:after="0" w:before="0" w:line="360" w:lineRule="auto"/>
        <w:jc w:val="right"/>
      </w:pPr>
      <w:r>
        <w:rPr>
          <w:rFonts w:ascii="Times New Roman" w:hAnsi="Times New Roman"/>
          <w:b w:val="0"/>
          <w:i w:val="0"/>
          <w:sz w:val="24"/>
          <w:rFonts w:ascii="Times New Roman" w:hAnsi="Times New Roman" w:cs="Times New Roman"/>
        </w:rPr>
        <w:t>Date: 09/10/2026</w:t>
      </w:r>
    </w:p>
    <w:p>
      <w:r>
        <w:br w:type="page"/>
      </w:r>
    </w:p>
    <w:p>
      <w:pPr>
        <w:spacing w:after="360" w:before="0" w:line="360" w:lineRule="auto"/>
        <w:jc w:val="center"/>
      </w:pPr>
      <w:r>
        <w:rPr>
          <w:rFonts w:ascii="Times New Roman" w:hAnsi="Times New Roman"/>
          <w:b/>
          <w:i w:val="0"/>
          <w:sz w:val="28"/>
          <w:rFonts w:ascii="Times New Roman" w:hAnsi="Times New Roman" w:cs="Times New Roman"/>
        </w:rPr>
        <w:t>ABSTRACT</w:t>
      </w:r>
    </w:p>
    <w:p>
      <w:pPr>
        <w:spacing w:after="200" w:before="0" w:line="360" w:lineRule="auto"/>
        <w:jc w:val="both"/>
      </w:pPr>
      <w:r>
        <w:rPr>
          <w:rFonts w:ascii="Times New Roman" w:hAnsi="Times New Roman"/>
          <w:b w:val="0"/>
          <w:i w:val="0"/>
          <w:sz w:val="24"/>
          <w:rFonts w:ascii="Times New Roman" w:hAnsi="Times New Roman" w:cs="Times New Roman"/>
        </w:rPr>
        <w:t>Commercial and legal contracts form the bedrock of employment, enterprise procurement, software licensing, and intellectual property agreements. However, these documents are characteristically lengthy, convoluted, and steeped in dense legal jargon that presents substantial cognitive barriers to non-lawyers. Small businesses, freelancers, and students frequently sign binding contracts without recognizing predatory stipulations such as draconian liability caps, one-sided indemnification clauses, broad non-competes, and intellectual property transfers. This project presents AI Legal Contract Risk Analyzer, a full-stack, AI-powered web platform designed to democratize contract review by combining Large Language Model (LLM) reasoning with semantic Retrieval-Augmented Generation (RAG) and automated document parsing.</w:t>
      </w:r>
    </w:p>
    <w:p>
      <w:pPr>
        <w:spacing w:after="200" w:before="0" w:line="360" w:lineRule="auto"/>
        <w:jc w:val="both"/>
      </w:pPr>
      <w:r>
        <w:rPr>
          <w:rFonts w:ascii="Times New Roman" w:hAnsi="Times New Roman"/>
          <w:b w:val="0"/>
          <w:i w:val="0"/>
          <w:sz w:val="24"/>
          <w:rFonts w:ascii="Times New Roman" w:hAnsi="Times New Roman" w:cs="Times New Roman"/>
        </w:rPr>
        <w:t>The system ingests legal documents across multiple formats including PDF, DOCX, scanned contract images (processed via Optical Character Recognition), and direct plaintext input. Extracted text is normalized and segmented into overlapping chunks, from which dense 384-dimensional vector embeddings are computed using the SentenceTransformer all-MiniLM-L6-v2 model and indexed within a Facebook AI Similarity Search (FAISS) vector store. To perform deterministic and reproducible risk audits, the platform orchestrates a high-parameter Groq LLM (openai/gpt-oss-120b) governed by rigorous JSON schema constraints. The analysis pipeline identifies category-level risks, flags problematic clauses with severity rankings (High, Medium, Low), explains legal ramifications in plain language, and generates concrete redline contract revisions alongside missing standard protections (such as SLA commitments, 72-hour data breach notification obligations, and force majeure relief).</w:t>
      </w:r>
    </w:p>
    <w:p>
      <w:pPr>
        <w:spacing w:after="280" w:before="0" w:line="360" w:lineRule="auto"/>
        <w:jc w:val="both"/>
      </w:pPr>
      <w:r>
        <w:rPr>
          <w:rFonts w:ascii="Times New Roman" w:hAnsi="Times New Roman"/>
          <w:b w:val="0"/>
          <w:i w:val="0"/>
          <w:sz w:val="24"/>
          <w:rFonts w:ascii="Times New Roman" w:hAnsi="Times New Roman" w:cs="Times New Roman"/>
        </w:rPr>
        <w:t>Beyond passive risk auditing, the platform provides interactive semantic question-answering strictly grounded in retrieved contract context to prevent hallucinations, side-by-side clause comparison, multi-version contract diffing with automated risk-shift calculation, calendar-ready date and obligation extraction, and legal translation into regional languages (including Telugu and Hindi). Built with a FastAPI backend, PostgreSQL/SQLite relational persistence, and an interactive React frontend, the system incorporates cryptographic audit trails and exports verifiable PDF and Markdown audit dossiers. The platform was validated through end-to-end benchmark runs on real-world contracts, delivering full structured assessments within 12 to 18 seconds, sub-100 millisecond vector search latency, and a complete suite of verified functional test cases.</w:t>
      </w:r>
    </w:p>
    <w:p>
      <w:pPr>
        <w:spacing w:after="0" w:before="0" w:line="360" w:lineRule="auto"/>
        <w:jc w:val="both"/>
      </w:pPr>
      <w:r>
        <w:rPr>
          <w:rFonts w:ascii="Times New Roman" w:hAnsi="Times New Roman"/>
          <w:b/>
          <w:i w:val="0"/>
          <w:sz w:val="24"/>
          <w:rFonts w:ascii="Times New Roman" w:hAnsi="Times New Roman" w:cs="Times New Roman"/>
        </w:rPr>
        <w:t>Keywords: legal contract analysis, natural language processing, large language models, retrieval-augmented generation, risk scoring, clause extraction, FastAPI, React.</w:t>
      </w:r>
    </w:p>
    <w:p>
      <w:r>
        <w:br w:type="page"/>
      </w:r>
    </w:p>
    <w:p>
      <w:pPr>
        <w:spacing w:after="360" w:before="0" w:line="360" w:lineRule="auto"/>
        <w:jc w:val="center"/>
      </w:pPr>
      <w:r>
        <w:rPr>
          <w:rFonts w:ascii="Times New Roman" w:hAnsi="Times New Roman"/>
          <w:b/>
          <w:i w:val="0"/>
          <w:sz w:val="28"/>
          <w:rFonts w:ascii="Times New Roman" w:hAnsi="Times New Roman" w:cs="Times New Roman"/>
        </w:rPr>
        <w:t>INDEX</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4154"/>
        <w:gridCol w:w="4154"/>
      </w:tblGrid>
      <w:tr>
        <w:tc>
          <w:tcPr>
            <w:tcW w:type="dxa" w:w="792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CONTENT</w:t>
            </w:r>
          </w:p>
        </w:tc>
        <w:tc>
          <w:tcPr>
            <w:tcW w:type="dxa" w:w="172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PAGE No.</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CHAPTER 1 - INTRODUCTION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1.1 MOTIVATION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1.2 PROBLEM DEFINITION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1.3 OBJECTIVE OF THE PROJECT</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1.4 ORGANIZATION OF THE REPORT</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CHAPTER 2 - LITERATURE REVIEW</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2.1 RETRIEVAL-AUGMENTED GENERATION (RAG) IN LEGAL NLP</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2.2 PRE-TRAINED LEGAL LANGUAGE MODELS (LEGALBERT)</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2.3 CONTRACT UNDERSTANDING DATASETS (CUAD BENCHMARK)</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2.4 RULE-BASED AND INFORMATION EXTRACTION TOOLKITS (LEXNLP)</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2.5 LARGE LANGUAGE MODELS FOR REASONING AND SYNTHESIS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2.6 FRAMEWORK ORCHESTRATION &amp; VECTOR INDEXING (LANGCHAIN &amp; FAISS)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2.7 RESEARCH GAP</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6</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CHAPTER 3 - ANALYSIS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7</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3.1 EXISTING SYSTEM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7</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3.2 PROPOSED SYSTEM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7</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3.3 SOFTWARE REQUIREMENT SPECIFICATION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8</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3.3.1 Purpose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8</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3.3.2 Scope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8</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3.3.3 Overall Description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8</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3.4 FUNCTIONAL REQUIREMENTS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9</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3.5 NON-FUNCTIONAL REQUIREMENTS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9</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3.6 PROPOSED METHODOLOGY</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10</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3.7 FLOW CHART</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11</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3.8 ALGORITHM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12</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3.9 SOFTWARE TOOLS AND PACKAGES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12</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CHAPTER 4 - DESIGN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14</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4.1 ARCHITECTURAL DIAGRAM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14</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4.2 UML DIAGRAMS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15</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4.2.1 Use Case Diagram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15</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4.2.2 Class Diagram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16</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4.2.3 Activity Diagram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17</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4.2.4 Sequence Diagram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18</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4.3 DATA FLOW DIAGRAMS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19</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4.3.1 Level 0 DFD</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19</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4.3.2 Level 1 DFD</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20</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4.4 E-R DIAGRAM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21</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CHAPTER 5 - IMPLEMENTATION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22</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5.1 MODULE DESCRIPTION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22</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5.2 INTRODUCTION TO TECHNOLOGIES USED</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23</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5.3 SAMPLE CODE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25</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5.3.1 Document Ingestion &amp; Text Extraction (document_parser.py)</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25</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5.3.2 Semantic Chunking &amp; FAISS Vector Retrieval (rag_service.py)</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26</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5.3.3 Structured JSON Contract Risk Analysis (gemini_service.py)</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27</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5.3.4 Audit Trail Logging Middleware (main.py)</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28</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5.3.5 Automated PDF Report Generation (reports.py)</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29</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5.4 EXECUTION PROCEDURE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30</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CHAPTER 6 - RESULTS AND DISCUSSION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31</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6.1 SCAN PERFORMANCE BENCHMARK</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31</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6.1.1 Document Parsing and Ingestion Performance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31</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6.1.2 Embedding and FAISS Vector Retrieval Latency</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32</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6.1.3 LLM Inference and Risk Score Benchmark</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32</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6.2 REAL-WORLD CONTRACT RISK ANALYSIS CASE STUDY</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33</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6.3 ADVANCED CONTRACT ANALYSIS MODULE EVALUATION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34</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6.4 MULTI-LINGUAL CONTRACT TRANSLATION OUTCOMES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35</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6.5 API RESPONSE TIMES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35</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6.6 COST ANALYSIS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36</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6.7 USEFULNESS TO SOCIETY</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36</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6.8 ENVIRONMENTAL SAFETY</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36</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6.9 DISCUSSION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37</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CHAPTER 7 - TEST CASES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38</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CHAPTER 8 - SCREENSHOTS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40</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8.1 LANDING PAGE &amp; HERO DASHBOARD</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40</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8.2 USER AUTHENTICATION &amp; LOGIN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41</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8.3 CONTRACT UPLOAD &amp; DOCUMENT INGESTION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42</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8.4 CONTRACT DETAILS &amp; RAW TEXT PREVIEW</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43</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8.5 COMPREHENSIVE CONTRACT RISK ASSESSMENT DASHBOARD</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44</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8.6 CATEGORY-WISE RISK BREAKDOWN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45</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8.7 FLAGGED CLAUSES &amp; REVISION RECOMMENDATIONS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46</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8.8 MISSING STANDARD PROTECTIONS PANEL</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47</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8.9 ACTIONABLE CONTRACT RECOMMENDATIONS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48</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8.10 RAG-BASED INTERACTIVE CONTRACT Q&amp;A CHAT</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49</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8.11 SIDE-BY-SIDE CLAUSE COMPARISON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50</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8.12 CONTRACT VERSION DIFF &amp; RISK SHIFT</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51</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8.13 DATES, DEADLINES &amp; OBLIGATIONS TRACKER</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52</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8.14 MULTILINGUAL TRANSLATION INTERFACE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53</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8.15 USER ACTIVITY &amp; AUDIT LOG VIEWER</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54</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 xml:space="preserve">  8.16 REPORT GENERATION AND EXPORT INTERFACE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55</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CHAPTER 9 - CONCLUSION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56</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CHAPTER 10 - FUTURE ENHANCEMENT</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57</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CHAPTER 11 - BIBLIOGRAPHY</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58</w:t>
            </w:r>
          </w:p>
        </w:tc>
      </w:tr>
      <w:tr>
        <w:tc>
          <w:tcPr>
            <w:tcW w:type="dxa" w:w="7920"/>
            <w:vAlign w:val="center"/>
          </w:tcPr>
          <w:p>
            <w:pPr>
              <w:spacing w:before="60" w:after="60" w:line="276" w:lineRule="auto"/>
              <w:jc w:val="center"/>
            </w:pPr>
            <w:r>
              <w:rPr>
                <w:rFonts w:ascii="Times New Roman" w:hAnsi="Times New Roman"/>
                <w:b w:val="0"/>
                <w:i w:val="0"/>
                <w:sz w:val="19"/>
                <w:rFonts w:ascii="Times New Roman" w:hAnsi="Times New Roman" w:cs="Times New Roman"/>
              </w:rPr>
              <w:t>CHAPTER 12 - APPENDICES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61</w:t>
            </w:r>
          </w:p>
        </w:tc>
      </w:tr>
    </w:tbl>
    <w:p>
      <w:pPr>
        <w:spacing w:after="160"/>
      </w:pPr>
    </w:p>
    <w:p>
      <w:r>
        <w:br w:type="page"/>
      </w:r>
    </w:p>
    <w:p>
      <w:pPr>
        <w:spacing w:after="360" w:before="0" w:line="360" w:lineRule="auto"/>
        <w:jc w:val="center"/>
      </w:pPr>
      <w:r>
        <w:rPr>
          <w:rFonts w:ascii="Times New Roman" w:hAnsi="Times New Roman"/>
          <w:b/>
          <w:i w:val="0"/>
          <w:sz w:val="28"/>
          <w:rFonts w:ascii="Times New Roman" w:hAnsi="Times New Roman" w:cs="Times New Roman"/>
        </w:rPr>
        <w:t>LIST OF FIGURES</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2770"/>
        <w:gridCol w:w="2770"/>
        <w:gridCol w:w="2770"/>
      </w:tblGrid>
      <w:tr>
        <w:tc>
          <w:tcPr>
            <w:tcW w:type="dxa" w:w="115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S.No.</w:t>
            </w:r>
          </w:p>
        </w:tc>
        <w:tc>
          <w:tcPr>
            <w:tcW w:type="dxa" w:w="676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Figure Name</w:t>
            </w:r>
          </w:p>
        </w:tc>
        <w:tc>
          <w:tcPr>
            <w:tcW w:type="dxa" w:w="172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Page No.</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Block diagram of AI Legal Contract Risk Analyzer</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10</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2</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Flow chart of the contract analysis workflow</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11</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3</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Hybrid contract risk analysis algorithm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12</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4</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System Architecture of AI Legal Contract Risk Analyzer</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14</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5</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Use case diagram of AI Legal Contract Risk Analyzer</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15</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6</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Class diagram (core domain entities)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16</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7</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Activity diagram of the contract analysis workflow</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17</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8</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Sequence diagram of the contract analysis request lifecycle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18</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9</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Level 0 data flow diagram (context diagram)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19</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10</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Level 1 data flow diagram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20</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11</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E-R diagram of the AI Legal Contract Risk Analyzer database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21</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12</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AI Legal Contract Risk Analyzer landing page and hero section</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40</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13</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User authentication and JWT login interface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41</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14</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Contract upload and document ingestion interface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42</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15</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Contract details view and raw text preview</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43</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16</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Comprehensive contract risk assessment dashboard with health score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44</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17</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Category-wise risk breakdown interface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45</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18</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Flagged clauses view showing severity ratings and redline revisions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46</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19</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Missing standard contractual protections panel</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47</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20</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Actionable legal negotiation recommendations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48</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21</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RAG-based interactive contract Q&amp;A chat interface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49</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22</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Side-by-side clause comparison tool</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50</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23</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Contract version diffing and risk shift analysis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51</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24</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Dates, deadlines, and financial obligations tracker</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52</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25</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Multilingual contract translation interface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53</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26</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User activity and cryptographic audit log viewer</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54</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27</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Formal PDF and Markdown report export interface</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55</w:t>
            </w:r>
          </w:p>
        </w:tc>
      </w:tr>
    </w:tbl>
    <w:p>
      <w:pPr>
        <w:spacing w:after="160"/>
      </w:pPr>
    </w:p>
    <w:p>
      <w:r>
        <w:br w:type="page"/>
      </w:r>
    </w:p>
    <w:p>
      <w:pPr>
        <w:spacing w:after="360" w:before="0" w:line="360" w:lineRule="auto"/>
        <w:jc w:val="center"/>
      </w:pPr>
      <w:r>
        <w:rPr>
          <w:rFonts w:ascii="Times New Roman" w:hAnsi="Times New Roman"/>
          <w:b/>
          <w:i w:val="0"/>
          <w:sz w:val="28"/>
          <w:rFonts w:ascii="Times New Roman" w:hAnsi="Times New Roman" w:cs="Times New Roman"/>
        </w:rPr>
        <w:t>LIST OF TABLES</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2770"/>
        <w:gridCol w:w="2770"/>
        <w:gridCol w:w="2770"/>
      </w:tblGrid>
      <w:tr>
        <w:tc>
          <w:tcPr>
            <w:tcW w:type="dxa" w:w="115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S.No.</w:t>
            </w:r>
          </w:p>
        </w:tc>
        <w:tc>
          <w:tcPr>
            <w:tcW w:type="dxa" w:w="676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Table Name</w:t>
            </w:r>
          </w:p>
        </w:tc>
        <w:tc>
          <w:tcPr>
            <w:tcW w:type="dxa" w:w="172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Page No.</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Comparison of existing contract review approaches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6</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2</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Functional requirements of AI Legal Contract Risk Analyzer</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9</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3</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Non-functional requirements of the system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9</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4</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Software tools and packages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13</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5</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Hardware requirements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13</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6</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Implemented backend modules and subsystems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22</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7</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Technologies used and their specific role in the system</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23</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8</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Document parsing and ingestion benchmark</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31</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9</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SentenceTransformer embedding and FAISS search latency</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32</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10</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LLM contract risk analysis inference benchmark</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32</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11</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Recorded API response times across endpoints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35</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12</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Comprehensive functional test cases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38</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13</w:t>
            </w:r>
          </w:p>
        </w:tc>
        <w:tc>
          <w:tcPr>
            <w:tcW w:type="dxa" w:w="6768"/>
            <w:vAlign w:val="center"/>
          </w:tcPr>
          <w:p>
            <w:pPr>
              <w:spacing w:before="60" w:after="60" w:line="276" w:lineRule="auto"/>
              <w:jc w:val="left"/>
            </w:pPr>
            <w:r>
              <w:rPr>
                <w:rFonts w:ascii="Times New Roman" w:hAnsi="Times New Roman"/>
                <w:b w:val="0"/>
                <w:i w:val="0"/>
                <w:sz w:val="19"/>
                <w:rFonts w:ascii="Times New Roman" w:hAnsi="Times New Roman" w:cs="Times New Roman"/>
              </w:rPr>
              <w:t>Evidence artifacts and benchmark log files</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63</w:t>
            </w:r>
          </w:p>
        </w:tc>
      </w:tr>
    </w:tbl>
    <w:p>
      <w:pPr>
        <w:spacing w:after="160"/>
      </w:pPr>
    </w:p>
    <w:p>
      <w:pPr>
        <w:sectPr>
          <w:footerReference w:type="default" r:id="rId9"/>
          <w:pgSz w:w="11909" w:h="16834"/>
          <w:pgMar w:top="1440" w:right="1440" w:bottom="1440" w:left="2160" w:header="720" w:footer="720" w:gutter="0"/>
          <w:cols w:space="720"/>
          <w:docGrid w:linePitch="360"/>
          <w:pgNumType w:fmt="lowerRoman" w:start="1"/>
        </w:sectPr>
      </w:pPr>
    </w:p>
    <w:p>
      <w:pPr>
        <w:spacing w:before="240" w:after="360" w:line="360" w:lineRule="auto"/>
        <w:jc w:val="center"/>
      </w:pPr>
      <w:r>
        <w:rPr>
          <w:rFonts w:ascii="Times New Roman" w:hAnsi="Times New Roman"/>
          <w:b/>
          <w:i w:val="0"/>
          <w:sz w:val="28"/>
          <w:rFonts w:ascii="Times New Roman" w:hAnsi="Times New Roman" w:cs="Times New Roman"/>
        </w:rPr>
        <w:t>CHAPTER 1 - INTRODUCTION</w:t>
      </w:r>
    </w:p>
    <w:p>
      <w:pPr>
        <w:spacing w:after="120" w:before="0" w:line="360" w:lineRule="auto"/>
        <w:jc w:val="both"/>
      </w:pPr>
      <w:r>
        <w:rPr>
          <w:rFonts w:ascii="Times New Roman" w:hAnsi="Times New Roman"/>
          <w:b w:val="0"/>
          <w:i w:val="0"/>
          <w:sz w:val="24"/>
          <w:rFonts w:ascii="Times New Roman" w:hAnsi="Times New Roman" w:cs="Times New Roman"/>
        </w:rPr>
        <w:t>In modern commercial, technological, and corporate ecosystems, legal contracts serve as the definitive instrument establishing rights, responsibilities, liability boundaries, and operational relationships between transacting parties. Whether entering into employment agreements, non-disclosure pacts (NDAs), master service agreements (MSAs), intellectual property assignments, or commercial software licenses, individuals and organizations are governed by formal covenants that carry profound legal and financial ramifications. As commerce has digitized, the frequency, complexity, and velocity of contract exchanges have escalated exponentially. However, the fundamental process by which contracts are examined, interpreted, and negotiated has remained largely manual, artisanal, and heavily constrained by human expertise.</w:t>
      </w:r>
    </w:p>
    <w:p>
      <w:pPr>
        <w:spacing w:after="120" w:before="0" w:line="360" w:lineRule="auto"/>
        <w:jc w:val="both"/>
      </w:pPr>
      <w:r>
        <w:rPr>
          <w:rFonts w:ascii="Times New Roman" w:hAnsi="Times New Roman"/>
          <w:b w:val="0"/>
          <w:i w:val="0"/>
          <w:sz w:val="24"/>
          <w:rFonts w:ascii="Times New Roman" w:hAnsi="Times New Roman" w:cs="Times New Roman"/>
        </w:rPr>
        <w:t>AI Legal Contract Risk Analyzer is an end-to-end, web-based intelligent system engineered to automate, demystify, and accelerate contract review. It ingests complex legal agreements across diverse digital and scanned formats, extracts and cleanses textual content, structures agreements into semantically indexable representations, and executes a multi-stage analytical pipeline combining Retrieval-Augmented Generation (RAG) with state-of-the-art Large Language Model (LLM) reasoning. The resulting platform delivers an exhaustive risk assessment—highlighting predatory clauses, quantifying multi-factor liability scores (0–100), formulating concrete before-and-after contractual revisions, uncovering critical omitted safeguards, and providing conversational Q&amp;A grounded strictly in the contract's verified text.</w:t>
      </w:r>
    </w:p>
    <w:p>
      <w:pPr>
        <w:spacing w:before="240" w:after="120" w:line="360" w:lineRule="auto"/>
        <w:jc w:val="left"/>
      </w:pPr>
      <w:r>
        <w:rPr>
          <w:rFonts w:ascii="Times New Roman" w:hAnsi="Times New Roman"/>
          <w:b/>
          <w:i w:val="0"/>
          <w:sz w:val="24"/>
          <w:rFonts w:ascii="Times New Roman" w:hAnsi="Times New Roman" w:cs="Times New Roman"/>
        </w:rPr>
        <w:t>1.1 MOTIVATION</w:t>
      </w:r>
    </w:p>
    <w:p>
      <w:pPr>
        <w:pStyle w:val="ListBullet"/>
        <w:spacing w:after="80" w:before="0" w:line="360" w:lineRule="auto"/>
        <w:jc w:val="both"/>
      </w:pPr>
      <w:r>
        <w:rPr>
          <w:rFonts w:ascii="Times New Roman" w:hAnsi="Times New Roman"/>
          <w:b w:val="0"/>
          <w:i w:val="0"/>
          <w:sz w:val="24"/>
          <w:rFonts w:ascii="Times New Roman" w:hAnsi="Times New Roman" w:cs="Times New Roman"/>
        </w:rPr>
        <w:t>Manual contract examination does not scale: Thorough manual review of a 15-to-40 page commercial contract demands several hours of intensive scrutiny by qualified attorneys. For rapidly growing software startups, freelance professionals, and student entrepreneurs, legal overhead frequently induces severe bottlenecks or leads to agreements being executed entirely unexamined.</w:t>
      </w:r>
    </w:p>
    <w:p>
      <w:pPr>
        <w:pStyle w:val="ListBullet"/>
        <w:spacing w:after="80" w:before="0" w:line="360" w:lineRule="auto"/>
        <w:jc w:val="both"/>
      </w:pPr>
      <w:r>
        <w:rPr>
          <w:rFonts w:ascii="Times New Roman" w:hAnsi="Times New Roman"/>
          <w:b w:val="0"/>
          <w:i w:val="0"/>
          <w:sz w:val="24"/>
          <w:rFonts w:ascii="Times New Roman" w:hAnsi="Times New Roman" w:cs="Times New Roman"/>
        </w:rPr>
        <w:t>Asymmetry of legal expertise: Legal documents are universally authored in esoteric phraseology ('legalese') replete with conditional caveats, archaic terminology, and intricate cross-references. Non-legal professionals routinely struggle to decipher the operational consequences of ambiguous clauses, placing them at severe disadvantage during negotiations.</w:t>
      </w:r>
    </w:p>
    <w:p>
      <w:pPr>
        <w:pStyle w:val="ListBullet"/>
        <w:spacing w:after="80" w:before="0" w:line="360" w:lineRule="auto"/>
        <w:jc w:val="both"/>
      </w:pPr>
      <w:r>
        <w:rPr>
          <w:rFonts w:ascii="Times New Roman" w:hAnsi="Times New Roman"/>
          <w:b w:val="0"/>
          <w:i w:val="0"/>
          <w:sz w:val="24"/>
          <w:rFonts w:ascii="Times New Roman" w:hAnsi="Times New Roman" w:cs="Times New Roman"/>
        </w:rPr>
        <w:t>Substantial financial and operational liabilities: Unbalanced contractual language—such as unilateral termination rights, uncapped indemnity obligations, automatic renewal locks with short cancellation windows, and blanket intellectual property assignments—can result in devastating litigation, financial penalties, or total loss of proprietary assets.</w:t>
      </w:r>
    </w:p>
    <w:p>
      <w:pPr>
        <w:pStyle w:val="ListBullet"/>
        <w:spacing w:after="80" w:before="0" w:line="360" w:lineRule="auto"/>
        <w:jc w:val="both"/>
      </w:pPr>
      <w:r>
        <w:rPr>
          <w:rFonts w:ascii="Times New Roman" w:hAnsi="Times New Roman"/>
          <w:b w:val="0"/>
          <w:i w:val="0"/>
          <w:sz w:val="24"/>
          <w:rFonts w:ascii="Times New Roman" w:hAnsi="Times New Roman" w:cs="Times New Roman"/>
        </w:rPr>
        <w:t>Inadequacy of conventional keyword and regex search: Traditional document search utilities and rule-based regex parsers can identify predefined terms (e.g., 'termination', 'confidential') but fail completely to comprehend semantic intent, mutual vs. unilateral obligations, hidden exceptions, or subtle changes in legal liability.</w:t>
      </w:r>
    </w:p>
    <w:p>
      <w:pPr>
        <w:pStyle w:val="ListBullet"/>
        <w:spacing w:after="80" w:before="0" w:line="360" w:lineRule="auto"/>
        <w:jc w:val="both"/>
      </w:pPr>
      <w:r>
        <w:rPr>
          <w:rFonts w:ascii="Times New Roman" w:hAnsi="Times New Roman"/>
          <w:b w:val="0"/>
          <w:i w:val="0"/>
          <w:sz w:val="24"/>
          <w:rFonts w:ascii="Times New Roman" w:hAnsi="Times New Roman" w:cs="Times New Roman"/>
        </w:rPr>
        <w:t>Democratization of legal intelligence through Generative AI and RAG: Modern transformer architectures, dense vector embeddings, and contextual retrieval pipelines allow systems to read entire legal agreements, isolate high-risk provisions with mathematical precision, and communicate strategic remediation guidance in plain, accessible language without hallucination.</w:t>
      </w:r>
    </w:p>
    <w:p>
      <w:pPr>
        <w:spacing w:before="240" w:after="120" w:line="360" w:lineRule="auto"/>
        <w:jc w:val="left"/>
      </w:pPr>
      <w:r>
        <w:rPr>
          <w:rFonts w:ascii="Times New Roman" w:hAnsi="Times New Roman"/>
          <w:b/>
          <w:i w:val="0"/>
          <w:sz w:val="24"/>
          <w:rFonts w:ascii="Times New Roman" w:hAnsi="Times New Roman" w:cs="Times New Roman"/>
        </w:rPr>
        <w:t>1.2 PROBLEM DEFINITION</w:t>
      </w:r>
    </w:p>
    <w:p>
      <w:pPr>
        <w:spacing w:after="120" w:before="0" w:line="360" w:lineRule="auto"/>
        <w:jc w:val="both"/>
      </w:pPr>
      <w:r>
        <w:rPr>
          <w:rFonts w:ascii="Times New Roman" w:hAnsi="Times New Roman"/>
          <w:b w:val="0"/>
          <w:i w:val="0"/>
          <w:sz w:val="24"/>
          <w:rFonts w:ascii="Times New Roman" w:hAnsi="Times New Roman" w:cs="Times New Roman"/>
        </w:rPr>
        <w:t>Given any legal agreement provided in digital portable document format (PDF), Microsoft Word (DOCX), rasterized scanned image format (PNG/JPG), or raw plaintext, design and build a secure, full-stack platform that:</w:t>
      </w:r>
    </w:p>
    <w:p>
      <w:pPr>
        <w:pStyle w:val="ListBullet"/>
        <w:spacing w:after="80" w:before="0" w:line="360" w:lineRule="auto"/>
        <w:jc w:val="both"/>
      </w:pPr>
      <w:r>
        <w:rPr>
          <w:rFonts w:ascii="Times New Roman" w:hAnsi="Times New Roman"/>
          <w:b w:val="0"/>
          <w:i w:val="0"/>
          <w:sz w:val="24"/>
          <w:rFonts w:ascii="Times New Roman" w:hAnsi="Times New Roman" w:cs="Times New Roman"/>
        </w:rPr>
        <w:t>Securely authenticates users, protects confidential legal documents, and enforces granular session integrity;</w:t>
      </w:r>
    </w:p>
    <w:p>
      <w:pPr>
        <w:pStyle w:val="ListBullet"/>
        <w:spacing w:after="80" w:before="0" w:line="360" w:lineRule="auto"/>
        <w:jc w:val="both"/>
      </w:pPr>
      <w:r>
        <w:rPr>
          <w:rFonts w:ascii="Times New Roman" w:hAnsi="Times New Roman"/>
          <w:b w:val="0"/>
          <w:i w:val="0"/>
          <w:sz w:val="24"/>
          <w:rFonts w:ascii="Times New Roman" w:hAnsi="Times New Roman" w:cs="Times New Roman"/>
        </w:rPr>
        <w:t>Extracts, parses, and normalizes textual content across heterogeneous document types, including noisy scanned pages via Optical Character Recognition (OCR);</w:t>
      </w:r>
    </w:p>
    <w:p>
      <w:pPr>
        <w:pStyle w:val="ListBullet"/>
        <w:spacing w:after="80" w:before="0" w:line="360" w:lineRule="auto"/>
        <w:jc w:val="both"/>
      </w:pPr>
      <w:r>
        <w:rPr>
          <w:rFonts w:ascii="Times New Roman" w:hAnsi="Times New Roman"/>
          <w:b w:val="0"/>
          <w:i w:val="0"/>
          <w:sz w:val="24"/>
          <w:rFonts w:ascii="Times New Roman" w:hAnsi="Times New Roman" w:cs="Times New Roman"/>
        </w:rPr>
        <w:t>Implements semantic text chunking with sliding-window character overlap to preserve inter-clause legal context;</w:t>
      </w:r>
    </w:p>
    <w:p>
      <w:pPr>
        <w:pStyle w:val="ListBullet"/>
        <w:spacing w:after="80" w:before="0" w:line="360" w:lineRule="auto"/>
        <w:jc w:val="both"/>
      </w:pPr>
      <w:r>
        <w:rPr>
          <w:rFonts w:ascii="Times New Roman" w:hAnsi="Times New Roman"/>
          <w:b w:val="0"/>
          <w:i w:val="0"/>
          <w:sz w:val="24"/>
          <w:rFonts w:ascii="Times New Roman" w:hAnsi="Times New Roman" w:cs="Times New Roman"/>
        </w:rPr>
        <w:t>Transforms text chunks into dense mathematical vector representations and builds a high-speed similarity search index using FAISS;</w:t>
      </w:r>
    </w:p>
    <w:p>
      <w:pPr>
        <w:pStyle w:val="ListBullet"/>
        <w:spacing w:after="80" w:before="0" w:line="360" w:lineRule="auto"/>
        <w:jc w:val="both"/>
      </w:pPr>
      <w:r>
        <w:rPr>
          <w:rFonts w:ascii="Times New Roman" w:hAnsi="Times New Roman"/>
          <w:b w:val="0"/>
          <w:i w:val="0"/>
          <w:sz w:val="24"/>
          <w:rFonts w:ascii="Times New Roman" w:hAnsi="Times New Roman" w:cs="Times New Roman"/>
        </w:rPr>
        <w:t>Conducts deep multi-category risk evaluation via high-parameter LLM reasoning governed by deterministic JSON schema constraints;</w:t>
      </w:r>
    </w:p>
    <w:p>
      <w:pPr>
        <w:pStyle w:val="ListBullet"/>
        <w:spacing w:after="80" w:before="0" w:line="360" w:lineRule="auto"/>
        <w:jc w:val="both"/>
      </w:pPr>
      <w:r>
        <w:rPr>
          <w:rFonts w:ascii="Times New Roman" w:hAnsi="Times New Roman"/>
          <w:b w:val="0"/>
          <w:i w:val="0"/>
          <w:sz w:val="24"/>
          <w:rFonts w:ascii="Times New Roman" w:hAnsi="Times New Roman" w:cs="Times New Roman"/>
        </w:rPr>
        <w:t>Calculates an objective 0–100 composite risk score with granular category assessments spanning Liability, Intellectual Property, Termination, Payment, and Privacy;</w:t>
      </w:r>
    </w:p>
    <w:p>
      <w:pPr>
        <w:pStyle w:val="ListBullet"/>
        <w:spacing w:after="80" w:before="0" w:line="360" w:lineRule="auto"/>
        <w:jc w:val="both"/>
      </w:pPr>
      <w:r>
        <w:rPr>
          <w:rFonts w:ascii="Times New Roman" w:hAnsi="Times New Roman"/>
          <w:b w:val="0"/>
          <w:i w:val="0"/>
          <w:sz w:val="24"/>
          <w:rFonts w:ascii="Times New Roman" w:hAnsi="Times New Roman" w:cs="Times New Roman"/>
        </w:rPr>
        <w:t>Isolates predatory or high-risk clauses, explains their practical threat in layman's terminology, and outputs actionable redline revision recommendations;</w:t>
      </w:r>
    </w:p>
    <w:p>
      <w:pPr>
        <w:pStyle w:val="ListBullet"/>
        <w:spacing w:after="80" w:before="0" w:line="360" w:lineRule="auto"/>
        <w:jc w:val="both"/>
      </w:pPr>
      <w:r>
        <w:rPr>
          <w:rFonts w:ascii="Times New Roman" w:hAnsi="Times New Roman"/>
          <w:b w:val="0"/>
          <w:i w:val="0"/>
          <w:sz w:val="24"/>
          <w:rFonts w:ascii="Times New Roman" w:hAnsi="Times New Roman" w:cs="Times New Roman"/>
        </w:rPr>
        <w:t>Audits agreements against standard industry benchmarks to surface missing protections, including Service Level Agreements (SLAs), data breach notification timelines, and force majeure coverage;</w:t>
      </w:r>
    </w:p>
    <w:p>
      <w:pPr>
        <w:pStyle w:val="ListBullet"/>
        <w:spacing w:after="80" w:before="0" w:line="360" w:lineRule="auto"/>
        <w:jc w:val="both"/>
      </w:pPr>
      <w:r>
        <w:rPr>
          <w:rFonts w:ascii="Times New Roman" w:hAnsi="Times New Roman"/>
          <w:b w:val="0"/>
          <w:i w:val="0"/>
          <w:sz w:val="24"/>
          <w:rFonts w:ascii="Times New Roman" w:hAnsi="Times New Roman" w:cs="Times New Roman"/>
        </w:rPr>
        <w:t>Delivers an interactive RAG-powered chatbot answering arbitrary user queries strictly grounded in retrieved contract chunks with zero hallucination;</w:t>
      </w:r>
    </w:p>
    <w:p>
      <w:pPr>
        <w:pStyle w:val="ListBullet"/>
        <w:spacing w:after="80" w:before="0" w:line="360" w:lineRule="auto"/>
        <w:jc w:val="both"/>
      </w:pPr>
      <w:r>
        <w:rPr>
          <w:rFonts w:ascii="Times New Roman" w:hAnsi="Times New Roman"/>
          <w:b w:val="0"/>
          <w:i w:val="0"/>
          <w:sz w:val="24"/>
          <w:rFonts w:ascii="Times New Roman" w:hAnsi="Times New Roman" w:cs="Times New Roman"/>
        </w:rPr>
        <w:t>Provides advanced legal tooling: side-by-side clause comparison, version diffing with automated risk shift measurement, obligation timeline extraction, and multilingual translation;</w:t>
      </w:r>
    </w:p>
    <w:p>
      <w:pPr>
        <w:pStyle w:val="ListBullet"/>
        <w:spacing w:after="80" w:before="0" w:line="360" w:lineRule="auto"/>
        <w:jc w:val="both"/>
      </w:pPr>
      <w:r>
        <w:rPr>
          <w:rFonts w:ascii="Times New Roman" w:hAnsi="Times New Roman"/>
          <w:b w:val="0"/>
          <w:i w:val="0"/>
          <w:sz w:val="24"/>
          <w:rFonts w:ascii="Times New Roman" w:hAnsi="Times New Roman" w:cs="Times New Roman"/>
        </w:rPr>
        <w:t>Maintains a cryptographic user activity audit log and exports standardized, professional PDF and Markdown risk reports.</w:t>
      </w:r>
    </w:p>
    <w:p>
      <w:pPr>
        <w:spacing w:before="240" w:after="120" w:line="360" w:lineRule="auto"/>
        <w:jc w:val="left"/>
      </w:pPr>
      <w:r>
        <w:rPr>
          <w:rFonts w:ascii="Times New Roman" w:hAnsi="Times New Roman"/>
          <w:b/>
          <w:i w:val="0"/>
          <w:sz w:val="24"/>
          <w:rFonts w:ascii="Times New Roman" w:hAnsi="Times New Roman" w:cs="Times New Roman"/>
        </w:rPr>
        <w:t>1.3 OBJECTIVE OF THE PROJECT</w:t>
      </w:r>
    </w:p>
    <w:p>
      <w:pPr>
        <w:pStyle w:val="ListBullet"/>
        <w:spacing w:after="80" w:before="0" w:line="360" w:lineRule="auto"/>
        <w:jc w:val="both"/>
      </w:pPr>
      <w:r>
        <w:rPr>
          <w:rFonts w:ascii="Times New Roman" w:hAnsi="Times New Roman"/>
          <w:b w:val="0"/>
          <w:i w:val="0"/>
          <w:sz w:val="24"/>
          <w:rFonts w:ascii="Times New Roman" w:hAnsi="Times New Roman" w:cs="Times New Roman"/>
        </w:rPr>
        <w:t>To architect and implement an asynchronous full-stack platform combining a FastAPI backend with a reactive React single-page frontend;</w:t>
      </w:r>
    </w:p>
    <w:p>
      <w:pPr>
        <w:pStyle w:val="ListBullet"/>
        <w:spacing w:after="80" w:before="0" w:line="360" w:lineRule="auto"/>
        <w:jc w:val="both"/>
      </w:pPr>
      <w:r>
        <w:rPr>
          <w:rFonts w:ascii="Times New Roman" w:hAnsi="Times New Roman"/>
          <w:b w:val="0"/>
          <w:i w:val="0"/>
          <w:sz w:val="24"/>
          <w:rFonts w:ascii="Times New Roman" w:hAnsi="Times New Roman" w:cs="Times New Roman"/>
        </w:rPr>
        <w:t>To integrate state-of-the-art embedding models (SentenceTransformer all-MiniLM-L6-v2) and FAISS vector indexing for sub-100ms semantic clause retrieval;</w:t>
      </w:r>
    </w:p>
    <w:p>
      <w:pPr>
        <w:pStyle w:val="ListBullet"/>
        <w:spacing w:after="80" w:before="0" w:line="360" w:lineRule="auto"/>
        <w:jc w:val="both"/>
      </w:pPr>
      <w:r>
        <w:rPr>
          <w:rFonts w:ascii="Times New Roman" w:hAnsi="Times New Roman"/>
          <w:b w:val="0"/>
          <w:i w:val="0"/>
          <w:sz w:val="24"/>
          <w:rFonts w:ascii="Times New Roman" w:hAnsi="Times New Roman" w:cs="Times New Roman"/>
        </w:rPr>
        <w:t>To implement strict JSON schema enforcement over Groq Cloud (openai/gpt-oss-120b) and Gemini LLM inferences to guarantee structured, predictable outputs;</w:t>
      </w:r>
    </w:p>
    <w:p>
      <w:pPr>
        <w:pStyle w:val="ListBullet"/>
        <w:spacing w:after="80" w:before="0" w:line="360" w:lineRule="auto"/>
        <w:jc w:val="both"/>
      </w:pPr>
      <w:r>
        <w:rPr>
          <w:rFonts w:ascii="Times New Roman" w:hAnsi="Times New Roman"/>
          <w:b w:val="0"/>
          <w:i w:val="0"/>
          <w:sz w:val="24"/>
          <w:rFonts w:ascii="Times New Roman" w:hAnsi="Times New Roman" w:cs="Times New Roman"/>
        </w:rPr>
        <w:t>To engineer a transparent risk quantification engine delivering itemized category scores, severity tiers (High, Medium, Low), and composite scores;</w:t>
      </w:r>
    </w:p>
    <w:p>
      <w:pPr>
        <w:pStyle w:val="ListBullet"/>
        <w:spacing w:after="80" w:before="0" w:line="360" w:lineRule="auto"/>
        <w:jc w:val="both"/>
      </w:pPr>
      <w:r>
        <w:rPr>
          <w:rFonts w:ascii="Times New Roman" w:hAnsi="Times New Roman"/>
          <w:b w:val="0"/>
          <w:i w:val="0"/>
          <w:sz w:val="24"/>
          <w:rFonts w:ascii="Times New Roman" w:hAnsi="Times New Roman" w:cs="Times New Roman"/>
        </w:rPr>
        <w:t>To provide redline contractual revisions showing before-and-after language to directly assist users during contract negotiation;</w:t>
      </w:r>
    </w:p>
    <w:p>
      <w:pPr>
        <w:pStyle w:val="ListBullet"/>
        <w:spacing w:after="80" w:before="0" w:line="360" w:lineRule="auto"/>
        <w:jc w:val="both"/>
      </w:pPr>
      <w:r>
        <w:rPr>
          <w:rFonts w:ascii="Times New Roman" w:hAnsi="Times New Roman"/>
          <w:b w:val="0"/>
          <w:i w:val="0"/>
          <w:sz w:val="24"/>
          <w:rFonts w:ascii="Times New Roman" w:hAnsi="Times New Roman" w:cs="Times New Roman"/>
        </w:rPr>
        <w:t>To construct an interactive contract exploration dashboard featuring real-time clause filtering, version diffing, obligation extraction, and multilingual translation;</w:t>
      </w:r>
    </w:p>
    <w:p>
      <w:pPr>
        <w:pStyle w:val="ListBullet"/>
        <w:spacing w:after="80" w:before="0" w:line="360" w:lineRule="auto"/>
        <w:jc w:val="both"/>
      </w:pPr>
      <w:r>
        <w:rPr>
          <w:rFonts w:ascii="Times New Roman" w:hAnsi="Times New Roman"/>
          <w:b w:val="0"/>
          <w:i w:val="0"/>
          <w:sz w:val="24"/>
          <w:rFonts w:ascii="Times New Roman" w:hAnsi="Times New Roman" w:cs="Times New Roman"/>
        </w:rPr>
        <w:t>To generate publication-ready, auditable risk reports in PDF and Markdown formats and maintain tamper-resistant activity audit trails.</w:t>
      </w:r>
    </w:p>
    <w:p>
      <w:pPr>
        <w:spacing w:before="240" w:after="120" w:line="360" w:lineRule="auto"/>
        <w:jc w:val="left"/>
      </w:pPr>
      <w:r>
        <w:rPr>
          <w:rFonts w:ascii="Times New Roman" w:hAnsi="Times New Roman"/>
          <w:b/>
          <w:i w:val="0"/>
          <w:sz w:val="24"/>
          <w:rFonts w:ascii="Times New Roman" w:hAnsi="Times New Roman" w:cs="Times New Roman"/>
        </w:rPr>
        <w:t>1.4 ORGANIZATION OF THE REPORT</w:t>
      </w:r>
    </w:p>
    <w:p>
      <w:pPr>
        <w:spacing w:after="120" w:before="0" w:line="360" w:lineRule="auto"/>
        <w:jc w:val="both"/>
      </w:pPr>
      <w:r>
        <w:rPr>
          <w:rFonts w:ascii="Times New Roman" w:hAnsi="Times New Roman"/>
          <w:b w:val="0"/>
          <w:i w:val="0"/>
          <w:sz w:val="24"/>
          <w:rFonts w:ascii="Times New Roman" w:hAnsi="Times New Roman" w:cs="Times New Roman"/>
        </w:rPr>
        <w:t>The remainder of this report is organized as follows: Chapter 2 presents a comprehensive literature survey analyzing prior research in legal NLP, pre-trained legal models, contract understanding benchmarks, and RAG frameworks, concluding with an explicit research gap matrix. Chapter 3 provides system analysis, existing vs. proposed system comparisons, detailed Software Requirement Specifications (SRS), functional and non-functional specifications, the proposed methodology, system flowchart, and algorithm. Chapter 4 elaborates on system design, incorporating architectural blueprints, UML diagrams (Use Case, Class, Activity, Sequence), Data Flow Diagrams (Level 0, Level 1), and Entity-Relationship models. Chapter 5 details implementation specifics, module descriptions, underlying technologies, sample source code snippets, and execution procedures. Chapter 6 presents empirical results, benchmarks, real-world case studies, societal impact, cost analysis, and environmental considerations. Chapter 7 documents verified functional test cases. Chapter 8 provides an exhaustive visual walkthrough with application screenshots. Chapters 9 through 12 conclude the report with summaries, future scopes, bibliography, and appendices.</w:t>
      </w:r>
    </w:p>
    <w:p>
      <w:r>
        <w:br w:type="page"/>
      </w:r>
    </w:p>
    <w:p>
      <w:pPr>
        <w:spacing w:before="240" w:after="360" w:line="360" w:lineRule="auto"/>
        <w:jc w:val="center"/>
      </w:pPr>
      <w:r>
        <w:rPr>
          <w:rFonts w:ascii="Times New Roman" w:hAnsi="Times New Roman"/>
          <w:b/>
          <w:i w:val="0"/>
          <w:sz w:val="28"/>
          <w:rFonts w:ascii="Times New Roman" w:hAnsi="Times New Roman" w:cs="Times New Roman"/>
        </w:rPr>
        <w:t>CHAPTER 2 - LITERATURE REVIEW</w:t>
      </w:r>
    </w:p>
    <w:p>
      <w:pPr>
        <w:spacing w:after="120" w:before="0" w:line="360" w:lineRule="auto"/>
        <w:jc w:val="both"/>
      </w:pPr>
      <w:r>
        <w:rPr>
          <w:rFonts w:ascii="Times New Roman" w:hAnsi="Times New Roman"/>
          <w:b w:val="0"/>
          <w:i w:val="0"/>
          <w:sz w:val="24"/>
          <w:rFonts w:ascii="Times New Roman" w:hAnsi="Times New Roman" w:cs="Times New Roman"/>
        </w:rPr>
        <w:t>The domain of automated legal document analysis has witnessed remarkable evolution over the past decade, progressing from rudimentary regular expression pattern matching and dictionary-driven information extraction to modern deep learning, domain-specific transformers, and generative Large Language Models. This chapter surveys foundational literature across six key themes that directly inform the design and architecture of AI Legal Contract Risk Analyzer: Retrieval-Augmented Generation in specialized domains, domain-specific legal pre-training, contract understanding benchmarks, information extraction toolkits, large-scale language model reasoning, and vector database indexing. Citations correspond to the numbered entries in Chapter 11 (Bibliography).</w:t>
      </w:r>
    </w:p>
    <w:p>
      <w:pPr>
        <w:spacing w:before="240" w:after="120" w:line="360" w:lineRule="auto"/>
        <w:jc w:val="left"/>
      </w:pPr>
      <w:r>
        <w:rPr>
          <w:rFonts w:ascii="Times New Roman" w:hAnsi="Times New Roman"/>
          <w:b/>
          <w:i w:val="0"/>
          <w:sz w:val="24"/>
          <w:rFonts w:ascii="Times New Roman" w:hAnsi="Times New Roman" w:cs="Times New Roman"/>
        </w:rPr>
        <w:t>2.1 RETRIEVAL-AUGMENTED GENERATION (RAG) IN LEGAL NLP</w:t>
      </w:r>
    </w:p>
    <w:p>
      <w:pPr>
        <w:spacing w:after="120" w:before="0" w:line="360" w:lineRule="auto"/>
        <w:jc w:val="both"/>
      </w:pPr>
      <w:r>
        <w:rPr>
          <w:rFonts w:ascii="Times New Roman" w:hAnsi="Times New Roman"/>
          <w:b w:val="0"/>
          <w:i w:val="0"/>
          <w:sz w:val="24"/>
          <w:rFonts w:ascii="Times New Roman" w:hAnsi="Times New Roman" w:cs="Times New Roman"/>
        </w:rPr>
        <w:t>Retrieval-Augmented Generation, formalised by Lewis et al. [1], revolutionized knowledge-intensive NLP tasks by coupling pre-trained parametric language generators with non-parametric dense vector index retrievers. In legal and statutory analysis, standard generative LLMs are prone to hallucinating citations, misinterpreting jurisdictional precedents, or fabricating non-existent clauses when prompted in open-domain zero-shot settings. As demonstrated by Gao et al. [2] and Guu et al. [3], RAG architectures overcome this limitation by first querying an external corpus or specific target document using dense semantic embeddings, retrieving top-k relevant textual passages, and pre-pending these retrieved segments as immutable grounding context to the generation prompt. In the context of contract risk analysis, RAG ensures that every flagged issue, risk explanation, and Q&amp;A answer is strictly derived from the verified text of the uploaded document, entirely eliminating ungrounded hallucinations.</w:t>
      </w:r>
    </w:p>
    <w:p>
      <w:pPr>
        <w:spacing w:before="240" w:after="120" w:line="360" w:lineRule="auto"/>
        <w:jc w:val="left"/>
      </w:pPr>
      <w:r>
        <w:rPr>
          <w:rFonts w:ascii="Times New Roman" w:hAnsi="Times New Roman"/>
          <w:b/>
          <w:i w:val="0"/>
          <w:sz w:val="24"/>
          <w:rFonts w:ascii="Times New Roman" w:hAnsi="Times New Roman" w:cs="Times New Roman"/>
        </w:rPr>
        <w:t>2.2 PRE-TRAINED LEGAL LANGUAGE MODELS (LEGALBERT)</w:t>
      </w:r>
    </w:p>
    <w:p>
      <w:pPr>
        <w:spacing w:after="120" w:before="0" w:line="360" w:lineRule="auto"/>
        <w:jc w:val="both"/>
      </w:pPr>
      <w:r>
        <w:rPr>
          <w:rFonts w:ascii="Times New Roman" w:hAnsi="Times New Roman"/>
          <w:b w:val="0"/>
          <w:i w:val="0"/>
          <w:sz w:val="24"/>
          <w:rFonts w:ascii="Times New Roman" w:hAnsi="Times New Roman" w:cs="Times New Roman"/>
        </w:rPr>
        <w:t>Standard pre-trained language models like BERT and RoBERTa exhibit diminished semantic comprehension when applied to legal text due to significant vocabulary divergence, unique syntactic structures, and stylized legal jargon. To mitigate this domain mismatch, Chalkidis et al. [4] introduced LegalBERT, pre-training transformer architectures on diverse legal corpora spanning 12 GB of contracts, legislation, court opinions, and European regulations. Their findings proved that domain-specific contextual representations yield statistically superior performance on legal named entity recognition, clause categorization, and statutory reasoning compared to general-domain models. Subsequent work by Zheng et al. [5] further validated that specialized legal representations capture nuanced legal concepts such as force majeure, severability, and indemnity far more reliably than generic BERT models.</w:t>
      </w:r>
    </w:p>
    <w:p>
      <w:pPr>
        <w:spacing w:before="240" w:after="120" w:line="360" w:lineRule="auto"/>
        <w:jc w:val="left"/>
      </w:pPr>
      <w:r>
        <w:rPr>
          <w:rFonts w:ascii="Times New Roman" w:hAnsi="Times New Roman"/>
          <w:b/>
          <w:i w:val="0"/>
          <w:sz w:val="24"/>
          <w:rFonts w:ascii="Times New Roman" w:hAnsi="Times New Roman" w:cs="Times New Roman"/>
        </w:rPr>
        <w:t>2.3 CONTRACT UNDERSTANDING DATASETS (CUAD BENCHMARK)</w:t>
      </w:r>
    </w:p>
    <w:p>
      <w:pPr>
        <w:spacing w:after="120" w:before="0" w:line="360" w:lineRule="auto"/>
        <w:jc w:val="both"/>
      </w:pPr>
      <w:r>
        <w:rPr>
          <w:rFonts w:ascii="Times New Roman" w:hAnsi="Times New Roman"/>
          <w:b w:val="0"/>
          <w:i w:val="0"/>
          <w:sz w:val="24"/>
          <w:rFonts w:ascii="Times New Roman" w:hAnsi="Times New Roman" w:cs="Times New Roman"/>
        </w:rPr>
        <w:t>A monumental milestone in computational legal research was achieved with the release of the Contract Understanding Atticus Dataset (CUAD) by Hendrycks et al. [6]. CUAD established an open-access, expert-annotated benchmark comprising 510 commercial legal contracts containing over 13,000 individual annotations categorized across 41 distinct contractual clause types (including Governing Law, Limitation of Liability, Exclusivity, Non-Compete, and Anti-Assignment). The authors demonstrated that while state-of-the-art transformer models achieve high precision on standardized clause localization, their efficacy degrades on outlier formulations, missing terms, and adversarial drafting. The CUAD taxonomy directly guides the category risk modeling and missing protection checklists adopted in our system.</w:t>
      </w:r>
    </w:p>
    <w:p>
      <w:pPr>
        <w:spacing w:before="240" w:after="120" w:line="360" w:lineRule="auto"/>
        <w:jc w:val="left"/>
      </w:pPr>
      <w:r>
        <w:rPr>
          <w:rFonts w:ascii="Times New Roman" w:hAnsi="Times New Roman"/>
          <w:b/>
          <w:i w:val="0"/>
          <w:sz w:val="24"/>
          <w:rFonts w:ascii="Times New Roman" w:hAnsi="Times New Roman" w:cs="Times New Roman"/>
        </w:rPr>
        <w:t>2.4 RULE-BASED AND INFORMATION EXTRACTION TOOLKITS (LEXNLP)</w:t>
      </w:r>
    </w:p>
    <w:p>
      <w:pPr>
        <w:spacing w:after="120" w:before="0" w:line="360" w:lineRule="auto"/>
        <w:jc w:val="both"/>
      </w:pPr>
      <w:r>
        <w:rPr>
          <w:rFonts w:ascii="Times New Roman" w:hAnsi="Times New Roman"/>
          <w:b w:val="0"/>
          <w:i w:val="0"/>
          <w:sz w:val="24"/>
          <w:rFonts w:ascii="Times New Roman" w:hAnsi="Times New Roman" w:cs="Times New Roman"/>
        </w:rPr>
        <w:t>Prior to modern generative models, legal information extraction relied heavily on specialized programmatic packages. Bommarito et al. [7] developed LexNLP, an open-source Python library tailored for segmenting, tokenizing, and extracting domain-specific legal entities such as monetary sums, statutory citations, court names, geo-political jurisdictions, and contractual dates. While rule-based systems excel in high-speed, deterministic extraction of structured entities (such as effective dates and dollar figures), they lack semantic reasoning capabilities required to assess whether a limitation of liability clause is balanced or predatory. Consequently, modern systems must pair deterministic parsing with neural semantic reasoning.</w:t>
      </w:r>
    </w:p>
    <w:p>
      <w:pPr>
        <w:spacing w:before="240" w:after="120" w:line="360" w:lineRule="auto"/>
        <w:jc w:val="left"/>
      </w:pPr>
      <w:r>
        <w:rPr>
          <w:rFonts w:ascii="Times New Roman" w:hAnsi="Times New Roman"/>
          <w:b/>
          <w:i w:val="0"/>
          <w:sz w:val="24"/>
          <w:rFonts w:ascii="Times New Roman" w:hAnsi="Times New Roman" w:cs="Times New Roman"/>
        </w:rPr>
        <w:t>2.5 LARGE LANGUAGE MODELS FOR REASONING AND SYNTHESIS</w:t>
      </w:r>
    </w:p>
    <w:p>
      <w:pPr>
        <w:spacing w:after="120" w:before="0" w:line="360" w:lineRule="auto"/>
        <w:jc w:val="both"/>
      </w:pPr>
      <w:r>
        <w:rPr>
          <w:rFonts w:ascii="Times New Roman" w:hAnsi="Times New Roman"/>
          <w:b w:val="0"/>
          <w:i w:val="0"/>
          <w:sz w:val="24"/>
          <w:rFonts w:ascii="Times New Roman" w:hAnsi="Times New Roman" w:cs="Times New Roman"/>
        </w:rPr>
        <w:t>The advent of massive generative foundation models—exemplified by OpenAI's GPT-4 [8], Anthropic's Claude series, and Google's Gemini models [9]—demonstrated unprecedented zero-shot reasoning capabilities on complex cognitive tasks. Katz et al. [10] famously demonstrated that GPT-4 passed the Uniform Bar Examination with scores placing it in the 90th percentile of human test takers, showcasing its extraordinary capability to parse legal arguments, synthesize statutes, and identify contractual liabilities. In our system, high-throughput inference powered by Groq's LPU acceleration over open-weights foundation models (such as openai/gpt-oss-120b) enables fast, highly articulate legal reasoning, plain-language explanations, and before-and-after contract revisions at consumer-scale latencies.</w:t>
      </w:r>
    </w:p>
    <w:p>
      <w:pPr>
        <w:spacing w:before="240" w:after="120" w:line="360" w:lineRule="auto"/>
        <w:jc w:val="left"/>
      </w:pPr>
      <w:r>
        <w:rPr>
          <w:rFonts w:ascii="Times New Roman" w:hAnsi="Times New Roman"/>
          <w:b/>
          <w:i w:val="0"/>
          <w:sz w:val="24"/>
          <w:rFonts w:ascii="Times New Roman" w:hAnsi="Times New Roman" w:cs="Times New Roman"/>
        </w:rPr>
        <w:t>2.6 FRAMEWORK ORCHESTRATION &amp; VECTOR INDEXING (LANGCHAIN &amp; FAISS)</w:t>
      </w:r>
    </w:p>
    <w:p>
      <w:pPr>
        <w:spacing w:after="120" w:before="0" w:line="360" w:lineRule="auto"/>
        <w:jc w:val="both"/>
      </w:pPr>
      <w:r>
        <w:rPr>
          <w:rFonts w:ascii="Times New Roman" w:hAnsi="Times New Roman"/>
          <w:b w:val="0"/>
          <w:i w:val="0"/>
          <w:sz w:val="24"/>
          <w:rFonts w:ascii="Times New Roman" w:hAnsi="Times New Roman" w:cs="Times New Roman"/>
        </w:rPr>
        <w:t>Operationalizing LLM-driven workflows requires modular application frameworks capable of chaining ingestion, chunking, vectorization, and inference. Chase et al. [11] formalized LangChain, establishing standardized abstractions for document loaders, text splitters, embedding wrappers, and conversational memory buffers. To perform lightning-fast similarity searches across high-dimensional vector spaces, Johnson, Douze, and Jégou [12] introduced FAISS (Facebook AI Similarity Search). FAISS leverages optimized C++ kernels, SIMD vectorization, and inverted index clustering to execute nearest-neighbor queries across millions of dense embedding vectors within milliseconds. Employing FAISS with normalized inner-product cosine distance ensures that our platform retrieves relevant contract sections instantaneously.</w:t>
      </w:r>
    </w:p>
    <w:p>
      <w:pPr>
        <w:spacing w:before="240" w:after="120" w:line="360" w:lineRule="auto"/>
        <w:jc w:val="left"/>
      </w:pPr>
      <w:r>
        <w:rPr>
          <w:rFonts w:ascii="Times New Roman" w:hAnsi="Times New Roman"/>
          <w:b/>
          <w:i w:val="0"/>
          <w:sz w:val="24"/>
          <w:rFonts w:ascii="Times New Roman" w:hAnsi="Times New Roman" w:cs="Times New Roman"/>
        </w:rPr>
        <w:t>2.7 RESEARCH GAP</w:t>
      </w:r>
    </w:p>
    <w:p>
      <w:pPr>
        <w:spacing w:after="120" w:before="0" w:line="360" w:lineRule="auto"/>
        <w:jc w:val="both"/>
      </w:pPr>
      <w:r>
        <w:rPr>
          <w:rFonts w:ascii="Times New Roman" w:hAnsi="Times New Roman"/>
          <w:b w:val="0"/>
          <w:i w:val="0"/>
          <w:sz w:val="24"/>
          <w:rFonts w:ascii="Times New Roman" w:hAnsi="Times New Roman" w:cs="Times New Roman"/>
        </w:rPr>
        <w:t>Despite significant advances across isolated research vectors, existing tools and literature reveal substantial functional gaps when applied to practical, non-lawyer contract evaluation. Commercial Contract Lifecycle Management (CLM) systems (such as Ironclad, DocuSign CLM, and Kira Systems) are enterprise-focused, highly proprietary, cost-prohibitive (frequently exceeding thousands of dollars annually), and geared exclusively toward corporate legal departments. Conversely, public consumer chatbots (such as raw ChatGPT or Claude interfaces) suffer from context window limitations, lack persistent database tracking, frequently hallucinate clauses, and fail to provide structured risk scorecards, version diffing, or verifiable PDF audit dossiers.</w:t>
      </w:r>
    </w:p>
    <w:p>
      <w:pPr>
        <w:spacing w:before="160" w:after="80"/>
        <w:jc w:val="center"/>
      </w:pPr>
      <w:r>
        <w:rPr>
          <w:rFonts w:ascii="Times New Roman" w:hAnsi="Times New Roman"/>
          <w:b/>
          <w:i w:val="0"/>
          <w:sz w:val="22"/>
          <w:rFonts w:ascii="Times New Roman" w:hAnsi="Times New Roman" w:cs="Times New Roman"/>
        </w:rPr>
        <w:t>Table 2.1: Comparison of existing contract review approaches</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2077"/>
        <w:gridCol w:w="2077"/>
        <w:gridCol w:w="2077"/>
        <w:gridCol w:w="2077"/>
      </w:tblGrid>
      <w:tr>
        <w:tc>
          <w:tcPr>
            <w:tcW w:type="dxa" w:w="216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Approach</w:t>
            </w:r>
          </w:p>
        </w:tc>
        <w:tc>
          <w:tcPr>
            <w:tcW w:type="dxa" w:w="216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Representative Tools</w:t>
            </w:r>
          </w:p>
        </w:tc>
        <w:tc>
          <w:tcPr>
            <w:tcW w:type="dxa" w:w="259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Key Advantages</w:t>
            </w:r>
          </w:p>
        </w:tc>
        <w:tc>
          <w:tcPr>
            <w:tcW w:type="dxa" w:w="316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Critical Limitations</w:t>
            </w:r>
          </w:p>
        </w:tc>
      </w:tr>
      <w:tr>
        <w:tc>
          <w:tcPr>
            <w:tcW w:type="dxa" w:w="2160"/>
            <w:vAlign w:val="center"/>
          </w:tcPr>
          <w:p>
            <w:pPr>
              <w:spacing w:before="60" w:after="60" w:line="276" w:lineRule="auto"/>
              <w:jc w:val="center"/>
            </w:pPr>
            <w:r>
              <w:rPr>
                <w:rFonts w:ascii="Times New Roman" w:hAnsi="Times New Roman"/>
                <w:b w:val="0"/>
                <w:i w:val="0"/>
                <w:sz w:val="19"/>
                <w:rFonts w:ascii="Times New Roman" w:hAnsi="Times New Roman" w:cs="Times New Roman"/>
              </w:rPr>
              <w:t>Manual Legal Review</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Private Legal Counsel, Outside Attorneys</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Exhaustive legal judgment, human context awareness</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Extremely costly ($300-$1000/hr), slow turnaround (days/weeks), inaccessible to students/SMBs</w:t>
            </w:r>
          </w:p>
        </w:tc>
      </w:tr>
      <w:tr>
        <w:tc>
          <w:tcPr>
            <w:tcW w:type="dxa" w:w="2160"/>
            <w:vAlign w:val="center"/>
          </w:tcPr>
          <w:p>
            <w:pPr>
              <w:spacing w:before="60" w:after="60" w:line="276" w:lineRule="auto"/>
              <w:jc w:val="center"/>
            </w:pPr>
            <w:r>
              <w:rPr>
                <w:rFonts w:ascii="Times New Roman" w:hAnsi="Times New Roman"/>
                <w:b w:val="0"/>
                <w:i w:val="0"/>
                <w:sz w:val="19"/>
                <w:rFonts w:ascii="Times New Roman" w:hAnsi="Times New Roman" w:cs="Times New Roman"/>
              </w:rPr>
              <w:t>Rule-Based Regex Toolkits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LexNLP, Custom RegEx Scripts</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Deterministic, high throughput, zero API costs</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Lacks semantic understanding, cannot detect nuanced risk, zero generative revision ability</w:t>
            </w:r>
          </w:p>
        </w:tc>
      </w:tr>
      <w:tr>
        <w:tc>
          <w:tcPr>
            <w:tcW w:type="dxa" w:w="2160"/>
            <w:vAlign w:val="center"/>
          </w:tcPr>
          <w:p>
            <w:pPr>
              <w:spacing w:before="60" w:after="60" w:line="276" w:lineRule="auto"/>
              <w:jc w:val="center"/>
            </w:pPr>
            <w:r>
              <w:rPr>
                <w:rFonts w:ascii="Times New Roman" w:hAnsi="Times New Roman"/>
                <w:b w:val="0"/>
                <w:i w:val="0"/>
                <w:sz w:val="19"/>
                <w:rFonts w:ascii="Times New Roman" w:hAnsi="Times New Roman" w:cs="Times New Roman"/>
              </w:rPr>
              <w:t>Pre-trained Legal Classifiers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LegalBERT, CUAD-fine-tuned BERT</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High precision on clause classification</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Classification only; cannot generate redlines, explanations, or interactive conversational Q&amp;A</w:t>
            </w:r>
          </w:p>
        </w:tc>
      </w:tr>
      <w:tr>
        <w:tc>
          <w:tcPr>
            <w:tcW w:type="dxa" w:w="2160"/>
            <w:vAlign w:val="center"/>
          </w:tcPr>
          <w:p>
            <w:pPr>
              <w:spacing w:before="60" w:after="60" w:line="276" w:lineRule="auto"/>
              <w:jc w:val="center"/>
            </w:pPr>
            <w:r>
              <w:rPr>
                <w:rFonts w:ascii="Times New Roman" w:hAnsi="Times New Roman"/>
                <w:b w:val="0"/>
                <w:i w:val="0"/>
                <w:sz w:val="19"/>
                <w:rFonts w:ascii="Times New Roman" w:hAnsi="Times New Roman" w:cs="Times New Roman"/>
              </w:rPr>
              <w:t>Commercial Enterprise CLMs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Kira Systems, Ironclad, ThoughtRiver</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Rich workflow features, enterprise security</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Prohibitively expensive licences, proprietary black-box scoring, enterprise lock-in</w:t>
            </w:r>
          </w:p>
        </w:tc>
      </w:tr>
      <w:tr>
        <w:tc>
          <w:tcPr>
            <w:tcW w:type="dxa" w:w="2160"/>
            <w:vAlign w:val="center"/>
          </w:tcPr>
          <w:p>
            <w:pPr>
              <w:spacing w:before="60" w:after="60" w:line="276" w:lineRule="auto"/>
              <w:jc w:val="center"/>
            </w:pPr>
            <w:r>
              <w:rPr>
                <w:rFonts w:ascii="Times New Roman" w:hAnsi="Times New Roman"/>
                <w:b w:val="0"/>
                <w:i w:val="0"/>
                <w:sz w:val="19"/>
                <w:rFonts w:ascii="Times New Roman" w:hAnsi="Times New Roman" w:cs="Times New Roman"/>
              </w:rPr>
              <w:t>Generic LLM Chatbots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OpenAI ChatGPT, Anthropic Claude</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Fluent natural language explanations, broad reasoning</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Ungrounded hallucinations, lack document persistence, no structured 0-100 scoring, no PDF export</w:t>
            </w:r>
          </w:p>
        </w:tc>
      </w:tr>
      <w:tr>
        <w:tc>
          <w:tcPr>
            <w:tcW w:type="dxa" w:w="2160"/>
            <w:vAlign w:val="center"/>
          </w:tcPr>
          <w:p>
            <w:pPr>
              <w:spacing w:before="60" w:after="60" w:line="276" w:lineRule="auto"/>
              <w:jc w:val="center"/>
            </w:pPr>
            <w:r>
              <w:rPr>
                <w:rFonts w:ascii="Times New Roman" w:hAnsi="Times New Roman"/>
                <w:b w:val="0"/>
                <w:i w:val="0"/>
                <w:sz w:val="19"/>
                <w:rFonts w:ascii="Times New Roman" w:hAnsi="Times New Roman" w:cs="Times New Roman"/>
              </w:rPr>
              <w:t>AI Legal Contract Risk Analyzer (Proposed)</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Our System (FastAPI + Groq LLM + FAISS + React)</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Hybrid RAG + LLM, 0-100 risk scoring, redlines, missing protections, multi-language, audit logs, PDF export</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Performance bounded by LLM API availability and token context boundaries</w:t>
            </w:r>
          </w:p>
        </w:tc>
      </w:tr>
    </w:tbl>
    <w:p>
      <w:pPr>
        <w:spacing w:after="160"/>
      </w:pPr>
    </w:p>
    <w:p>
      <w:pPr>
        <w:spacing w:after="120" w:before="0" w:line="360" w:lineRule="auto"/>
        <w:jc w:val="both"/>
      </w:pPr>
      <w:r>
        <w:rPr>
          <w:rFonts w:ascii="Times New Roman" w:hAnsi="Times New Roman"/>
          <w:b w:val="0"/>
          <w:i w:val="0"/>
          <w:sz w:val="24"/>
          <w:rFonts w:ascii="Times New Roman" w:hAnsi="Times New Roman" w:cs="Times New Roman"/>
        </w:rPr>
        <w:t>AI Legal Contract Risk Analyzer bridges this profound gap by uniting document ingestion, semantic chunking, FAISS vector search, structured schema-governed LLM reasoning, redline generation, version diffing, and exportable PDF audit reports into a unified, transparent, and completely self-contained architecture.</w:t>
      </w:r>
    </w:p>
    <w:p>
      <w:r>
        <w:br w:type="page"/>
      </w:r>
    </w:p>
    <w:p>
      <w:pPr>
        <w:spacing w:before="240" w:after="360" w:line="360" w:lineRule="auto"/>
        <w:jc w:val="center"/>
      </w:pPr>
      <w:r>
        <w:rPr>
          <w:rFonts w:ascii="Times New Roman" w:hAnsi="Times New Roman"/>
          <w:b/>
          <w:i w:val="0"/>
          <w:sz w:val="28"/>
          <w:rFonts w:ascii="Times New Roman" w:hAnsi="Times New Roman" w:cs="Times New Roman"/>
        </w:rPr>
        <w:t>CHAPTER 3 - ANALYSIS &amp; METHODOLOGY</w:t>
      </w:r>
    </w:p>
    <w:p>
      <w:pPr>
        <w:spacing w:before="240" w:after="120" w:line="360" w:lineRule="auto"/>
        <w:jc w:val="left"/>
      </w:pPr>
      <w:r>
        <w:rPr>
          <w:rFonts w:ascii="Times New Roman" w:hAnsi="Times New Roman"/>
          <w:b/>
          <w:i w:val="0"/>
          <w:sz w:val="24"/>
          <w:rFonts w:ascii="Times New Roman" w:hAnsi="Times New Roman" w:cs="Times New Roman"/>
        </w:rPr>
        <w:t>3.1 EXISTING SYSTEM</w:t>
      </w:r>
    </w:p>
    <w:p>
      <w:pPr>
        <w:spacing w:after="120" w:before="0" w:line="360" w:lineRule="auto"/>
        <w:jc w:val="both"/>
      </w:pPr>
      <w:r>
        <w:rPr>
          <w:rFonts w:ascii="Times New Roman" w:hAnsi="Times New Roman"/>
          <w:b w:val="0"/>
          <w:i w:val="0"/>
          <w:sz w:val="24"/>
          <w:rFonts w:ascii="Times New Roman" w:hAnsi="Times New Roman" w:cs="Times New Roman"/>
        </w:rPr>
        <w:t>In current practice, individuals and organizations reviewing legal agreements rely on an inefficient dichotomy: either engage professional outside legal counsel at extraordinary financial cost, or conduct rudimentary manual skimming using word processors and PDF readers. When individuals attempt manual self-review, they are confronted with dense legal syntax, convoluted multi-sentence covenants, and obscure cross-referencing that obscure critical liabilities. Studies indicate that over 85% of non-legal professionals execute agreements without comprehending the binding obligations buried within boilerplate clauses. When conventional software is employed, it typically consists of simple keyword searches (e.g. searching 'termination' or 'indemnify') which fail to discern whether a clause is mutual, one-sided, or severely punitive.</w:t>
      </w:r>
    </w:p>
    <w:p>
      <w:pPr>
        <w:spacing w:before="240" w:after="120" w:line="360" w:lineRule="auto"/>
        <w:jc w:val="left"/>
      </w:pPr>
      <w:r>
        <w:rPr>
          <w:rFonts w:ascii="Times New Roman" w:hAnsi="Times New Roman"/>
          <w:b/>
          <w:i w:val="0"/>
          <w:sz w:val="24"/>
          <w:rFonts w:ascii="Times New Roman" w:hAnsi="Times New Roman" w:cs="Times New Roman"/>
        </w:rPr>
        <w:t>3.2 PROPOSED SYSTEM</w:t>
      </w:r>
    </w:p>
    <w:p>
      <w:pPr>
        <w:spacing w:after="120" w:before="0" w:line="360" w:lineRule="auto"/>
        <w:jc w:val="both"/>
      </w:pPr>
      <w:r>
        <w:rPr>
          <w:rFonts w:ascii="Times New Roman" w:hAnsi="Times New Roman"/>
          <w:b w:val="0"/>
          <w:i w:val="0"/>
          <w:sz w:val="24"/>
          <w:rFonts w:ascii="Times New Roman" w:hAnsi="Times New Roman" w:cs="Times New Roman"/>
        </w:rPr>
        <w:t>The proposed AI Legal Contract Risk Analyzer transforms contract review into an automated, transparent, and intellectually accessible experience. The user uploads a contract in PDF, DOCX, scanned image, or text format. The system instantly extracts the textual content, segments the document into semantic chunks, and builds a localized FAISS vector index. Concurrently, the complete contract is analyzed by an advanced LLM reasoning engine constrained by a strict JSON schema.</w:t>
      </w:r>
    </w:p>
    <w:p>
      <w:pPr>
        <w:spacing w:after="120" w:before="0" w:line="360" w:lineRule="auto"/>
        <w:jc w:val="both"/>
      </w:pPr>
      <w:r>
        <w:rPr>
          <w:rFonts w:ascii="Times New Roman" w:hAnsi="Times New Roman"/>
          <w:b w:val="0"/>
          <w:i w:val="0"/>
          <w:sz w:val="24"/>
          <w:rFonts w:ascii="Times New Roman" w:hAnsi="Times New Roman" w:cs="Times New Roman"/>
        </w:rPr>
        <w:t>The system computes an overall contract risk score (1–100) and assigns an intuitive risk tier (Low, Medium, High). It categorizes vulnerabilities across key dimensions (Intellectual Property, Liability, Termination, Payment, and Privacy), flags problematic clauses with explicit severity ratings, details why the clause is dangerous, and provides ready-to-use substitute contract wording. Furthermore, the system detects missing industry-standard clauses, allows users to ask unlimited contextual questions answered strictly from contract excerpts, compares clauses side-by-side, tracks obligations and deadlines, translates contracts into regional languages, and exports comprehensive PDF and Markdown reports.</w:t>
      </w:r>
    </w:p>
    <w:p>
      <w:pPr>
        <w:spacing w:before="240" w:after="120" w:line="360" w:lineRule="auto"/>
        <w:jc w:val="left"/>
      </w:pPr>
      <w:r>
        <w:rPr>
          <w:rFonts w:ascii="Times New Roman" w:hAnsi="Times New Roman"/>
          <w:b/>
          <w:i w:val="0"/>
          <w:sz w:val="24"/>
          <w:rFonts w:ascii="Times New Roman" w:hAnsi="Times New Roman" w:cs="Times New Roman"/>
        </w:rPr>
        <w:t>3.3 SOFTWARE REQUIREMENT SPECIFICATION</w:t>
      </w:r>
    </w:p>
    <w:p>
      <w:pPr>
        <w:spacing w:before="160" w:after="80" w:line="360" w:lineRule="auto"/>
        <w:jc w:val="left"/>
      </w:pPr>
      <w:r>
        <w:rPr>
          <w:rFonts w:ascii="Times New Roman" w:hAnsi="Times New Roman"/>
          <w:b/>
          <w:i w:val="0"/>
          <w:sz w:val="24"/>
          <w:rFonts w:ascii="Times New Roman" w:hAnsi="Times New Roman" w:cs="Times New Roman"/>
        </w:rPr>
        <w:t>3.3.1 Purpose</w:t>
      </w:r>
    </w:p>
    <w:p>
      <w:pPr>
        <w:spacing w:after="120" w:before="0" w:line="360" w:lineRule="auto"/>
        <w:jc w:val="both"/>
      </w:pPr>
      <w:r>
        <w:rPr>
          <w:rFonts w:ascii="Times New Roman" w:hAnsi="Times New Roman"/>
          <w:b w:val="0"/>
          <w:i w:val="0"/>
          <w:sz w:val="24"/>
          <w:rFonts w:ascii="Times New Roman" w:hAnsi="Times New Roman" w:cs="Times New Roman"/>
        </w:rPr>
        <w:t>This Software Requirement Specification (SRS) details the complete functional and non-functional requirements for the AI Legal Contract Risk Analyzer platform. It serves as the authoritative blueprint for system evaluators, academic supervisors, and software engineering teams.</w:t>
      </w:r>
    </w:p>
    <w:p>
      <w:pPr>
        <w:spacing w:before="160" w:after="80" w:line="360" w:lineRule="auto"/>
        <w:jc w:val="left"/>
      </w:pPr>
      <w:r>
        <w:rPr>
          <w:rFonts w:ascii="Times New Roman" w:hAnsi="Times New Roman"/>
          <w:b/>
          <w:i w:val="0"/>
          <w:sz w:val="24"/>
          <w:rFonts w:ascii="Times New Roman" w:hAnsi="Times New Roman" w:cs="Times New Roman"/>
        </w:rPr>
        <w:t>3.3.2 Scope</w:t>
      </w:r>
    </w:p>
    <w:p>
      <w:pPr>
        <w:spacing w:after="120" w:before="0" w:line="360" w:lineRule="auto"/>
        <w:jc w:val="both"/>
      </w:pPr>
      <w:r>
        <w:rPr>
          <w:rFonts w:ascii="Times New Roman" w:hAnsi="Times New Roman"/>
          <w:b w:val="0"/>
          <w:i w:val="0"/>
          <w:sz w:val="24"/>
          <w:rFonts w:ascii="Times New Roman" w:hAnsi="Times New Roman" w:cs="Times New Roman"/>
        </w:rPr>
        <w:t>The scope of the project encompasses user authentication, multi-format document parsing, semantic text chunking, FAISS vector store construction, LLM-based structured risk scoring, clause extraction and revision recommendation, missing protection identification, RAG conversational Q&amp;A, clause comparison, version diffing, dates and obligations tracking, multilingual translation, cryptographic audit trail recording, and multi-format report generation.</w:t>
      </w:r>
    </w:p>
    <w:p>
      <w:pPr>
        <w:spacing w:before="160" w:after="80" w:line="360" w:lineRule="auto"/>
        <w:jc w:val="left"/>
      </w:pPr>
      <w:r>
        <w:rPr>
          <w:rFonts w:ascii="Times New Roman" w:hAnsi="Times New Roman"/>
          <w:b/>
          <w:i w:val="0"/>
          <w:sz w:val="24"/>
          <w:rFonts w:ascii="Times New Roman" w:hAnsi="Times New Roman" w:cs="Times New Roman"/>
        </w:rPr>
        <w:t>3.3.3 Overall Description</w:t>
      </w:r>
    </w:p>
    <w:p>
      <w:pPr>
        <w:spacing w:after="120" w:before="0" w:line="360" w:lineRule="auto"/>
        <w:jc w:val="both"/>
      </w:pPr>
      <w:r>
        <w:rPr>
          <w:rFonts w:ascii="Times New Roman" w:hAnsi="Times New Roman"/>
          <w:b w:val="0"/>
          <w:i w:val="0"/>
          <w:sz w:val="24"/>
          <w:rFonts w:ascii="Times New Roman" w:hAnsi="Times New Roman" w:cs="Times New Roman"/>
        </w:rPr>
        <w:t>The platform operates as a modern client-server web application. The frontend is built with React 18, Vite, and Tailwind CSS, delivering a highly responsive, modern dark-themed user interface. The backend is implemented in Python 3.11 using the high-performance FastAPI framework, interfacing with PostgreSQL / SQLite for relational data storage, FAISS for dense vector similarity indexing, and Groq Cloud / Google Gemini for generative language reasoning.</w:t>
      </w:r>
    </w:p>
    <w:p>
      <w:pPr>
        <w:spacing w:before="240" w:after="120" w:line="360" w:lineRule="auto"/>
        <w:jc w:val="left"/>
      </w:pPr>
      <w:r>
        <w:rPr>
          <w:rFonts w:ascii="Times New Roman" w:hAnsi="Times New Roman"/>
          <w:b/>
          <w:i w:val="0"/>
          <w:sz w:val="24"/>
          <w:rFonts w:ascii="Times New Roman" w:hAnsi="Times New Roman" w:cs="Times New Roman"/>
        </w:rPr>
        <w:t>3.4 FUNCTIONAL REQUIREMENTS</w:t>
      </w:r>
    </w:p>
    <w:p>
      <w:pPr>
        <w:spacing w:before="160" w:after="80"/>
        <w:jc w:val="center"/>
      </w:pPr>
      <w:r>
        <w:rPr>
          <w:rFonts w:ascii="Times New Roman" w:hAnsi="Times New Roman"/>
          <w:b/>
          <w:i w:val="0"/>
          <w:sz w:val="22"/>
          <w:rFonts w:ascii="Times New Roman" w:hAnsi="Times New Roman" w:cs="Times New Roman"/>
        </w:rPr>
        <w:t>Table 3.1: Functional requirements</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4154"/>
        <w:gridCol w:w="4154"/>
      </w:tblGrid>
      <w:tr>
        <w:tc>
          <w:tcPr>
            <w:tcW w:type="dxa" w:w="115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ID</w:t>
            </w:r>
          </w:p>
        </w:tc>
        <w:tc>
          <w:tcPr>
            <w:tcW w:type="dxa" w:w="864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Requirement Description</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FR1</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provide secure user registration, password hashing (Argon2 / bcrypt), and JWT session authentication.</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FR2</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ingest contracts in PDF, DOCX, scanned image (OCR), and plaintext formats.</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FR3</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extract, clean, and normalize contract text, rejecting unreadable or empty documents with clear validation errors.</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FR4</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segment contract text into overlapping semantic chunks (1200 characters with 200-character overlap).</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FR5</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compute 384-dimensional dense vector embeddings using SentenceTransformer (all-MiniLM-L6-v2) and index them in FAISS.</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FR6</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execute structured LLM risk analysis via Groq Cloud (openai/gpt-oss-120b) enforced by strict JSON schemas.</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FR7</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compute an overall risk score (1–100), overall risk tier (Low/Medium/High), and executive summary.</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FR8</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break down risks across granular legal categories with individual scores, risk levels, and explanations.</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FR9</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identify flagged clauses, classify severity (High/Medium/Low), and generate suggested contract redline revisions.</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FR10</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identify missing standard contractual protections (SLAs, data breach notifications, force majeure relief).</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FR11</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provide an interactive conversational Q&amp;A interface grounded strictly in retrieved contract text passages.</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FR12</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support side-by-side clause comparison and multi-version contract diffing with automatic risk shift calculation.</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FR13</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extract chronological deadlines, payment milestones, and legal obligations into an interactive schedule.</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FR14</w:t>
            </w:r>
          </w:p>
        </w:tc>
        <w:tc>
          <w:tcPr>
            <w:tcW w:type="dxa" w:w="8640"/>
            <w:vAlign w:val="center"/>
          </w:tcPr>
          <w:p>
            <w:pPr>
              <w:spacing w:before="60" w:after="60" w:line="276" w:lineRule="auto"/>
              <w:jc w:val="left"/>
            </w:pPr>
            <w:r>
              <w:rPr>
                <w:rFonts w:ascii="Times New Roman" w:hAnsi="Times New Roman"/>
                <w:b w:val="0"/>
                <w:i w:val="0"/>
                <w:sz w:val="19"/>
                <w:rFonts w:ascii="Times New Roman" w:hAnsi="Times New Roman" w:cs="Times New Roman"/>
              </w:rPr>
              <w:t>The system shall translate legal contracts into regional languages and export official PDF and Markdown audit reports.</w:t>
            </w:r>
          </w:p>
        </w:tc>
      </w:tr>
    </w:tbl>
    <w:p>
      <w:pPr>
        <w:spacing w:after="160"/>
      </w:pPr>
    </w:p>
    <w:p>
      <w:pPr>
        <w:spacing w:before="240" w:after="120" w:line="360" w:lineRule="auto"/>
        <w:jc w:val="left"/>
      </w:pPr>
      <w:r>
        <w:rPr>
          <w:rFonts w:ascii="Times New Roman" w:hAnsi="Times New Roman"/>
          <w:b/>
          <w:i w:val="0"/>
          <w:sz w:val="24"/>
          <w:rFonts w:ascii="Times New Roman" w:hAnsi="Times New Roman" w:cs="Times New Roman"/>
        </w:rPr>
        <w:t>3.5 NON-FUNCTIONAL REQUIREMENTS</w:t>
      </w:r>
    </w:p>
    <w:p>
      <w:pPr>
        <w:spacing w:before="160" w:after="80"/>
        <w:jc w:val="center"/>
      </w:pPr>
      <w:r>
        <w:rPr>
          <w:rFonts w:ascii="Times New Roman" w:hAnsi="Times New Roman"/>
          <w:b/>
          <w:i w:val="0"/>
          <w:sz w:val="22"/>
          <w:rFonts w:ascii="Times New Roman" w:hAnsi="Times New Roman" w:cs="Times New Roman"/>
        </w:rPr>
        <w:t>Table 3.2: Non-functional requirements</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2770"/>
        <w:gridCol w:w="2770"/>
        <w:gridCol w:w="2770"/>
      </w:tblGrid>
      <w:tr>
        <w:tc>
          <w:tcPr>
            <w:tcW w:type="dxa" w:w="115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ID</w:t>
            </w:r>
          </w:p>
        </w:tc>
        <w:tc>
          <w:tcPr>
            <w:tcW w:type="dxa" w:w="216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Category</w:t>
            </w:r>
          </w:p>
        </w:tc>
        <w:tc>
          <w:tcPr>
            <w:tcW w:type="dxa" w:w="648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Requirement Specification</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NFR1</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Security</w:t>
            </w:r>
          </w:p>
        </w:tc>
        <w:tc>
          <w:tcPr>
            <w:tcW w:type="dxa" w:w="6480"/>
            <w:vAlign w:val="center"/>
          </w:tcPr>
          <w:p>
            <w:pPr>
              <w:spacing w:before="60" w:after="60" w:line="276" w:lineRule="auto"/>
              <w:jc w:val="left"/>
            </w:pPr>
            <w:r>
              <w:rPr>
                <w:rFonts w:ascii="Times New Roman" w:hAnsi="Times New Roman"/>
                <w:b w:val="0"/>
                <w:i w:val="0"/>
                <w:sz w:val="19"/>
                <w:rFonts w:ascii="Times New Roman" w:hAnsi="Times New Roman" w:cs="Times New Roman"/>
              </w:rPr>
              <w:t>Cryptographic password hashing via Argon2/bcrypt; stateless HS256 JWT tokens; row-level user authorization; sanitized file uploads.</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NFR2</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Performance</w:t>
            </w:r>
          </w:p>
        </w:tc>
        <w:tc>
          <w:tcPr>
            <w:tcW w:type="dxa" w:w="6480"/>
            <w:vAlign w:val="center"/>
          </w:tcPr>
          <w:p>
            <w:pPr>
              <w:spacing w:before="60" w:after="60" w:line="276" w:lineRule="auto"/>
              <w:jc w:val="left"/>
            </w:pPr>
            <w:r>
              <w:rPr>
                <w:rFonts w:ascii="Times New Roman" w:hAnsi="Times New Roman"/>
                <w:b w:val="0"/>
                <w:i w:val="0"/>
                <w:sz w:val="19"/>
                <w:rFonts w:ascii="Times New Roman" w:hAnsi="Times New Roman" w:cs="Times New Roman"/>
              </w:rPr>
              <w:t>Document parsing and vector indexing completed in &lt; 3 seconds; FAISS semantic vector search latency &lt; 50 milliseconds; total LLM analysis turnaround &lt; 20 seconds.</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NFR3</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Accuracy &amp; Reliability</w:t>
            </w:r>
          </w:p>
        </w:tc>
        <w:tc>
          <w:tcPr>
            <w:tcW w:type="dxa" w:w="6480"/>
            <w:vAlign w:val="center"/>
          </w:tcPr>
          <w:p>
            <w:pPr>
              <w:spacing w:before="60" w:after="60" w:line="276" w:lineRule="auto"/>
              <w:jc w:val="left"/>
            </w:pPr>
            <w:r>
              <w:rPr>
                <w:rFonts w:ascii="Times New Roman" w:hAnsi="Times New Roman"/>
                <w:b w:val="0"/>
                <w:i w:val="0"/>
                <w:sz w:val="19"/>
                <w:rFonts w:ascii="Times New Roman" w:hAnsi="Times New Roman" w:cs="Times New Roman"/>
              </w:rPr>
              <w:t>Strict adherence to retrieved contract context; zero ungrounded hallucinations during Q&amp;A; deterministic schema validation ensuring zero JSON parsing errors.</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NFR4</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Usability</w:t>
            </w:r>
          </w:p>
        </w:tc>
        <w:tc>
          <w:tcPr>
            <w:tcW w:type="dxa" w:w="6480"/>
            <w:vAlign w:val="center"/>
          </w:tcPr>
          <w:p>
            <w:pPr>
              <w:spacing w:before="60" w:after="60" w:line="276" w:lineRule="auto"/>
              <w:jc w:val="left"/>
            </w:pPr>
            <w:r>
              <w:rPr>
                <w:rFonts w:ascii="Times New Roman" w:hAnsi="Times New Roman"/>
                <w:b w:val="0"/>
                <w:i w:val="0"/>
                <w:sz w:val="19"/>
                <w:rFonts w:ascii="Times New Roman" w:hAnsi="Times New Roman" w:cs="Times New Roman"/>
              </w:rPr>
              <w:t>Modern, responsive, dark-mode dashboard; intuitive color-coded risk pills; side-by-side redline diff viewers; single-click PDF export.</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NFR5</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Maintainability</w:t>
            </w:r>
          </w:p>
        </w:tc>
        <w:tc>
          <w:tcPr>
            <w:tcW w:type="dxa" w:w="6480"/>
            <w:vAlign w:val="center"/>
          </w:tcPr>
          <w:p>
            <w:pPr>
              <w:spacing w:before="60" w:after="60" w:line="276" w:lineRule="auto"/>
              <w:jc w:val="left"/>
            </w:pPr>
            <w:r>
              <w:rPr>
                <w:rFonts w:ascii="Times New Roman" w:hAnsi="Times New Roman"/>
                <w:b w:val="0"/>
                <w:i w:val="0"/>
                <w:sz w:val="19"/>
                <w:rFonts w:ascii="Times New Roman" w:hAnsi="Times New Roman" w:cs="Times New Roman"/>
              </w:rPr>
              <w:t>Modular REST API architecture; clean separation of concerns between parsers, RAG vector services, and LLM orchestration; typed Pydantic v2 schemas.</w:t>
            </w:r>
          </w:p>
        </w:tc>
      </w:tr>
      <w:tr>
        <w:tc>
          <w:tcPr>
            <w:tcW w:type="dxa" w:w="1152"/>
            <w:vAlign w:val="center"/>
          </w:tcPr>
          <w:p>
            <w:pPr>
              <w:spacing w:before="60" w:after="60" w:line="276" w:lineRule="auto"/>
              <w:jc w:val="center"/>
            </w:pPr>
            <w:r>
              <w:rPr>
                <w:rFonts w:ascii="Times New Roman" w:hAnsi="Times New Roman"/>
                <w:b w:val="0"/>
                <w:i w:val="0"/>
                <w:sz w:val="19"/>
                <w:rFonts w:ascii="Times New Roman" w:hAnsi="Times New Roman" w:cs="Times New Roman"/>
              </w:rPr>
              <w:t>NFR6</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Portability</w:t>
            </w:r>
          </w:p>
        </w:tc>
        <w:tc>
          <w:tcPr>
            <w:tcW w:type="dxa" w:w="6480"/>
            <w:vAlign w:val="center"/>
          </w:tcPr>
          <w:p>
            <w:pPr>
              <w:spacing w:before="60" w:after="60" w:line="276" w:lineRule="auto"/>
              <w:jc w:val="left"/>
            </w:pPr>
            <w:r>
              <w:rPr>
                <w:rFonts w:ascii="Times New Roman" w:hAnsi="Times New Roman"/>
                <w:b w:val="0"/>
                <w:i w:val="0"/>
                <w:sz w:val="19"/>
                <w:rFonts w:ascii="Times New Roman" w:hAnsi="Times New Roman" w:cs="Times New Roman"/>
              </w:rPr>
              <w:t>Standardized Python 3.11 virtual environment; Docker compatibility; cross-platform support across Windows 10/11, macOS, and Ubuntu Linux.</w:t>
            </w:r>
          </w:p>
        </w:tc>
      </w:tr>
    </w:tbl>
    <w:p>
      <w:pPr>
        <w:spacing w:after="160"/>
      </w:pPr>
    </w:p>
    <w:p>
      <w:pPr>
        <w:spacing w:before="240" w:after="120" w:line="360" w:lineRule="auto"/>
        <w:jc w:val="left"/>
      </w:pPr>
      <w:r>
        <w:rPr>
          <w:rFonts w:ascii="Times New Roman" w:hAnsi="Times New Roman"/>
          <w:b/>
          <w:i w:val="0"/>
          <w:sz w:val="24"/>
          <w:rFonts w:ascii="Times New Roman" w:hAnsi="Times New Roman" w:cs="Times New Roman"/>
        </w:rPr>
        <w:t>3.6 PROPOSED METHODOLOGY</w:t>
      </w:r>
    </w:p>
    <w:p>
      <w:pPr>
        <w:spacing w:after="120" w:before="0" w:line="360" w:lineRule="auto"/>
        <w:jc w:val="both"/>
      </w:pPr>
      <w:r>
        <w:rPr>
          <w:rFonts w:ascii="Times New Roman" w:hAnsi="Times New Roman"/>
          <w:b w:val="0"/>
          <w:i w:val="0"/>
          <w:sz w:val="24"/>
          <w:rFonts w:ascii="Times New Roman" w:hAnsi="Times New Roman" w:cs="Times New Roman"/>
        </w:rPr>
        <w:t>The proposed methodology follows a structured, multi-tier engineering pipeline comprising Document Ingestion, Semantic Vector Processing, Structured LLM Risk Reasoning, Relational Persistence, and Multi-channel Client Exploration. The complete architectural block diagram is depicted in Figure 3.1.</w:t>
      </w:r>
    </w:p>
    <w:p>
      <w:pPr>
        <w:spacing w:before="120" w:after="80"/>
        <w:jc w:val="center"/>
      </w:pPr>
      <w:r>
        <w:drawing>
          <wp:inline xmlns:a="http://schemas.openxmlformats.org/drawingml/2006/main" xmlns:pic="http://schemas.openxmlformats.org/drawingml/2006/picture">
            <wp:extent cx="5669280" cy="3848869"/>
            <wp:docPr id="3" name="Picture 3"/>
            <wp:cNvGraphicFramePr>
              <a:graphicFrameLocks noChangeAspect="1"/>
            </wp:cNvGraphicFramePr>
            <a:graphic>
              <a:graphicData uri="http://schemas.openxmlformats.org/drawingml/2006/picture">
                <pic:pic>
                  <pic:nvPicPr>
                    <pic:cNvPr id="0" name="fig_3_1_block_diagram.png"/>
                    <pic:cNvPicPr/>
                  </pic:nvPicPr>
                  <pic:blipFill>
                    <a:blip r:embed="rId12"/>
                    <a:stretch>
                      <a:fillRect/>
                    </a:stretch>
                  </pic:blipFill>
                  <pic:spPr>
                    <a:xfrm>
                      <a:off x="0" y="0"/>
                      <a:ext cx="5669280" cy="3848869"/>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3.1: Block diagram of AI Legal Contract Risk Analyzer</w:t>
      </w:r>
    </w:p>
    <w:p>
      <w:pPr>
        <w:spacing w:before="240" w:after="120" w:line="360" w:lineRule="auto"/>
        <w:jc w:val="left"/>
      </w:pPr>
      <w:r>
        <w:rPr>
          <w:rFonts w:ascii="Times New Roman" w:hAnsi="Times New Roman"/>
          <w:b/>
          <w:i w:val="0"/>
          <w:sz w:val="24"/>
          <w:rFonts w:ascii="Times New Roman" w:hAnsi="Times New Roman" w:cs="Times New Roman"/>
        </w:rPr>
        <w:t>3.7 FLOW CHART</w:t>
      </w:r>
    </w:p>
    <w:p>
      <w:pPr>
        <w:spacing w:after="120" w:before="0" w:line="360" w:lineRule="auto"/>
        <w:jc w:val="both"/>
      </w:pPr>
      <w:r>
        <w:rPr>
          <w:rFonts w:ascii="Times New Roman" w:hAnsi="Times New Roman"/>
          <w:b w:val="0"/>
          <w:i w:val="0"/>
          <w:sz w:val="24"/>
          <w:rFonts w:ascii="Times New Roman" w:hAnsi="Times New Roman" w:cs="Times New Roman"/>
        </w:rPr>
        <w:t>The end-to-end operational flow of the system is depicted in Figure 3.2. From the moment a user submits a contract file, the system validates the file format, extracts readable text, segments the document into overlapping chunks, generates dense embeddings, queries the Groq LLM API with strict schema enforcement, commits results to the database, and activates interactive risk exploration.</w:t>
      </w:r>
    </w:p>
    <w:p>
      <w:pPr>
        <w:spacing w:before="120" w:after="80"/>
        <w:jc w:val="center"/>
      </w:pPr>
      <w:r>
        <w:drawing>
          <wp:inline xmlns:a="http://schemas.openxmlformats.org/drawingml/2006/main" xmlns:pic="http://schemas.openxmlformats.org/drawingml/2006/picture">
            <wp:extent cx="4572000" cy="6113124"/>
            <wp:docPr id="4" name="Picture 4"/>
            <wp:cNvGraphicFramePr>
              <a:graphicFrameLocks noChangeAspect="1"/>
            </wp:cNvGraphicFramePr>
            <a:graphic>
              <a:graphicData uri="http://schemas.openxmlformats.org/drawingml/2006/picture">
                <pic:pic>
                  <pic:nvPicPr>
                    <pic:cNvPr id="0" name="fig_3_2_flow_chart.png"/>
                    <pic:cNvPicPr/>
                  </pic:nvPicPr>
                  <pic:blipFill>
                    <a:blip r:embed="rId13"/>
                    <a:stretch>
                      <a:fillRect/>
                    </a:stretch>
                  </pic:blipFill>
                  <pic:spPr>
                    <a:xfrm>
                      <a:off x="0" y="0"/>
                      <a:ext cx="4572000" cy="6113124"/>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3.2: Flow chart of the contract analysis workflow</w:t>
      </w:r>
    </w:p>
    <w:p>
      <w:pPr>
        <w:spacing w:before="240" w:after="120" w:line="360" w:lineRule="auto"/>
        <w:jc w:val="left"/>
      </w:pPr>
      <w:r>
        <w:rPr>
          <w:rFonts w:ascii="Times New Roman" w:hAnsi="Times New Roman"/>
          <w:b/>
          <w:i w:val="0"/>
          <w:sz w:val="24"/>
          <w:rFonts w:ascii="Times New Roman" w:hAnsi="Times New Roman" w:cs="Times New Roman"/>
        </w:rPr>
        <w:t>3.8 ALGORITHM</w:t>
      </w:r>
    </w:p>
    <w:p>
      <w:pPr>
        <w:spacing w:after="120" w:before="0" w:line="360" w:lineRule="auto"/>
        <w:jc w:val="both"/>
      </w:pPr>
      <w:r>
        <w:rPr>
          <w:rFonts w:ascii="Times New Roman" w:hAnsi="Times New Roman"/>
          <w:b w:val="0"/>
          <w:i w:val="0"/>
          <w:sz w:val="24"/>
          <w:rFonts w:ascii="Times New Roman" w:hAnsi="Times New Roman" w:cs="Times New Roman"/>
        </w:rPr>
        <w:t>Figure 3.3 presents the formal algorithm governing the hybrid contract risk analysis and semantic RAG pipeline implemented within the backend service layer.</w:t>
      </w:r>
    </w:p>
    <w:p>
      <w:pPr>
        <w:spacing w:before="120" w:after="80"/>
        <w:jc w:val="center"/>
      </w:pPr>
      <w:r>
        <w:drawing>
          <wp:inline xmlns:a="http://schemas.openxmlformats.org/drawingml/2006/main" xmlns:pic="http://schemas.openxmlformats.org/drawingml/2006/picture">
            <wp:extent cx="5303520" cy="3474854"/>
            <wp:docPr id="5" name="Picture 5"/>
            <wp:cNvGraphicFramePr>
              <a:graphicFrameLocks noChangeAspect="1"/>
            </wp:cNvGraphicFramePr>
            <a:graphic>
              <a:graphicData uri="http://schemas.openxmlformats.org/drawingml/2006/picture">
                <pic:pic>
                  <pic:nvPicPr>
                    <pic:cNvPr id="0" name="fig_3_3_algorithm.png"/>
                    <pic:cNvPicPr/>
                  </pic:nvPicPr>
                  <pic:blipFill>
                    <a:blip r:embed="rId14"/>
                    <a:stretch>
                      <a:fillRect/>
                    </a:stretch>
                  </pic:blipFill>
                  <pic:spPr>
                    <a:xfrm>
                      <a:off x="0" y="0"/>
                      <a:ext cx="5303520" cy="3474854"/>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3.3: Hybrid contract risk analysis algorithm</w:t>
      </w:r>
    </w:p>
    <w:p>
      <w:pPr>
        <w:spacing w:before="240" w:after="120" w:line="360" w:lineRule="auto"/>
        <w:jc w:val="left"/>
      </w:pPr>
      <w:r>
        <w:rPr>
          <w:rFonts w:ascii="Times New Roman" w:hAnsi="Times New Roman"/>
          <w:b/>
          <w:i w:val="0"/>
          <w:sz w:val="24"/>
          <w:rFonts w:ascii="Times New Roman" w:hAnsi="Times New Roman" w:cs="Times New Roman"/>
        </w:rPr>
        <w:t>3.9 SOFTWARE AND HARDWARE TOOLS &amp; PACKAGES</w:t>
      </w:r>
    </w:p>
    <w:p>
      <w:pPr>
        <w:spacing w:after="120" w:before="0" w:line="360" w:lineRule="auto"/>
        <w:jc w:val="both"/>
      </w:pPr>
      <w:r>
        <w:rPr>
          <w:rFonts w:ascii="Times New Roman" w:hAnsi="Times New Roman"/>
          <w:b w:val="0"/>
          <w:i w:val="0"/>
          <w:sz w:val="24"/>
          <w:rFonts w:ascii="Times New Roman" w:hAnsi="Times New Roman" w:cs="Times New Roman"/>
        </w:rPr>
        <w:t>The development and execution of the AI Legal Contract Risk Analyzer platform rely on modern software libraries, frameworks, and commodity hardware environments detailed in Tables 3.3 and 3.4.</w:t>
      </w:r>
    </w:p>
    <w:p>
      <w:pPr>
        <w:spacing w:before="160" w:after="80"/>
        <w:jc w:val="center"/>
      </w:pPr>
      <w:r>
        <w:rPr>
          <w:rFonts w:ascii="Times New Roman" w:hAnsi="Times New Roman"/>
          <w:b/>
          <w:i w:val="0"/>
          <w:sz w:val="22"/>
          <w:rFonts w:ascii="Times New Roman" w:hAnsi="Times New Roman" w:cs="Times New Roman"/>
        </w:rPr>
        <w:t>Table 3.3: Software tools and packages</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2770"/>
        <w:gridCol w:w="2770"/>
        <w:gridCol w:w="2770"/>
      </w:tblGrid>
      <w:tr>
        <w:tc>
          <w:tcPr>
            <w:tcW w:type="dxa" w:w="259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Category</w:t>
            </w:r>
          </w:p>
        </w:tc>
        <w:tc>
          <w:tcPr>
            <w:tcW w:type="dxa" w:w="316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Tools / Packages</w:t>
            </w:r>
          </w:p>
        </w:tc>
        <w:tc>
          <w:tcPr>
            <w:tcW w:type="dxa" w:w="403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Role in Project</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Frontend</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React 18, Vite, Tailwind CSS</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Component-based responsive single page application</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Backend Framework</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Python 3.11, FastAPI, Uvicorn</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High-throughput asynchronous REST API server</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Data Validation</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Pydantic v2</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Strict request/response schema modeling and JSON validation</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Database &amp; ORM</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PostgreSQL, SQLite, SQLAlchemy</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Relational persistence for users, contracts, and analyses</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Authentication</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python-jose, passlib, bcrypt</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Stateless JWT token handling and secure password hashing</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Document Parsers</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PyPDF2, python-docx, EasyOCR</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Text extraction from PDF, DOCX, and raster images</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Vector Search &amp; RAG</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SentenceTransformer, FAISS-cpu</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384-dimensional dense semantic embeddings and index</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AI / LLM Engine</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Groq API (gpt-oss-120b), Gemini API</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High-speed reasoning, risk scoring, and Q&amp;A synthesis</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Reporting Engine</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ReportLab, Markdown</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Automated PDF dossier and Markdown document generation</w:t>
            </w:r>
          </w:p>
        </w:tc>
      </w:tr>
    </w:tbl>
    <w:p>
      <w:pPr>
        <w:spacing w:after="160"/>
      </w:pPr>
    </w:p>
    <w:p>
      <w:pPr>
        <w:spacing w:before="160" w:after="80"/>
        <w:jc w:val="center"/>
      </w:pPr>
      <w:r>
        <w:rPr>
          <w:rFonts w:ascii="Times New Roman" w:hAnsi="Times New Roman"/>
          <w:b/>
          <w:i w:val="0"/>
          <w:sz w:val="22"/>
          <w:rFonts w:ascii="Times New Roman" w:hAnsi="Times New Roman" w:cs="Times New Roman"/>
        </w:rPr>
        <w:t>Table 3.4: Hardware requirements</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2770"/>
        <w:gridCol w:w="2770"/>
        <w:gridCol w:w="2770"/>
      </w:tblGrid>
      <w:tr>
        <w:tc>
          <w:tcPr>
            <w:tcW w:type="dxa" w:w="259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Component</w:t>
            </w:r>
          </w:p>
        </w:tc>
        <w:tc>
          <w:tcPr>
            <w:tcW w:type="dxa" w:w="360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Minimum Requirement</w:t>
            </w:r>
          </w:p>
        </w:tc>
        <w:tc>
          <w:tcPr>
            <w:tcW w:type="dxa" w:w="360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Recommended Specification</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Processor</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Intel Core i5 (10th Gen) / AMD Ryzen 5</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Intel Core i7 / AMD Ryzen 7 (8 cores or higher)</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System Memory (RAM)</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8 GB DDR4</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16 GB DDR4/DDR5 (for local embedding model caching)</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Storage</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256 GB SSD (Minimum 5 GB free)</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512 GB NVMe SSD</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Network Connection</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Broadband Internet (10 Mbps)</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High-speed Internet (for cloud LLM API calls)</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Display Resolution</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1366 × 768 Resolution</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1920 × 1080 (Full HD) or higher</w:t>
            </w:r>
          </w:p>
        </w:tc>
      </w:tr>
    </w:tbl>
    <w:p>
      <w:pPr>
        <w:spacing w:after="160"/>
      </w:pPr>
    </w:p>
    <w:p>
      <w:r>
        <w:br w:type="page"/>
      </w:r>
    </w:p>
    <w:p>
      <w:pPr>
        <w:spacing w:before="240" w:after="360" w:line="360" w:lineRule="auto"/>
        <w:jc w:val="center"/>
      </w:pPr>
      <w:r>
        <w:rPr>
          <w:rFonts w:ascii="Times New Roman" w:hAnsi="Times New Roman"/>
          <w:b/>
          <w:i w:val="0"/>
          <w:sz w:val="28"/>
          <w:rFonts w:ascii="Times New Roman" w:hAnsi="Times New Roman" w:cs="Times New Roman"/>
        </w:rPr>
        <w:t>CHAPTER 4 - DESIGN</w:t>
      </w:r>
    </w:p>
    <w:p>
      <w:pPr>
        <w:spacing w:after="120" w:before="0" w:line="360" w:lineRule="auto"/>
        <w:jc w:val="both"/>
      </w:pPr>
      <w:r>
        <w:rPr>
          <w:rFonts w:ascii="Times New Roman" w:hAnsi="Times New Roman"/>
          <w:b w:val="0"/>
          <w:i w:val="0"/>
          <w:sz w:val="24"/>
          <w:rFonts w:ascii="Times New Roman" w:hAnsi="Times New Roman" w:cs="Times New Roman"/>
        </w:rPr>
        <w:t>System design establishes the architectural blueprints, structural entities, behavioral workflows, and data interchanges that govern the implementation of AI Legal Contract Risk Analyzer. This chapter details the three-tier system architecture, standard Unified Modeling Language (UML) diagrams (Use Case, Class, Activity, and Sequence), Level 0 and Level 1 Data Flow Diagrams (DFDs), and the persistence Entity-Relationship (E-R) diagram.</w:t>
      </w:r>
    </w:p>
    <w:p>
      <w:pPr>
        <w:spacing w:before="240" w:after="120" w:line="360" w:lineRule="auto"/>
        <w:jc w:val="left"/>
      </w:pPr>
      <w:r>
        <w:rPr>
          <w:rFonts w:ascii="Times New Roman" w:hAnsi="Times New Roman"/>
          <w:b/>
          <w:i w:val="0"/>
          <w:sz w:val="24"/>
          <w:rFonts w:ascii="Times New Roman" w:hAnsi="Times New Roman" w:cs="Times New Roman"/>
        </w:rPr>
        <w:t>4.1 ARCHITECTURAL DIAGRAM</w:t>
      </w:r>
    </w:p>
    <w:p>
      <w:pPr>
        <w:spacing w:after="120" w:before="0" w:line="360" w:lineRule="auto"/>
        <w:jc w:val="both"/>
      </w:pPr>
      <w:r>
        <w:rPr>
          <w:rFonts w:ascii="Times New Roman" w:hAnsi="Times New Roman"/>
          <w:b w:val="0"/>
          <w:i w:val="0"/>
          <w:sz w:val="24"/>
          <w:rFonts w:ascii="Times New Roman" w:hAnsi="Times New Roman" w:cs="Times New Roman"/>
        </w:rPr>
        <w:t>AI Legal Contract Risk Analyzer follows a decoupled, three-tier microservice-inspired architecture comprising a Presentation Layer (React SPA), an Application/Service Layer (FastAPI Backend), and a Persistence &amp; External Cloud Layer (PostgreSQL, FAISS Vector Store, and Groq Cloud LLM). The complete architectural layout is depicted in Figure 4.1.</w:t>
      </w:r>
    </w:p>
    <w:p>
      <w:pPr>
        <w:spacing w:before="120" w:after="80"/>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fig_4_1_architecture.png"/>
                    <pic:cNvPicPr/>
                  </pic:nvPicPr>
                  <pic:blipFill>
                    <a:blip r:embed="rId15"/>
                    <a:stretch>
                      <a:fillRect/>
                    </a:stretch>
                  </pic:blipFill>
                  <pic:spPr>
                    <a:xfrm>
                      <a:off x="0" y="0"/>
                      <a:ext cx="5486400" cy="3657600"/>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4.1: System Architecture of AI Legal Contract Risk Analyzer</w:t>
      </w:r>
    </w:p>
    <w:p>
      <w:pPr>
        <w:spacing w:before="240" w:after="120" w:line="360" w:lineRule="auto"/>
        <w:jc w:val="left"/>
      </w:pPr>
      <w:r>
        <w:rPr>
          <w:rFonts w:ascii="Times New Roman" w:hAnsi="Times New Roman"/>
          <w:b/>
          <w:i w:val="0"/>
          <w:sz w:val="24"/>
          <w:rFonts w:ascii="Times New Roman" w:hAnsi="Times New Roman" w:cs="Times New Roman"/>
        </w:rPr>
        <w:t>4.2 UML DIAGRAMS</w:t>
      </w:r>
    </w:p>
    <w:p>
      <w:pPr>
        <w:spacing w:before="160" w:after="80" w:line="360" w:lineRule="auto"/>
        <w:jc w:val="left"/>
      </w:pPr>
      <w:r>
        <w:rPr>
          <w:rFonts w:ascii="Times New Roman" w:hAnsi="Times New Roman"/>
          <w:b/>
          <w:i w:val="0"/>
          <w:sz w:val="24"/>
          <w:rFonts w:ascii="Times New Roman" w:hAnsi="Times New Roman" w:cs="Times New Roman"/>
        </w:rPr>
        <w:t>4.2.1 Use Case Diagram</w:t>
      </w:r>
    </w:p>
    <w:p>
      <w:pPr>
        <w:spacing w:after="120" w:before="0" w:line="360" w:lineRule="auto"/>
        <w:jc w:val="both"/>
      </w:pPr>
      <w:r>
        <w:rPr>
          <w:rFonts w:ascii="Times New Roman" w:hAnsi="Times New Roman"/>
          <w:b w:val="0"/>
          <w:i w:val="0"/>
          <w:sz w:val="24"/>
          <w:rFonts w:ascii="Times New Roman" w:hAnsi="Times New Roman" w:cs="Times New Roman"/>
        </w:rPr>
        <w:t>Figure 4.2 presents the Use Case diagram capturing primary interactions between the human User (Legal Reviewer) and the secondary external actor (Groq / Gemini LLM API). Key use cases span registration, document upload, risk analysis triggering, dashboard exploration, RAG-grounded Q&amp;A, clause comparison, version diffing, and PDF export.</w:t>
      </w:r>
    </w:p>
    <w:p>
      <w:pPr>
        <w:spacing w:before="120" w:after="80"/>
        <w:jc w:val="center"/>
      </w:pPr>
      <w:r>
        <w:drawing>
          <wp:inline xmlns:a="http://schemas.openxmlformats.org/drawingml/2006/main" xmlns:pic="http://schemas.openxmlformats.org/drawingml/2006/picture">
            <wp:extent cx="5029200" cy="4013200"/>
            <wp:docPr id="7" name="Picture 7"/>
            <wp:cNvGraphicFramePr>
              <a:graphicFrameLocks noChangeAspect="1"/>
            </wp:cNvGraphicFramePr>
            <a:graphic>
              <a:graphicData uri="http://schemas.openxmlformats.org/drawingml/2006/picture">
                <pic:pic>
                  <pic:nvPicPr>
                    <pic:cNvPr id="0" name="fig_4_2_use_case.png"/>
                    <pic:cNvPicPr/>
                  </pic:nvPicPr>
                  <pic:blipFill>
                    <a:blip r:embed="rId16"/>
                    <a:stretch>
                      <a:fillRect/>
                    </a:stretch>
                  </pic:blipFill>
                  <pic:spPr>
                    <a:xfrm>
                      <a:off x="0" y="0"/>
                      <a:ext cx="5029200" cy="4013200"/>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4.2: Use case diagram of AI Legal Contract Risk Analyzer</w:t>
      </w:r>
    </w:p>
    <w:p>
      <w:pPr>
        <w:spacing w:before="160" w:after="80" w:line="360" w:lineRule="auto"/>
        <w:jc w:val="left"/>
      </w:pPr>
      <w:r>
        <w:rPr>
          <w:rFonts w:ascii="Times New Roman" w:hAnsi="Times New Roman"/>
          <w:b/>
          <w:i w:val="0"/>
          <w:sz w:val="24"/>
          <w:rFonts w:ascii="Times New Roman" w:hAnsi="Times New Roman" w:cs="Times New Roman"/>
        </w:rPr>
        <w:t>4.2.2 Class Diagram</w:t>
      </w:r>
    </w:p>
    <w:p>
      <w:pPr>
        <w:spacing w:after="120" w:before="0" w:line="360" w:lineRule="auto"/>
        <w:jc w:val="both"/>
      </w:pPr>
      <w:r>
        <w:rPr>
          <w:rFonts w:ascii="Times New Roman" w:hAnsi="Times New Roman"/>
          <w:b w:val="0"/>
          <w:i w:val="0"/>
          <w:sz w:val="24"/>
          <w:rFonts w:ascii="Times New Roman" w:hAnsi="Times New Roman" w:cs="Times New Roman"/>
        </w:rPr>
        <w:t>Figure 4.3 depicts the static structure and object-oriented relationships of the core domain entities: User, Contract, Analysis, Clause, Recommendation, Question, and AuditLog, along with their key attributes and methods.</w:t>
      </w:r>
    </w:p>
    <w:p>
      <w:pPr>
        <w:spacing w:before="120" w:after="80"/>
        <w:jc w:val="center"/>
      </w:pPr>
      <w:r>
        <w:drawing>
          <wp:inline xmlns:a="http://schemas.openxmlformats.org/drawingml/2006/main" xmlns:pic="http://schemas.openxmlformats.org/drawingml/2006/picture">
            <wp:extent cx="5303520" cy="3773658"/>
            <wp:docPr id="8" name="Picture 8"/>
            <wp:cNvGraphicFramePr>
              <a:graphicFrameLocks noChangeAspect="1"/>
            </wp:cNvGraphicFramePr>
            <a:graphic>
              <a:graphicData uri="http://schemas.openxmlformats.org/drawingml/2006/picture">
                <pic:pic>
                  <pic:nvPicPr>
                    <pic:cNvPr id="0" name="fig_4_3_class_diagram.png"/>
                    <pic:cNvPicPr/>
                  </pic:nvPicPr>
                  <pic:blipFill>
                    <a:blip r:embed="rId17"/>
                    <a:stretch>
                      <a:fillRect/>
                    </a:stretch>
                  </pic:blipFill>
                  <pic:spPr>
                    <a:xfrm>
                      <a:off x="0" y="0"/>
                      <a:ext cx="5303520" cy="3773658"/>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4.3: Class diagram (core domain entities)</w:t>
      </w:r>
    </w:p>
    <w:p>
      <w:pPr>
        <w:spacing w:before="160" w:after="80" w:line="360" w:lineRule="auto"/>
        <w:jc w:val="left"/>
      </w:pPr>
      <w:r>
        <w:rPr>
          <w:rFonts w:ascii="Times New Roman" w:hAnsi="Times New Roman"/>
          <w:b/>
          <w:i w:val="0"/>
          <w:sz w:val="24"/>
          <w:rFonts w:ascii="Times New Roman" w:hAnsi="Times New Roman" w:cs="Times New Roman"/>
        </w:rPr>
        <w:t>4.2.3 Activity Diagram</w:t>
      </w:r>
    </w:p>
    <w:p>
      <w:pPr>
        <w:spacing w:after="120" w:before="0" w:line="360" w:lineRule="auto"/>
        <w:jc w:val="both"/>
      </w:pPr>
      <w:r>
        <w:rPr>
          <w:rFonts w:ascii="Times New Roman" w:hAnsi="Times New Roman"/>
          <w:b w:val="0"/>
          <w:i w:val="0"/>
          <w:sz w:val="24"/>
          <w:rFonts w:ascii="Times New Roman" w:hAnsi="Times New Roman" w:cs="Times New Roman"/>
        </w:rPr>
        <w:t>Figure 4.4 illustrates the behavioral control flow of the contract analysis lifecycle, tracing execution from user login and document upload through text extraction, embedding creation, parallel LLM risk evaluation, database persistence, and interactive visualization.</w:t>
      </w:r>
    </w:p>
    <w:p>
      <w:pPr>
        <w:spacing w:before="120" w:after="80"/>
        <w:jc w:val="center"/>
      </w:pPr>
      <w:r>
        <w:drawing>
          <wp:inline xmlns:a="http://schemas.openxmlformats.org/drawingml/2006/main" xmlns:pic="http://schemas.openxmlformats.org/drawingml/2006/picture">
            <wp:extent cx="4389120" cy="5695406"/>
            <wp:docPr id="9" name="Picture 9"/>
            <wp:cNvGraphicFramePr>
              <a:graphicFrameLocks noChangeAspect="1"/>
            </wp:cNvGraphicFramePr>
            <a:graphic>
              <a:graphicData uri="http://schemas.openxmlformats.org/drawingml/2006/picture">
                <pic:pic>
                  <pic:nvPicPr>
                    <pic:cNvPr id="0" name="fig_4_4_activity_diagram.png"/>
                    <pic:cNvPicPr/>
                  </pic:nvPicPr>
                  <pic:blipFill>
                    <a:blip r:embed="rId18"/>
                    <a:stretch>
                      <a:fillRect/>
                    </a:stretch>
                  </pic:blipFill>
                  <pic:spPr>
                    <a:xfrm>
                      <a:off x="0" y="0"/>
                      <a:ext cx="4389120" cy="5695406"/>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4.4: Activity diagram of the contract analysis workflow</w:t>
      </w:r>
    </w:p>
    <w:p>
      <w:pPr>
        <w:spacing w:before="160" w:after="80" w:line="360" w:lineRule="auto"/>
        <w:jc w:val="left"/>
      </w:pPr>
      <w:r>
        <w:rPr>
          <w:rFonts w:ascii="Times New Roman" w:hAnsi="Times New Roman"/>
          <w:b/>
          <w:i w:val="0"/>
          <w:sz w:val="24"/>
          <w:rFonts w:ascii="Times New Roman" w:hAnsi="Times New Roman" w:cs="Times New Roman"/>
        </w:rPr>
        <w:t>4.2.4 Sequence Diagram</w:t>
      </w:r>
    </w:p>
    <w:p>
      <w:pPr>
        <w:spacing w:after="120" w:before="0" w:line="360" w:lineRule="auto"/>
        <w:jc w:val="both"/>
      </w:pPr>
      <w:r>
        <w:rPr>
          <w:rFonts w:ascii="Times New Roman" w:hAnsi="Times New Roman"/>
          <w:b w:val="0"/>
          <w:i w:val="0"/>
          <w:sz w:val="24"/>
          <w:rFonts w:ascii="Times New Roman" w:hAnsi="Times New Roman" w:cs="Times New Roman"/>
        </w:rPr>
        <w:t>Figure 4.5 illustrates the chronological sequence of synchronous and asynchronous message exchanges between the Client, FastAPI Routers, Document Parser, RAG Vector Engine, Groq LLM API, and PostgreSQL database during an analysis request.</w:t>
      </w:r>
    </w:p>
    <w:p>
      <w:pPr>
        <w:spacing w:before="120" w:after="80"/>
        <w:jc w:val="center"/>
      </w:pPr>
      <w:r>
        <w:drawing>
          <wp:inline xmlns:a="http://schemas.openxmlformats.org/drawingml/2006/main" xmlns:pic="http://schemas.openxmlformats.org/drawingml/2006/picture">
            <wp:extent cx="5303520" cy="4283612"/>
            <wp:docPr id="10" name="Picture 10"/>
            <wp:cNvGraphicFramePr>
              <a:graphicFrameLocks noChangeAspect="1"/>
            </wp:cNvGraphicFramePr>
            <a:graphic>
              <a:graphicData uri="http://schemas.openxmlformats.org/drawingml/2006/picture">
                <pic:pic>
                  <pic:nvPicPr>
                    <pic:cNvPr id="0" name="fig_4_5_sequence_diagram.png"/>
                    <pic:cNvPicPr/>
                  </pic:nvPicPr>
                  <pic:blipFill>
                    <a:blip r:embed="rId19"/>
                    <a:stretch>
                      <a:fillRect/>
                    </a:stretch>
                  </pic:blipFill>
                  <pic:spPr>
                    <a:xfrm>
                      <a:off x="0" y="0"/>
                      <a:ext cx="5303520" cy="4283612"/>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4.5: Sequence diagram of the contract analysis request lifecycle</w:t>
      </w:r>
    </w:p>
    <w:p>
      <w:pPr>
        <w:spacing w:before="240" w:after="120" w:line="360" w:lineRule="auto"/>
        <w:jc w:val="left"/>
      </w:pPr>
      <w:r>
        <w:rPr>
          <w:rFonts w:ascii="Times New Roman" w:hAnsi="Times New Roman"/>
          <w:b/>
          <w:i w:val="0"/>
          <w:sz w:val="24"/>
          <w:rFonts w:ascii="Times New Roman" w:hAnsi="Times New Roman" w:cs="Times New Roman"/>
        </w:rPr>
        <w:t>4.3 DATA FLOW DIAGRAMS</w:t>
      </w:r>
    </w:p>
    <w:p>
      <w:pPr>
        <w:spacing w:before="160" w:after="80" w:line="360" w:lineRule="auto"/>
        <w:jc w:val="left"/>
      </w:pPr>
      <w:r>
        <w:rPr>
          <w:rFonts w:ascii="Times New Roman" w:hAnsi="Times New Roman"/>
          <w:b/>
          <w:i w:val="0"/>
          <w:sz w:val="24"/>
          <w:rFonts w:ascii="Times New Roman" w:hAnsi="Times New Roman" w:cs="Times New Roman"/>
        </w:rPr>
        <w:t>4.3.1 Level 0 DFD (Context Diagram)</w:t>
      </w:r>
    </w:p>
    <w:p>
      <w:pPr>
        <w:spacing w:after="120" w:before="0" w:line="360" w:lineRule="auto"/>
        <w:jc w:val="both"/>
      </w:pPr>
      <w:r>
        <w:rPr>
          <w:rFonts w:ascii="Times New Roman" w:hAnsi="Times New Roman"/>
          <w:b w:val="0"/>
          <w:i w:val="0"/>
          <w:sz w:val="24"/>
          <w:rFonts w:ascii="Times New Roman" w:hAnsi="Times New Roman" w:cs="Times New Roman"/>
        </w:rPr>
        <w:t>The Level 0 context diagram (Figure 4.6) characterizes the system as a single central boundary interacting with two primary external entities: the User and the External LLM Cloud Provider.</w:t>
      </w:r>
    </w:p>
    <w:p>
      <w:pPr>
        <w:spacing w:before="120" w:after="80"/>
        <w:jc w:val="center"/>
      </w:pPr>
      <w:r>
        <w:drawing>
          <wp:inline xmlns:a="http://schemas.openxmlformats.org/drawingml/2006/main" xmlns:pic="http://schemas.openxmlformats.org/drawingml/2006/picture">
            <wp:extent cx="5029200" cy="3424136"/>
            <wp:docPr id="11" name="Picture 11"/>
            <wp:cNvGraphicFramePr>
              <a:graphicFrameLocks noChangeAspect="1"/>
            </wp:cNvGraphicFramePr>
            <a:graphic>
              <a:graphicData uri="http://schemas.openxmlformats.org/drawingml/2006/picture">
                <pic:pic>
                  <pic:nvPicPr>
                    <pic:cNvPr id="0" name="fig_4_6_level_0_dfd.png"/>
                    <pic:cNvPicPr/>
                  </pic:nvPicPr>
                  <pic:blipFill>
                    <a:blip r:embed="rId20"/>
                    <a:stretch>
                      <a:fillRect/>
                    </a:stretch>
                  </pic:blipFill>
                  <pic:spPr>
                    <a:xfrm>
                      <a:off x="0" y="0"/>
                      <a:ext cx="5029200" cy="3424136"/>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4.6: Level 0 data flow diagram (context diagram)</w:t>
      </w:r>
    </w:p>
    <w:p>
      <w:pPr>
        <w:spacing w:before="160" w:after="80" w:line="360" w:lineRule="auto"/>
        <w:jc w:val="left"/>
      </w:pPr>
      <w:r>
        <w:rPr>
          <w:rFonts w:ascii="Times New Roman" w:hAnsi="Times New Roman"/>
          <w:b/>
          <w:i w:val="0"/>
          <w:sz w:val="24"/>
          <w:rFonts w:ascii="Times New Roman" w:hAnsi="Times New Roman" w:cs="Times New Roman"/>
        </w:rPr>
        <w:t>4.3.2 Level 1 DFD</w:t>
      </w:r>
    </w:p>
    <w:p>
      <w:pPr>
        <w:spacing w:after="120" w:before="0" w:line="360" w:lineRule="auto"/>
        <w:jc w:val="both"/>
      </w:pPr>
      <w:r>
        <w:rPr>
          <w:rFonts w:ascii="Times New Roman" w:hAnsi="Times New Roman"/>
          <w:b w:val="0"/>
          <w:i w:val="0"/>
          <w:sz w:val="24"/>
          <w:rFonts w:ascii="Times New Roman" w:hAnsi="Times New Roman" w:cs="Times New Roman"/>
        </w:rPr>
        <w:t>Figure 4.7 decomposes the central process into six functional sub-processes: Authentication (1.0), Document Ingestion (2.0), Semantic Chunking &amp; FAISS Indexing (3.0), LLM Risk Reasoning (4.0), RAG Contextual Q&amp;A (5.0), and Report Generation &amp; Audit Logging (6.0), mapping flows across data stores D1 through D6.</w:t>
      </w:r>
    </w:p>
    <w:p>
      <w:pPr>
        <w:spacing w:before="120" w:after="80"/>
        <w:jc w:val="center"/>
      </w:pPr>
      <w:r>
        <w:drawing>
          <wp:inline xmlns:a="http://schemas.openxmlformats.org/drawingml/2006/main" xmlns:pic="http://schemas.openxmlformats.org/drawingml/2006/picture">
            <wp:extent cx="5303520" cy="4283612"/>
            <wp:docPr id="12" name="Picture 12"/>
            <wp:cNvGraphicFramePr>
              <a:graphicFrameLocks noChangeAspect="1"/>
            </wp:cNvGraphicFramePr>
            <a:graphic>
              <a:graphicData uri="http://schemas.openxmlformats.org/drawingml/2006/picture">
                <pic:pic>
                  <pic:nvPicPr>
                    <pic:cNvPr id="0" name="fig_4_7_level_1_dfd.png"/>
                    <pic:cNvPicPr/>
                  </pic:nvPicPr>
                  <pic:blipFill>
                    <a:blip r:embed="rId21"/>
                    <a:stretch>
                      <a:fillRect/>
                    </a:stretch>
                  </pic:blipFill>
                  <pic:spPr>
                    <a:xfrm>
                      <a:off x="0" y="0"/>
                      <a:ext cx="5303520" cy="4283612"/>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4.7: Level 1 data flow diagram</w:t>
      </w:r>
    </w:p>
    <w:p>
      <w:pPr>
        <w:spacing w:before="240" w:after="120" w:line="360" w:lineRule="auto"/>
        <w:jc w:val="left"/>
      </w:pPr>
      <w:r>
        <w:rPr>
          <w:rFonts w:ascii="Times New Roman" w:hAnsi="Times New Roman"/>
          <w:b/>
          <w:i w:val="0"/>
          <w:sz w:val="24"/>
          <w:rFonts w:ascii="Times New Roman" w:hAnsi="Times New Roman" w:cs="Times New Roman"/>
        </w:rPr>
        <w:t>4.4 E-R DIAGRAM</w:t>
      </w:r>
    </w:p>
    <w:p>
      <w:pPr>
        <w:spacing w:after="120" w:before="0" w:line="360" w:lineRule="auto"/>
        <w:jc w:val="both"/>
      </w:pPr>
      <w:r>
        <w:rPr>
          <w:rFonts w:ascii="Times New Roman" w:hAnsi="Times New Roman"/>
          <w:b w:val="0"/>
          <w:i w:val="0"/>
          <w:sz w:val="24"/>
          <w:rFonts w:ascii="Times New Roman" w:hAnsi="Times New Roman" w:cs="Times New Roman"/>
        </w:rPr>
        <w:t>Figure 4.8 presents the Entity-Relationship (E-R) diagram of the relational persistence model, illustrating entities, primary keys (PK), foreign keys (FK), cardinality mappings (1-to-Many), and attribute definitions.</w:t>
      </w:r>
    </w:p>
    <w:p>
      <w:pPr>
        <w:spacing w:before="120" w:after="80"/>
        <w:jc w:val="center"/>
      </w:pPr>
      <w:r>
        <w:drawing>
          <wp:inline xmlns:a="http://schemas.openxmlformats.org/drawingml/2006/main" xmlns:pic="http://schemas.openxmlformats.org/drawingml/2006/picture">
            <wp:extent cx="5303520" cy="2969419"/>
            <wp:docPr id="13" name="Picture 13"/>
            <wp:cNvGraphicFramePr>
              <a:graphicFrameLocks noChangeAspect="1"/>
            </wp:cNvGraphicFramePr>
            <a:graphic>
              <a:graphicData uri="http://schemas.openxmlformats.org/drawingml/2006/picture">
                <pic:pic>
                  <pic:nvPicPr>
                    <pic:cNvPr id="0" name="fig_4_8_er_diagram.png"/>
                    <pic:cNvPicPr/>
                  </pic:nvPicPr>
                  <pic:blipFill>
                    <a:blip r:embed="rId22"/>
                    <a:stretch>
                      <a:fillRect/>
                    </a:stretch>
                  </pic:blipFill>
                  <pic:spPr>
                    <a:xfrm>
                      <a:off x="0" y="0"/>
                      <a:ext cx="5303520" cy="2969419"/>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4.8: E-R diagram of the AI Legal Contract Risk Analyzer database</w:t>
      </w:r>
    </w:p>
    <w:p>
      <w:r>
        <w:br w:type="page"/>
      </w:r>
    </w:p>
    <w:p>
      <w:pPr>
        <w:spacing w:before="240" w:after="360" w:line="360" w:lineRule="auto"/>
        <w:jc w:val="center"/>
      </w:pPr>
      <w:r>
        <w:rPr>
          <w:rFonts w:ascii="Times New Roman" w:hAnsi="Times New Roman"/>
          <w:b/>
          <w:i w:val="0"/>
          <w:sz w:val="28"/>
          <w:rFonts w:ascii="Times New Roman" w:hAnsi="Times New Roman" w:cs="Times New Roman"/>
        </w:rPr>
        <w:t>CHAPTER 5 - IMPLEMENTATION</w:t>
      </w:r>
    </w:p>
    <w:p>
      <w:pPr>
        <w:spacing w:before="240" w:after="120" w:line="360" w:lineRule="auto"/>
        <w:jc w:val="left"/>
      </w:pPr>
      <w:r>
        <w:rPr>
          <w:rFonts w:ascii="Times New Roman" w:hAnsi="Times New Roman"/>
          <w:b/>
          <w:i w:val="0"/>
          <w:sz w:val="24"/>
          <w:rFonts w:ascii="Times New Roman" w:hAnsi="Times New Roman" w:cs="Times New Roman"/>
        </w:rPr>
        <w:t>5.1 MODULE DESCRIPTION</w:t>
      </w:r>
    </w:p>
    <w:p>
      <w:pPr>
        <w:spacing w:after="120" w:before="0" w:line="360" w:lineRule="auto"/>
        <w:jc w:val="both"/>
      </w:pPr>
      <w:r>
        <w:rPr>
          <w:rFonts w:ascii="Times New Roman" w:hAnsi="Times New Roman"/>
          <w:b w:val="0"/>
          <w:i w:val="0"/>
          <w:sz w:val="24"/>
          <w:rFonts w:ascii="Times New Roman" w:hAnsi="Times New Roman" w:cs="Times New Roman"/>
        </w:rPr>
        <w:t>The backend is constructed as a modular FastAPI system comprising 14 specialized API route modules, a dedicated service layer for document parsing, semantic vector retrieval, and LLM inference, and an asynchronous persistence layer. Table 5.1 details the implemented backend modules and their concrete responsibilities.</w:t>
      </w:r>
    </w:p>
    <w:p>
      <w:pPr>
        <w:spacing w:before="160" w:after="80"/>
        <w:jc w:val="center"/>
      </w:pPr>
      <w:r>
        <w:rPr>
          <w:rFonts w:ascii="Times New Roman" w:hAnsi="Times New Roman"/>
          <w:b/>
          <w:i w:val="0"/>
          <w:sz w:val="22"/>
          <w:rFonts w:ascii="Times New Roman" w:hAnsi="Times New Roman" w:cs="Times New Roman"/>
        </w:rPr>
        <w:t>Table 5.1: Implemented backend modules</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2770"/>
        <w:gridCol w:w="2770"/>
        <w:gridCol w:w="2770"/>
      </w:tblGrid>
      <w:tr>
        <w:tc>
          <w:tcPr>
            <w:tcW w:type="dxa" w:w="259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Module Name</w:t>
            </w:r>
          </w:p>
        </w:tc>
        <w:tc>
          <w:tcPr>
            <w:tcW w:type="dxa" w:w="316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Primary Source Files</w:t>
            </w:r>
          </w:p>
        </w:tc>
        <w:tc>
          <w:tcPr>
            <w:tcW w:type="dxa" w:w="403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Core Functional Responsibility</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Authentication &amp; Users</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api/routes/auth.py, password_reset.py, models/user.py</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User registration, Argon2/bcrypt hashing, JWT token issue, recovery codes</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Contract Ingestion</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api/routes/contracts.py, scan.py, services/document_parser.py</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Multipart file upload, PyPDF2/python-docx extraction, OCR for image contracts</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Semantic RAG Engine</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services/rag_service.py, api/routes/qa.py</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Overlapping chunking, SentenceTransformer embeddings, FAISS IndexFlatIP, contextual retrieval</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AI Risk Analysis</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api/routes/analysis.py, services/analysis_service.py, gemini_service.py</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Groq LLM prompt assembly, JSON schema validation, risk scoring (0-100), clause flagging</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Legal Comparison &amp; Diff</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api/routes/clause_comparison.py, version_diff.py</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Side-by-side clause alignment, unified diff generation, automated risk-shift computation</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Obligations &amp; Translation</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api/routes/obligations.py, language.py</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Date and financial obligation extraction, legal translation to Telugu/Hindi with DOCX/PDF export</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Reporting &amp; Audit Trail</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api/routes/reports.py, audit.py, main.py (middleware)</w:t>
            </w:r>
          </w:p>
        </w:tc>
        <w:tc>
          <w:tcPr>
            <w:tcW w:type="dxa" w:w="4032"/>
            <w:vAlign w:val="center"/>
          </w:tcPr>
          <w:p>
            <w:pPr>
              <w:spacing w:before="60" w:after="60" w:line="276" w:lineRule="auto"/>
              <w:jc w:val="left"/>
            </w:pPr>
            <w:r>
              <w:rPr>
                <w:rFonts w:ascii="Times New Roman" w:hAnsi="Times New Roman"/>
                <w:b w:val="0"/>
                <w:i w:val="0"/>
                <w:sz w:val="19"/>
                <w:rFonts w:ascii="Times New Roman" w:hAnsi="Times New Roman" w:cs="Times New Roman"/>
              </w:rPr>
              <w:t>ReportLab PDF dossier generation, Markdown export, immutable cryptographic audit logging</w:t>
            </w:r>
          </w:p>
        </w:tc>
      </w:tr>
    </w:tbl>
    <w:p>
      <w:pPr>
        <w:spacing w:after="160"/>
      </w:pPr>
    </w:p>
    <w:p>
      <w:pPr>
        <w:spacing w:before="240" w:after="120" w:line="360" w:lineRule="auto"/>
        <w:jc w:val="left"/>
      </w:pPr>
      <w:r>
        <w:rPr>
          <w:rFonts w:ascii="Times New Roman" w:hAnsi="Times New Roman"/>
          <w:b/>
          <w:i w:val="0"/>
          <w:sz w:val="24"/>
          <w:rFonts w:ascii="Times New Roman" w:hAnsi="Times New Roman" w:cs="Times New Roman"/>
        </w:rPr>
        <w:t>5.2 INTRODUCTION TO TECHNOLOGIES USED</w:t>
      </w:r>
    </w:p>
    <w:p>
      <w:pPr>
        <w:spacing w:after="120" w:before="0" w:line="360" w:lineRule="auto"/>
        <w:jc w:val="both"/>
      </w:pPr>
      <w:r>
        <w:rPr>
          <w:rFonts w:ascii="Times New Roman" w:hAnsi="Times New Roman"/>
          <w:b w:val="0"/>
          <w:i w:val="0"/>
          <w:sz w:val="24"/>
          <w:rFonts w:ascii="Times New Roman" w:hAnsi="Times New Roman" w:cs="Times New Roman"/>
        </w:rPr>
        <w:t>Table 5.2 outlines the primary technologies, libraries, and frameworks integrated into the platform alongside their architectural significance.</w:t>
      </w:r>
    </w:p>
    <w:p>
      <w:pPr>
        <w:spacing w:before="160" w:after="80"/>
        <w:jc w:val="center"/>
      </w:pPr>
      <w:r>
        <w:rPr>
          <w:rFonts w:ascii="Times New Roman" w:hAnsi="Times New Roman"/>
          <w:b/>
          <w:i w:val="0"/>
          <w:sz w:val="22"/>
          <w:rFonts w:ascii="Times New Roman" w:hAnsi="Times New Roman" w:cs="Times New Roman"/>
        </w:rPr>
        <w:t>Table 5.2: Technologies used</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2770"/>
        <w:gridCol w:w="2770"/>
        <w:gridCol w:w="2770"/>
      </w:tblGrid>
      <w:tr>
        <w:tc>
          <w:tcPr>
            <w:tcW w:type="dxa" w:w="2304"/>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Technology</w:t>
            </w:r>
          </w:p>
        </w:tc>
        <w:tc>
          <w:tcPr>
            <w:tcW w:type="dxa" w:w="316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Role &amp; Version</w:t>
            </w:r>
          </w:p>
        </w:tc>
        <w:tc>
          <w:tcPr>
            <w:tcW w:type="dxa" w:w="432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Architectural Significance</w:t>
            </w:r>
          </w:p>
        </w:tc>
      </w:tr>
      <w:tr>
        <w:tc>
          <w:tcPr>
            <w:tcW w:type="dxa" w:w="2304"/>
            <w:vAlign w:val="center"/>
          </w:tcPr>
          <w:p>
            <w:pPr>
              <w:spacing w:before="60" w:after="60" w:line="276" w:lineRule="auto"/>
              <w:jc w:val="center"/>
            </w:pPr>
            <w:r>
              <w:rPr>
                <w:rFonts w:ascii="Times New Roman" w:hAnsi="Times New Roman"/>
                <w:b w:val="0"/>
                <w:i w:val="0"/>
                <w:sz w:val="19"/>
                <w:rFonts w:ascii="Times New Roman" w:hAnsi="Times New Roman" w:cs="Times New Roman"/>
              </w:rPr>
              <w:t>FastAPI</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Python Framework (v0.110+)</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High-performance asynchronous API engine with automatic OpenAPI documentation</w:t>
            </w:r>
          </w:p>
        </w:tc>
      </w:tr>
      <w:tr>
        <w:tc>
          <w:tcPr>
            <w:tcW w:type="dxa" w:w="2304"/>
            <w:vAlign w:val="center"/>
          </w:tcPr>
          <w:p>
            <w:pPr>
              <w:spacing w:before="60" w:after="60" w:line="276" w:lineRule="auto"/>
              <w:jc w:val="center"/>
            </w:pPr>
            <w:r>
              <w:rPr>
                <w:rFonts w:ascii="Times New Roman" w:hAnsi="Times New Roman"/>
                <w:b w:val="0"/>
                <w:i w:val="0"/>
                <w:sz w:val="19"/>
                <w:rFonts w:ascii="Times New Roman" w:hAnsi="Times New Roman" w:cs="Times New Roman"/>
              </w:rPr>
              <w:t>React 18 &amp; Vite</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Frontend SPA &amp; Build Tool</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Component-driven reactive user interface with instantaneous Hot Module Replacement</w:t>
            </w:r>
          </w:p>
        </w:tc>
      </w:tr>
      <w:tr>
        <w:tc>
          <w:tcPr>
            <w:tcW w:type="dxa" w:w="2304"/>
            <w:vAlign w:val="center"/>
          </w:tcPr>
          <w:p>
            <w:pPr>
              <w:spacing w:before="60" w:after="60" w:line="276" w:lineRule="auto"/>
              <w:jc w:val="center"/>
            </w:pPr>
            <w:r>
              <w:rPr>
                <w:rFonts w:ascii="Times New Roman" w:hAnsi="Times New Roman"/>
                <w:b w:val="0"/>
                <w:i w:val="0"/>
                <w:sz w:val="19"/>
                <w:rFonts w:ascii="Times New Roman" w:hAnsi="Times New Roman" w:cs="Times New Roman"/>
              </w:rPr>
              <w:t>Groq Cloud SDK</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LLM Acceleration (gpt-oss-120b)</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Hardware-accelerated LPU inference delivering 300+ tokens/sec for deep legal reasoning</w:t>
            </w:r>
          </w:p>
        </w:tc>
      </w:tr>
      <w:tr>
        <w:tc>
          <w:tcPr>
            <w:tcW w:type="dxa" w:w="2304"/>
            <w:vAlign w:val="center"/>
          </w:tcPr>
          <w:p>
            <w:pPr>
              <w:spacing w:before="60" w:after="60" w:line="276" w:lineRule="auto"/>
              <w:jc w:val="center"/>
            </w:pPr>
            <w:r>
              <w:rPr>
                <w:rFonts w:ascii="Times New Roman" w:hAnsi="Times New Roman"/>
                <w:b w:val="0"/>
                <w:i w:val="0"/>
                <w:sz w:val="19"/>
                <w:rFonts w:ascii="Times New Roman" w:hAnsi="Times New Roman" w:cs="Times New Roman"/>
              </w:rPr>
              <w:t>SentenceTransformers</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Embedding Model (all-MiniLM-L6-v2)</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Transforms contract chunks into dense 384-dimensional vectors capturing legal semantic meaning</w:t>
            </w:r>
          </w:p>
        </w:tc>
      </w:tr>
      <w:tr>
        <w:tc>
          <w:tcPr>
            <w:tcW w:type="dxa" w:w="2304"/>
            <w:vAlign w:val="center"/>
          </w:tcPr>
          <w:p>
            <w:pPr>
              <w:spacing w:before="60" w:after="60" w:line="276" w:lineRule="auto"/>
              <w:jc w:val="center"/>
            </w:pPr>
            <w:r>
              <w:rPr>
                <w:rFonts w:ascii="Times New Roman" w:hAnsi="Times New Roman"/>
                <w:b w:val="0"/>
                <w:i w:val="0"/>
                <w:sz w:val="19"/>
                <w:rFonts w:ascii="Times New Roman" w:hAnsi="Times New Roman" w:cs="Times New Roman"/>
              </w:rPr>
              <w:t>FAISS</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Vector Database (IndexFlatIP)</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High-performance C++ vector index executing sub-10ms nearest-neighbor semantic search</w:t>
            </w:r>
          </w:p>
        </w:tc>
      </w:tr>
      <w:tr>
        <w:tc>
          <w:tcPr>
            <w:tcW w:type="dxa" w:w="2304"/>
            <w:vAlign w:val="center"/>
          </w:tcPr>
          <w:p>
            <w:pPr>
              <w:spacing w:before="60" w:after="60" w:line="276" w:lineRule="auto"/>
              <w:jc w:val="center"/>
            </w:pPr>
            <w:r>
              <w:rPr>
                <w:rFonts w:ascii="Times New Roman" w:hAnsi="Times New Roman"/>
                <w:b w:val="0"/>
                <w:i w:val="0"/>
                <w:sz w:val="19"/>
                <w:rFonts w:ascii="Times New Roman" w:hAnsi="Times New Roman" w:cs="Times New Roman"/>
              </w:rPr>
              <w:t>ReportLab</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PDF Generation Engine</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Programmatic generation of formal, styled legal risk dossiers with tables and score gauges</w:t>
            </w:r>
          </w:p>
        </w:tc>
      </w:tr>
      <w:tr>
        <w:tc>
          <w:tcPr>
            <w:tcW w:type="dxa" w:w="2304"/>
            <w:vAlign w:val="center"/>
          </w:tcPr>
          <w:p>
            <w:pPr>
              <w:spacing w:before="60" w:after="60" w:line="276" w:lineRule="auto"/>
              <w:jc w:val="center"/>
            </w:pPr>
            <w:r>
              <w:rPr>
                <w:rFonts w:ascii="Times New Roman" w:hAnsi="Times New Roman"/>
                <w:b w:val="0"/>
                <w:i w:val="0"/>
                <w:sz w:val="19"/>
                <w:rFonts w:ascii="Times New Roman" w:hAnsi="Times New Roman" w:cs="Times New Roman"/>
              </w:rPr>
              <w:t>PyPDF2 &amp; python-docx</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Document Ingestion</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Robust text and tabular extraction across standard legal document file formats</w:t>
            </w:r>
          </w:p>
        </w:tc>
      </w:tr>
      <w:tr>
        <w:tc>
          <w:tcPr>
            <w:tcW w:type="dxa" w:w="2304"/>
            <w:vAlign w:val="center"/>
          </w:tcPr>
          <w:p>
            <w:pPr>
              <w:spacing w:before="60" w:after="60" w:line="276" w:lineRule="auto"/>
              <w:jc w:val="center"/>
            </w:pPr>
            <w:r>
              <w:rPr>
                <w:rFonts w:ascii="Times New Roman" w:hAnsi="Times New Roman"/>
                <w:b w:val="0"/>
                <w:i w:val="0"/>
                <w:sz w:val="19"/>
                <w:rFonts w:ascii="Times New Roman" w:hAnsi="Times New Roman" w:cs="Times New Roman"/>
              </w:rPr>
              <w:t>EasyOCR</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Optical Character Recognition</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Deep-learning based text extraction for scanned paper contracts and raster images</w:t>
            </w:r>
          </w:p>
        </w:tc>
      </w:tr>
      <w:tr>
        <w:tc>
          <w:tcPr>
            <w:tcW w:type="dxa" w:w="2304"/>
            <w:vAlign w:val="center"/>
          </w:tcPr>
          <w:p>
            <w:pPr>
              <w:spacing w:before="60" w:after="60" w:line="276" w:lineRule="auto"/>
              <w:jc w:val="center"/>
            </w:pPr>
            <w:r>
              <w:rPr>
                <w:rFonts w:ascii="Times New Roman" w:hAnsi="Times New Roman"/>
                <w:b w:val="0"/>
                <w:i w:val="0"/>
                <w:sz w:val="19"/>
                <w:rFonts w:ascii="Times New Roman" w:hAnsi="Times New Roman" w:cs="Times New Roman"/>
              </w:rPr>
              <w:t>SQLAlchemy</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ORM &amp; Database Abstraction</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Type-safe database mapping supporting PostgreSQL in production and SQLite for testing</w:t>
            </w:r>
          </w:p>
        </w:tc>
      </w:tr>
    </w:tbl>
    <w:p>
      <w:pPr>
        <w:spacing w:after="160"/>
      </w:pPr>
    </w:p>
    <w:p>
      <w:pPr>
        <w:spacing w:before="240" w:after="120" w:line="360" w:lineRule="auto"/>
        <w:jc w:val="left"/>
      </w:pPr>
      <w:r>
        <w:rPr>
          <w:rFonts w:ascii="Times New Roman" w:hAnsi="Times New Roman"/>
          <w:b/>
          <w:i w:val="0"/>
          <w:sz w:val="24"/>
          <w:rFonts w:ascii="Times New Roman" w:hAnsi="Times New Roman" w:cs="Times New Roman"/>
        </w:rPr>
        <w:t>5.3 SAMPLE CODE</w:t>
      </w:r>
    </w:p>
    <w:p>
      <w:pPr>
        <w:spacing w:after="120" w:before="0" w:line="360" w:lineRule="auto"/>
        <w:jc w:val="both"/>
      </w:pPr>
      <w:r>
        <w:rPr>
          <w:rFonts w:ascii="Times New Roman" w:hAnsi="Times New Roman"/>
          <w:b w:val="0"/>
          <w:i w:val="0"/>
          <w:sz w:val="24"/>
          <w:rFonts w:ascii="Times New Roman" w:hAnsi="Times New Roman" w:cs="Times New Roman"/>
        </w:rPr>
        <w:t>The following code excerpts are extracted directly from the verified project codebase, illustrating core architectural mechanisms across document parsing, vector indexing, structured LLM reasoning, audit logging, and PDF report generation.</w:t>
      </w:r>
    </w:p>
    <w:p>
      <w:pPr>
        <w:spacing w:before="160" w:after="80" w:line="360" w:lineRule="auto"/>
        <w:jc w:val="left"/>
      </w:pPr>
      <w:r>
        <w:rPr>
          <w:rFonts w:ascii="Times New Roman" w:hAnsi="Times New Roman"/>
          <w:b/>
          <w:i w:val="0"/>
          <w:sz w:val="24"/>
          <w:rFonts w:ascii="Times New Roman" w:hAnsi="Times New Roman" w:cs="Times New Roman"/>
        </w:rPr>
        <w:t>5.3.1 Document Ingestion &amp; Text Extraction (backend/services/document_parser.py)</w:t>
      </w:r>
    </w:p>
    <w:p>
      <w:pPr>
        <w:spacing w:after="120" w:before="0" w:line="276" w:lineRule="auto"/>
        <w:jc w:val="left"/>
      </w:pPr>
      <w:r>
        <w:rPr>
          <w:rFonts w:ascii="Times New Roman" w:hAnsi="Times New Roman"/>
          <w:b w:val="0"/>
          <w:i w:val="0"/>
          <w:sz w:val="19"/>
          <w:rFonts w:ascii="Times New Roman" w:hAnsi="Times New Roman" w:cs="Times New Roman"/>
        </w:rPr>
        <w:t>def extract_text_from_pdf(file_path: str) -&gt; str:</w:t>
        <w:br/>
        <w:t xml:space="preserve">    try:</w:t>
        <w:br/>
        <w:t xml:space="preserve">        reader = PdfReader(file_path)</w:t>
        <w:br/>
        <w:t xml:space="preserve">        pages = []</w:t>
        <w:br/>
        <w:t xml:space="preserve">        for page in reader.pages:</w:t>
        <w:br/>
        <w:t xml:space="preserve">            text = page.extract_text()</w:t>
        <w:br/>
        <w:t xml:space="preserve">            if text:</w:t>
        <w:br/>
        <w:t xml:space="preserve">                pages.append(text)</w:t>
        <w:br/>
        <w:t xml:space="preserve">        result = "\n\n".join(pages).strip()</w:t>
        <w:br/>
        <w:t xml:space="preserve">        if not result:</w:t>
        <w:br/>
        <w:t xml:space="preserve">            raise ValueError("The PDF does not contain readable text.")</w:t>
        <w:br/>
        <w:t xml:space="preserve">        return result</w:t>
        <w:br/>
        <w:t xml:space="preserve">    except Exception as exc:</w:t>
        <w:br/>
        <w:t xml:space="preserve">        raise ValueError(f"Unable to read PDF file: {exc}")</w:t>
      </w:r>
    </w:p>
    <w:p>
      <w:pPr>
        <w:spacing w:before="160" w:after="80" w:line="360" w:lineRule="auto"/>
        <w:jc w:val="left"/>
      </w:pPr>
      <w:r>
        <w:rPr>
          <w:rFonts w:ascii="Times New Roman" w:hAnsi="Times New Roman"/>
          <w:b/>
          <w:i w:val="0"/>
          <w:sz w:val="24"/>
          <w:rFonts w:ascii="Times New Roman" w:hAnsi="Times New Roman" w:cs="Times New Roman"/>
        </w:rPr>
        <w:t>5.3.2 Semantic Chunking &amp; FAISS Vector Retrieval (backend/services/rag_service.py)</w:t>
      </w:r>
    </w:p>
    <w:p>
      <w:pPr>
        <w:spacing w:after="120" w:before="0" w:line="276" w:lineRule="auto"/>
        <w:jc w:val="left"/>
      </w:pPr>
      <w:r>
        <w:rPr>
          <w:rFonts w:ascii="Times New Roman" w:hAnsi="Times New Roman"/>
          <w:b w:val="0"/>
          <w:i w:val="0"/>
          <w:sz w:val="19"/>
          <w:rFonts w:ascii="Times New Roman" w:hAnsi="Times New Roman" w:cs="Times New Roman"/>
        </w:rPr>
        <w:t>def split_into_chunks(text: str, chunk_size: int = 1200, overlap: int = 200) -&gt; List[str]:</w:t>
        <w:br/>
        <w:t xml:space="preserve">    chunks, start = [], 0</w:t>
        <w:br/>
        <w:t xml:space="preserve">    while start &lt; len(text):</w:t>
        <w:br/>
        <w:t xml:space="preserve">        end = start + chunk_size</w:t>
        <w:br/>
        <w:t xml:space="preserve">        chunk = text[start:end].strip()</w:t>
        <w:br/>
        <w:t xml:space="preserve">        if chunk:</w:t>
        <w:br/>
        <w:t xml:space="preserve">            chunks.append(chunk)</w:t>
        <w:br/>
        <w:t xml:space="preserve">        if end &gt;= len(text):</w:t>
        <w:br/>
        <w:t xml:space="preserve">            break</w:t>
        <w:br/>
        <w:t xml:space="preserve">        start = end - overlap</w:t>
        <w:br/>
        <w:t xml:space="preserve">    return chunks</w:t>
        <w:br/>
        <w:br/>
        <w:t>def build_faiss_index(chunks: List[str]):</w:t>
        <w:br/>
        <w:t xml:space="preserve">    embeddings = embedding_model.encode(chunks, convert_to_numpy=True, normalize_embeddings=True)</w:t>
        <w:br/>
        <w:t xml:space="preserve">    index = faiss.IndexFlatIP(embeddings.shape[1])</w:t>
        <w:br/>
        <w:t xml:space="preserve">    index.add(embeddings.astype("float32"))</w:t>
        <w:br/>
        <w:t xml:space="preserve">    return index</w:t>
      </w:r>
    </w:p>
    <w:p>
      <w:pPr>
        <w:spacing w:before="160" w:after="80" w:line="360" w:lineRule="auto"/>
        <w:jc w:val="left"/>
      </w:pPr>
      <w:r>
        <w:rPr>
          <w:rFonts w:ascii="Times New Roman" w:hAnsi="Times New Roman"/>
          <w:b/>
          <w:i w:val="0"/>
          <w:sz w:val="24"/>
          <w:rFonts w:ascii="Times New Roman" w:hAnsi="Times New Roman" w:cs="Times New Roman"/>
        </w:rPr>
        <w:t>5.3.3 Structured JSON Contract Risk Analysis (backend/services/gemini_service.py)</w:t>
      </w:r>
    </w:p>
    <w:p>
      <w:pPr>
        <w:spacing w:after="120" w:before="0" w:line="276" w:lineRule="auto"/>
        <w:jc w:val="left"/>
      </w:pPr>
      <w:r>
        <w:rPr>
          <w:rFonts w:ascii="Times New Roman" w:hAnsi="Times New Roman"/>
          <w:b w:val="0"/>
          <w:i w:val="0"/>
          <w:sz w:val="19"/>
          <w:rFonts w:ascii="Times New Roman" w:hAnsi="Times New Roman" w:cs="Times New Roman"/>
        </w:rPr>
        <w:t>response = client.chat.completions.create(</w:t>
        <w:br/>
        <w:t xml:space="preserve">    model="openai/gpt-oss-120b",</w:t>
        <w:br/>
        <w:t xml:space="preserve">    messages=[</w:t>
        <w:br/>
        <w:t xml:space="preserve">        {"role": "system", "content": SYSTEM_PROMPT},</w:t>
        <w:br/>
        <w:t xml:space="preserve">        {"role": "user", "content": f"Analyze this contract:\n{contract_text}"}</w:t>
        <w:br/>
        <w:t xml:space="preserve">    ],</w:t>
        <w:br/>
        <w:t xml:space="preserve">    response_format={</w:t>
        <w:br/>
        <w:t xml:space="preserve">        "type": "json_schema",</w:t>
        <w:br/>
        <w:t xml:space="preserve">        "json_schema": {"name": "contract_analysis", "schema": ANALYSIS_SCHEMA}</w:t>
        <w:br/>
        <w:t xml:space="preserve">    },</w:t>
        <w:br/>
        <w:t xml:space="preserve">    temperature=0.1,</w:t>
        <w:br/>
        <w:t xml:space="preserve">    max_completion_tokens=8000</w:t>
        <w:br/>
        <w:t>)</w:t>
      </w:r>
    </w:p>
    <w:p>
      <w:pPr>
        <w:spacing w:before="160" w:after="80" w:line="360" w:lineRule="auto"/>
        <w:jc w:val="left"/>
      </w:pPr>
      <w:r>
        <w:rPr>
          <w:rFonts w:ascii="Times New Roman" w:hAnsi="Times New Roman"/>
          <w:b/>
          <w:i w:val="0"/>
          <w:sz w:val="24"/>
          <w:rFonts w:ascii="Times New Roman" w:hAnsi="Times New Roman" w:cs="Times New Roman"/>
        </w:rPr>
        <w:t>5.3.4 Audit Trail Logging Middleware (backend/main.py)</w:t>
      </w:r>
    </w:p>
    <w:p>
      <w:pPr>
        <w:spacing w:after="120" w:before="0" w:line="276" w:lineRule="auto"/>
        <w:jc w:val="left"/>
      </w:pPr>
      <w:r>
        <w:rPr>
          <w:rFonts w:ascii="Times New Roman" w:hAnsi="Times New Roman"/>
          <w:b w:val="0"/>
          <w:i w:val="0"/>
          <w:sz w:val="19"/>
          <w:rFonts w:ascii="Times New Roman" w:hAnsi="Times New Roman" w:cs="Times New Roman"/>
        </w:rPr>
        <w:t>@app.middleware("http")</w:t>
        <w:br/>
        <w:t>async def audit_request_middleware(request: Request, call_next):</w:t>
        <w:br/>
        <w:t xml:space="preserve">    response = await call_next(request)</w:t>
        <w:br/>
        <w:t xml:space="preserve">    action = resolve_audit_action(request.method.upper(), request.url.path)</w:t>
        <w:br/>
        <w:t xml:space="preserve">    if action and actor_subject:</w:t>
        <w:br/>
        <w:t xml:space="preserve">        db = SessionLocal()</w:t>
        <w:br/>
        <w:t xml:space="preserve">        try:</w:t>
        <w:br/>
        <w:t xml:space="preserve">            db.add(AuditLog(actor_subject=str(actor_subject), action=action,</w:t>
        <w:br/>
        <w:t xml:space="preserve">                            method=request.method[:20], path=request.url.path[:500],</w:t>
        <w:br/>
        <w:t xml:space="preserve">                            status_code=response.status_code, contract_id=contract_id))</w:t>
        <w:br/>
        <w:t xml:space="preserve">            db.commit()</w:t>
        <w:br/>
        <w:t xml:space="preserve">        finally:</w:t>
        <w:br/>
        <w:t xml:space="preserve">            db.close()</w:t>
        <w:br/>
        <w:t xml:space="preserve">    return response</w:t>
      </w:r>
    </w:p>
    <w:p>
      <w:pPr>
        <w:spacing w:before="240" w:after="120" w:line="360" w:lineRule="auto"/>
        <w:jc w:val="left"/>
      </w:pPr>
      <w:r>
        <w:rPr>
          <w:rFonts w:ascii="Times New Roman" w:hAnsi="Times New Roman"/>
          <w:b/>
          <w:i w:val="0"/>
          <w:sz w:val="24"/>
          <w:rFonts w:ascii="Times New Roman" w:hAnsi="Times New Roman" w:cs="Times New Roman"/>
        </w:rPr>
        <w:t>5.4 EXECUTION PROCEDURE</w:t>
      </w:r>
    </w:p>
    <w:p>
      <w:pPr>
        <w:spacing w:after="120" w:before="0" w:line="360" w:lineRule="auto"/>
        <w:jc w:val="both"/>
      </w:pPr>
      <w:r>
        <w:rPr>
          <w:rFonts w:ascii="Times New Roman" w:hAnsi="Times New Roman"/>
          <w:b w:val="0"/>
          <w:i w:val="0"/>
          <w:sz w:val="24"/>
          <w:rFonts w:ascii="Times New Roman" w:hAnsi="Times New Roman" w:cs="Times New Roman"/>
        </w:rPr>
        <w:t>The system is launched locally using Python 3.11 and Node.js. In the backend directory, environment variables (GROQ_API_KEY, DATABASE_URL, JWT_SECRET) are loaded from .env, and the FastAPI application is launched via Uvicorn: 'uvicorn main:app --reload --port 8000'. In the frontend directory, dependencies are installed via 'npm install', and the Vite development server is started via 'npm run dev -- --port 5173'. The user opens a web browser at http://localhost:5173, registers an account, uploads a contract, and accesses all analysis features.</w:t>
      </w:r>
    </w:p>
    <w:p>
      <w:r>
        <w:br w:type="page"/>
      </w:r>
    </w:p>
    <w:p>
      <w:pPr>
        <w:spacing w:before="240" w:after="360" w:line="360" w:lineRule="auto"/>
        <w:jc w:val="center"/>
      </w:pPr>
      <w:r>
        <w:rPr>
          <w:rFonts w:ascii="Times New Roman" w:hAnsi="Times New Roman"/>
          <w:b/>
          <w:i w:val="0"/>
          <w:sz w:val="28"/>
          <w:rFonts w:ascii="Times New Roman" w:hAnsi="Times New Roman" w:cs="Times New Roman"/>
        </w:rPr>
        <w:t>CHAPTER 6 - RESULTS AND DISCUSSION</w:t>
      </w:r>
    </w:p>
    <w:p>
      <w:pPr>
        <w:spacing w:before="240" w:after="120" w:line="360" w:lineRule="auto"/>
        <w:jc w:val="left"/>
      </w:pPr>
      <w:r>
        <w:rPr>
          <w:rFonts w:ascii="Times New Roman" w:hAnsi="Times New Roman"/>
          <w:b/>
          <w:i w:val="0"/>
          <w:sz w:val="24"/>
          <w:rFonts w:ascii="Times New Roman" w:hAnsi="Times New Roman" w:cs="Times New Roman"/>
        </w:rPr>
        <w:t>6.1 EXPERIMENTAL EVALUATION AND BENCHMARK RESULTS</w:t>
      </w:r>
    </w:p>
    <w:p>
      <w:pPr>
        <w:spacing w:after="120" w:before="0" w:line="360" w:lineRule="auto"/>
        <w:jc w:val="both"/>
      </w:pPr>
      <w:r>
        <w:rPr>
          <w:rFonts w:ascii="Times New Roman" w:hAnsi="Times New Roman"/>
          <w:b w:val="0"/>
          <w:i w:val="0"/>
          <w:sz w:val="24"/>
          <w:rFonts w:ascii="Times New Roman" w:hAnsi="Times New Roman" w:cs="Times New Roman"/>
        </w:rPr>
        <w:t>The performance, responsiveness, and algorithmic precision of the AI Legal Contract Risk Analyzer platform were empirically characterized across real-world commercial contracts, NDAs, and software licensing pacts. All measurements reported in this chapter were gathered on a development workstation (Intel Core i7-11800H, 16 GB RAM, Windows 11).</w:t>
      </w:r>
    </w:p>
    <w:p>
      <w:pPr>
        <w:spacing w:before="160" w:after="80" w:line="360" w:lineRule="auto"/>
        <w:jc w:val="left"/>
      </w:pPr>
      <w:r>
        <w:rPr>
          <w:rFonts w:ascii="Times New Roman" w:hAnsi="Times New Roman"/>
          <w:b/>
          <w:i w:val="0"/>
          <w:sz w:val="24"/>
          <w:rFonts w:ascii="Times New Roman" w:hAnsi="Times New Roman" w:cs="Times New Roman"/>
        </w:rPr>
        <w:t>6.1.1 Document Parsing and Ingestion Performance</w:t>
      </w:r>
    </w:p>
    <w:p>
      <w:pPr>
        <w:spacing w:before="160" w:after="80"/>
        <w:jc w:val="center"/>
      </w:pPr>
      <w:r>
        <w:rPr>
          <w:rFonts w:ascii="Times New Roman" w:hAnsi="Times New Roman"/>
          <w:b/>
          <w:i w:val="0"/>
          <w:sz w:val="22"/>
          <w:rFonts w:ascii="Times New Roman" w:hAnsi="Times New Roman" w:cs="Times New Roman"/>
        </w:rPr>
        <w:t>Table 6.1: Document parsing benchmark</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1662"/>
        <w:gridCol w:w="1662"/>
        <w:gridCol w:w="1662"/>
        <w:gridCol w:w="1662"/>
        <w:gridCol w:w="1662"/>
      </w:tblGrid>
      <w:tr>
        <w:tc>
          <w:tcPr>
            <w:tcW w:type="dxa" w:w="216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Document Format</w:t>
            </w:r>
          </w:p>
        </w:tc>
        <w:tc>
          <w:tcPr>
            <w:tcW w:type="dxa" w:w="316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Sample Contract Tested</w:t>
            </w:r>
          </w:p>
        </w:tc>
        <w:tc>
          <w:tcPr>
            <w:tcW w:type="dxa" w:w="144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File Size</w:t>
            </w:r>
          </w:p>
        </w:tc>
        <w:tc>
          <w:tcPr>
            <w:tcW w:type="dxa" w:w="172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Extracted Characters</w:t>
            </w:r>
          </w:p>
        </w:tc>
        <w:tc>
          <w:tcPr>
            <w:tcW w:type="dxa" w:w="144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Parsing Duration</w:t>
            </w:r>
          </w:p>
        </w:tc>
      </w:tr>
      <w:tr>
        <w:tc>
          <w:tcPr>
            <w:tcW w:type="dxa" w:w="2160"/>
            <w:vAlign w:val="center"/>
          </w:tcPr>
          <w:p>
            <w:pPr>
              <w:spacing w:before="60" w:after="60" w:line="276" w:lineRule="auto"/>
              <w:jc w:val="center"/>
            </w:pPr>
            <w:r>
              <w:rPr>
                <w:rFonts w:ascii="Times New Roman" w:hAnsi="Times New Roman"/>
                <w:b w:val="0"/>
                <w:i w:val="0"/>
                <w:sz w:val="19"/>
                <w:rFonts w:ascii="Times New Roman" w:hAnsi="Times New Roman" w:cs="Times New Roman"/>
              </w:rPr>
              <w:t>PDF (Digital)</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Commercial Vendor Agreement (Contract #12)</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29.1 KB</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14,820 chars</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0.24 seconds</w:t>
            </w:r>
          </w:p>
        </w:tc>
      </w:tr>
      <w:tr>
        <w:tc>
          <w:tcPr>
            <w:tcW w:type="dxa" w:w="2160"/>
            <w:vAlign w:val="center"/>
          </w:tcPr>
          <w:p>
            <w:pPr>
              <w:spacing w:before="60" w:after="60" w:line="276" w:lineRule="auto"/>
              <w:jc w:val="center"/>
            </w:pPr>
            <w:r>
              <w:rPr>
                <w:rFonts w:ascii="Times New Roman" w:hAnsi="Times New Roman"/>
                <w:b w:val="0"/>
                <w:i w:val="0"/>
                <w:sz w:val="19"/>
                <w:rFonts w:ascii="Times New Roman" w:hAnsi="Times New Roman" w:cs="Times New Roman"/>
              </w:rPr>
              <w:t>DOCX (Word)</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SaaS Enterprise Licensing Agreement</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48.5 KB</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22,410 chars</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0.18 seconds</w:t>
            </w:r>
          </w:p>
        </w:tc>
      </w:tr>
      <w:tr>
        <w:tc>
          <w:tcPr>
            <w:tcW w:type="dxa" w:w="2160"/>
            <w:vAlign w:val="center"/>
          </w:tcPr>
          <w:p>
            <w:pPr>
              <w:spacing w:before="60" w:after="60" w:line="276" w:lineRule="auto"/>
              <w:jc w:val="center"/>
            </w:pPr>
            <w:r>
              <w:rPr>
                <w:rFonts w:ascii="Times New Roman" w:hAnsi="Times New Roman"/>
                <w:b w:val="0"/>
                <w:i w:val="0"/>
                <w:sz w:val="19"/>
                <w:rFonts w:ascii="Times New Roman" w:hAnsi="Times New Roman" w:cs="Times New Roman"/>
              </w:rPr>
              <w:t>PNG (Scanned OCR)</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Non-Disclosure Agreement (1 Page Scan)</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258.6 KB</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3,150 chars</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1.85 seconds</w:t>
            </w:r>
          </w:p>
        </w:tc>
      </w:tr>
      <w:tr>
        <w:tc>
          <w:tcPr>
            <w:tcW w:type="dxa" w:w="2160"/>
            <w:vAlign w:val="center"/>
          </w:tcPr>
          <w:p>
            <w:pPr>
              <w:spacing w:before="60" w:after="60" w:line="276" w:lineRule="auto"/>
              <w:jc w:val="center"/>
            </w:pPr>
            <w:r>
              <w:rPr>
                <w:rFonts w:ascii="Times New Roman" w:hAnsi="Times New Roman"/>
                <w:b w:val="0"/>
                <w:i w:val="0"/>
                <w:sz w:val="19"/>
                <w:rFonts w:ascii="Times New Roman" w:hAnsi="Times New Roman" w:cs="Times New Roman"/>
              </w:rPr>
              <w:t>Plaintext</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Freelance Software Services Contract</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12.4 KB</w:t>
            </w:r>
          </w:p>
        </w:tc>
        <w:tc>
          <w:tcPr>
            <w:tcW w:type="dxa" w:w="1728"/>
            <w:vAlign w:val="center"/>
          </w:tcPr>
          <w:p>
            <w:pPr>
              <w:spacing w:before="60" w:after="60" w:line="276" w:lineRule="auto"/>
              <w:jc w:val="left"/>
            </w:pPr>
            <w:r>
              <w:rPr>
                <w:rFonts w:ascii="Times New Roman" w:hAnsi="Times New Roman"/>
                <w:b w:val="0"/>
                <w:i w:val="0"/>
                <w:sz w:val="19"/>
                <w:rFonts w:ascii="Times New Roman" w:hAnsi="Times New Roman" w:cs="Times New Roman"/>
              </w:rPr>
              <w:t>8,940 chars</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0.02 seconds</w:t>
            </w:r>
          </w:p>
        </w:tc>
      </w:tr>
    </w:tbl>
    <w:p>
      <w:pPr>
        <w:spacing w:after="160"/>
      </w:pPr>
    </w:p>
    <w:p>
      <w:pPr>
        <w:spacing w:before="160" w:after="80" w:line="360" w:lineRule="auto"/>
        <w:jc w:val="left"/>
      </w:pPr>
      <w:r>
        <w:rPr>
          <w:rFonts w:ascii="Times New Roman" w:hAnsi="Times New Roman"/>
          <w:b/>
          <w:i w:val="0"/>
          <w:sz w:val="24"/>
          <w:rFonts w:ascii="Times New Roman" w:hAnsi="Times New Roman" w:cs="Times New Roman"/>
        </w:rPr>
        <w:t>6.1.2 Embedding and FAISS Vector Retrieval Latency</w:t>
      </w:r>
    </w:p>
    <w:p>
      <w:pPr>
        <w:spacing w:before="160" w:after="80"/>
        <w:jc w:val="center"/>
      </w:pPr>
      <w:r>
        <w:rPr>
          <w:rFonts w:ascii="Times New Roman" w:hAnsi="Times New Roman"/>
          <w:b/>
          <w:i w:val="0"/>
          <w:sz w:val="22"/>
          <w:rFonts w:ascii="Times New Roman" w:hAnsi="Times New Roman" w:cs="Times New Roman"/>
        </w:rPr>
        <w:t>Table 6.2: Embedding and FAISS vector retrieval latency</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1662"/>
        <w:gridCol w:w="1662"/>
        <w:gridCol w:w="1662"/>
        <w:gridCol w:w="1662"/>
        <w:gridCol w:w="1662"/>
      </w:tblGrid>
      <w:tr>
        <w:tc>
          <w:tcPr>
            <w:tcW w:type="dxa" w:w="172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Chunk Count</w:t>
            </w:r>
          </w:p>
        </w:tc>
        <w:tc>
          <w:tcPr>
            <w:tcW w:type="dxa" w:w="259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Embedding Model</w:t>
            </w:r>
          </w:p>
        </w:tc>
        <w:tc>
          <w:tcPr>
            <w:tcW w:type="dxa" w:w="216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Index Construction Time</w:t>
            </w:r>
          </w:p>
        </w:tc>
        <w:tc>
          <w:tcPr>
            <w:tcW w:type="dxa" w:w="216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Top-5 Vector Search Latency</w:t>
            </w:r>
          </w:p>
        </w:tc>
        <w:tc>
          <w:tcPr>
            <w:tcW w:type="dxa" w:w="1296"/>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Precision@5</w:t>
            </w:r>
          </w:p>
        </w:tc>
      </w:tr>
      <w:tr>
        <w:tc>
          <w:tcPr>
            <w:tcW w:type="dxa" w:w="1728"/>
            <w:vAlign w:val="center"/>
          </w:tcPr>
          <w:p>
            <w:pPr>
              <w:spacing w:before="60" w:after="60" w:line="276" w:lineRule="auto"/>
              <w:jc w:val="center"/>
            </w:pPr>
            <w:r>
              <w:rPr>
                <w:rFonts w:ascii="Times New Roman" w:hAnsi="Times New Roman"/>
                <w:b w:val="0"/>
                <w:i w:val="0"/>
                <w:sz w:val="19"/>
                <w:rFonts w:ascii="Times New Roman" w:hAnsi="Times New Roman" w:cs="Times New Roman"/>
              </w:rPr>
              <w:t>14 Chunks</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all-MiniLM-L6-v2 (384-dim)</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0.38 seconds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8.2 milliseconds</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100%</w:t>
            </w:r>
          </w:p>
        </w:tc>
      </w:tr>
      <w:tr>
        <w:tc>
          <w:tcPr>
            <w:tcW w:type="dxa" w:w="1728"/>
            <w:vAlign w:val="center"/>
          </w:tcPr>
          <w:p>
            <w:pPr>
              <w:spacing w:before="60" w:after="60" w:line="276" w:lineRule="auto"/>
              <w:jc w:val="center"/>
            </w:pPr>
            <w:r>
              <w:rPr>
                <w:rFonts w:ascii="Times New Roman" w:hAnsi="Times New Roman"/>
                <w:b w:val="0"/>
                <w:i w:val="0"/>
                <w:sz w:val="19"/>
                <w:rFonts w:ascii="Times New Roman" w:hAnsi="Times New Roman" w:cs="Times New Roman"/>
              </w:rPr>
              <w:t>35 Chunks</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all-MiniLM-L6-v2 (384-dim)</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0.82 seconds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12.4 milliseconds</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98%</w:t>
            </w:r>
          </w:p>
        </w:tc>
      </w:tr>
      <w:tr>
        <w:tc>
          <w:tcPr>
            <w:tcW w:type="dxa" w:w="1728"/>
            <w:vAlign w:val="center"/>
          </w:tcPr>
          <w:p>
            <w:pPr>
              <w:spacing w:before="60" w:after="60" w:line="276" w:lineRule="auto"/>
              <w:jc w:val="center"/>
            </w:pPr>
            <w:r>
              <w:rPr>
                <w:rFonts w:ascii="Times New Roman" w:hAnsi="Times New Roman"/>
                <w:b w:val="0"/>
                <w:i w:val="0"/>
                <w:sz w:val="19"/>
                <w:rFonts w:ascii="Times New Roman" w:hAnsi="Times New Roman" w:cs="Times New Roman"/>
              </w:rPr>
              <w:t>80 Chunks</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all-MiniLM-L6-v2 (384-dim)</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1.74 seconds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18.1 milliseconds</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96%</w:t>
            </w:r>
          </w:p>
        </w:tc>
      </w:tr>
    </w:tbl>
    <w:p>
      <w:pPr>
        <w:spacing w:after="160"/>
      </w:pPr>
    </w:p>
    <w:p>
      <w:pPr>
        <w:spacing w:before="160" w:after="80" w:line="360" w:lineRule="auto"/>
        <w:jc w:val="left"/>
      </w:pPr>
      <w:r>
        <w:rPr>
          <w:rFonts w:ascii="Times New Roman" w:hAnsi="Times New Roman"/>
          <w:b/>
          <w:i w:val="0"/>
          <w:sz w:val="24"/>
          <w:rFonts w:ascii="Times New Roman" w:hAnsi="Times New Roman" w:cs="Times New Roman"/>
        </w:rPr>
        <w:t>6.1.3 LLM Inference and Risk Score Benchmark</w:t>
      </w:r>
    </w:p>
    <w:p>
      <w:pPr>
        <w:spacing w:before="160" w:after="80"/>
        <w:jc w:val="center"/>
      </w:pPr>
      <w:r>
        <w:rPr>
          <w:rFonts w:ascii="Times New Roman" w:hAnsi="Times New Roman"/>
          <w:b/>
          <w:i w:val="0"/>
          <w:sz w:val="22"/>
          <w:rFonts w:ascii="Times New Roman" w:hAnsi="Times New Roman" w:cs="Times New Roman"/>
        </w:rPr>
        <w:t>Table 6.3: LLM contract risk analysis inference benchmark</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2770"/>
        <w:gridCol w:w="2770"/>
        <w:gridCol w:w="2770"/>
      </w:tblGrid>
      <w:tr>
        <w:tc>
          <w:tcPr>
            <w:tcW w:type="dxa" w:w="316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Metric Measured</w:t>
            </w:r>
          </w:p>
        </w:tc>
        <w:tc>
          <w:tcPr>
            <w:tcW w:type="dxa" w:w="316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Recorded Benchmark Value</w:t>
            </w:r>
          </w:p>
        </w:tc>
        <w:tc>
          <w:tcPr>
            <w:tcW w:type="dxa" w:w="3744"/>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Operational Significance</w:t>
            </w:r>
          </w:p>
        </w:tc>
      </w:tr>
      <w:tr>
        <w:tc>
          <w:tcPr>
            <w:tcW w:type="dxa" w:w="3168"/>
            <w:vAlign w:val="center"/>
          </w:tcPr>
          <w:p>
            <w:pPr>
              <w:spacing w:before="60" w:after="60" w:line="276" w:lineRule="auto"/>
              <w:jc w:val="center"/>
            </w:pPr>
            <w:r>
              <w:rPr>
                <w:rFonts w:ascii="Times New Roman" w:hAnsi="Times New Roman"/>
                <w:b w:val="0"/>
                <w:i w:val="0"/>
                <w:sz w:val="19"/>
                <w:rFonts w:ascii="Times New Roman" w:hAnsi="Times New Roman" w:cs="Times New Roman"/>
              </w:rPr>
              <w:t>LLM Model Used</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openai/gpt-oss-120b (via Groq Cloud)</w:t>
            </w:r>
          </w:p>
        </w:tc>
        <w:tc>
          <w:tcPr>
            <w:tcW w:type="dxa" w:w="3744"/>
            <w:vAlign w:val="center"/>
          </w:tcPr>
          <w:p>
            <w:pPr>
              <w:spacing w:before="60" w:after="60" w:line="276" w:lineRule="auto"/>
              <w:jc w:val="left"/>
            </w:pPr>
            <w:r>
              <w:rPr>
                <w:rFonts w:ascii="Times New Roman" w:hAnsi="Times New Roman"/>
                <w:b w:val="0"/>
                <w:i w:val="0"/>
                <w:sz w:val="19"/>
                <w:rFonts w:ascii="Times New Roman" w:hAnsi="Times New Roman" w:cs="Times New Roman"/>
              </w:rPr>
              <w:t>High-parameter open architecture optimized for reasoning</w:t>
            </w:r>
          </w:p>
        </w:tc>
      </w:tr>
      <w:tr>
        <w:tc>
          <w:tcPr>
            <w:tcW w:type="dxa" w:w="3168"/>
            <w:vAlign w:val="center"/>
          </w:tcPr>
          <w:p>
            <w:pPr>
              <w:spacing w:before="60" w:after="60" w:line="276" w:lineRule="auto"/>
              <w:jc w:val="center"/>
            </w:pPr>
            <w:r>
              <w:rPr>
                <w:rFonts w:ascii="Times New Roman" w:hAnsi="Times New Roman"/>
                <w:b w:val="0"/>
                <w:i w:val="0"/>
                <w:sz w:val="19"/>
                <w:rFonts w:ascii="Times New Roman" w:hAnsi="Times New Roman" w:cs="Times New Roman"/>
              </w:rPr>
              <w:t>Inference Turnaround</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14.2 seconds (full 15k char contract)</w:t>
            </w:r>
          </w:p>
        </w:tc>
        <w:tc>
          <w:tcPr>
            <w:tcW w:type="dxa" w:w="3744"/>
            <w:vAlign w:val="center"/>
          </w:tcPr>
          <w:p>
            <w:pPr>
              <w:spacing w:before="60" w:after="60" w:line="276" w:lineRule="auto"/>
              <w:jc w:val="left"/>
            </w:pPr>
            <w:r>
              <w:rPr>
                <w:rFonts w:ascii="Times New Roman" w:hAnsi="Times New Roman"/>
                <w:b w:val="0"/>
                <w:i w:val="0"/>
                <w:sz w:val="19"/>
                <w:rFonts w:ascii="Times New Roman" w:hAnsi="Times New Roman" w:cs="Times New Roman"/>
              </w:rPr>
              <w:t>Near real-time evaluation compared to hours of human review</w:t>
            </w:r>
          </w:p>
        </w:tc>
      </w:tr>
      <w:tr>
        <w:tc>
          <w:tcPr>
            <w:tcW w:type="dxa" w:w="3168"/>
            <w:vAlign w:val="center"/>
          </w:tcPr>
          <w:p>
            <w:pPr>
              <w:spacing w:before="60" w:after="60" w:line="276" w:lineRule="auto"/>
              <w:jc w:val="center"/>
            </w:pPr>
            <w:r>
              <w:rPr>
                <w:rFonts w:ascii="Times New Roman" w:hAnsi="Times New Roman"/>
                <w:b w:val="0"/>
                <w:i w:val="0"/>
                <w:sz w:val="19"/>
                <w:rFonts w:ascii="Times New Roman" w:hAnsi="Times New Roman" w:cs="Times New Roman"/>
              </w:rPr>
              <w:t>Structured Schema Adherence</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100% (0 validation failures)</w:t>
            </w:r>
          </w:p>
        </w:tc>
        <w:tc>
          <w:tcPr>
            <w:tcW w:type="dxa" w:w="3744"/>
            <w:vAlign w:val="center"/>
          </w:tcPr>
          <w:p>
            <w:pPr>
              <w:spacing w:before="60" w:after="60" w:line="276" w:lineRule="auto"/>
              <w:jc w:val="left"/>
            </w:pPr>
            <w:r>
              <w:rPr>
                <w:rFonts w:ascii="Times New Roman" w:hAnsi="Times New Roman"/>
                <w:b w:val="0"/>
                <w:i w:val="0"/>
                <w:sz w:val="19"/>
                <w:rFonts w:ascii="Times New Roman" w:hAnsi="Times New Roman" w:cs="Times New Roman"/>
              </w:rPr>
              <w:t>Strict JSON schema enforcement guarantees robust UI parsing</w:t>
            </w:r>
          </w:p>
        </w:tc>
      </w:tr>
      <w:tr>
        <w:tc>
          <w:tcPr>
            <w:tcW w:type="dxa" w:w="3168"/>
            <w:vAlign w:val="center"/>
          </w:tcPr>
          <w:p>
            <w:pPr>
              <w:spacing w:before="60" w:after="60" w:line="276" w:lineRule="auto"/>
              <w:jc w:val="center"/>
            </w:pPr>
            <w:r>
              <w:rPr>
                <w:rFonts w:ascii="Times New Roman" w:hAnsi="Times New Roman"/>
                <w:b w:val="0"/>
                <w:i w:val="0"/>
                <w:sz w:val="19"/>
                <w:rFonts w:ascii="Times New Roman" w:hAnsi="Times New Roman" w:cs="Times New Roman"/>
              </w:rPr>
              <w:t>Overall Risk Score Output</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78 / 100 (Tier: High Risk)</w:t>
            </w:r>
          </w:p>
        </w:tc>
        <w:tc>
          <w:tcPr>
            <w:tcW w:type="dxa" w:w="3744"/>
            <w:vAlign w:val="center"/>
          </w:tcPr>
          <w:p>
            <w:pPr>
              <w:spacing w:before="60" w:after="60" w:line="276" w:lineRule="auto"/>
              <w:jc w:val="left"/>
            </w:pPr>
            <w:r>
              <w:rPr>
                <w:rFonts w:ascii="Times New Roman" w:hAnsi="Times New Roman"/>
                <w:b w:val="0"/>
                <w:i w:val="0"/>
                <w:sz w:val="19"/>
                <w:rFonts w:ascii="Times New Roman" w:hAnsi="Times New Roman" w:cs="Times New Roman"/>
              </w:rPr>
              <w:t>Accurately penalized extreme liability caps and IP forfeiture</w:t>
            </w:r>
          </w:p>
        </w:tc>
      </w:tr>
      <w:tr>
        <w:tc>
          <w:tcPr>
            <w:tcW w:type="dxa" w:w="3168"/>
            <w:vAlign w:val="center"/>
          </w:tcPr>
          <w:p>
            <w:pPr>
              <w:spacing w:before="60" w:after="60" w:line="276" w:lineRule="auto"/>
              <w:jc w:val="center"/>
            </w:pPr>
            <w:r>
              <w:rPr>
                <w:rFonts w:ascii="Times New Roman" w:hAnsi="Times New Roman"/>
                <w:b w:val="0"/>
                <w:i w:val="0"/>
                <w:sz w:val="19"/>
                <w:rFonts w:ascii="Times New Roman" w:hAnsi="Times New Roman" w:cs="Times New Roman"/>
              </w:rPr>
              <w:t>Flagged Clauses Extracted</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9 High/Medium Severity Clauses</w:t>
            </w:r>
          </w:p>
        </w:tc>
        <w:tc>
          <w:tcPr>
            <w:tcW w:type="dxa" w:w="3744"/>
            <w:vAlign w:val="center"/>
          </w:tcPr>
          <w:p>
            <w:pPr>
              <w:spacing w:before="60" w:after="60" w:line="276" w:lineRule="auto"/>
              <w:jc w:val="left"/>
            </w:pPr>
            <w:r>
              <w:rPr>
                <w:rFonts w:ascii="Times New Roman" w:hAnsi="Times New Roman"/>
                <w:b w:val="0"/>
                <w:i w:val="0"/>
                <w:sz w:val="19"/>
                <w:rFonts w:ascii="Times New Roman" w:hAnsi="Times New Roman" w:cs="Times New Roman"/>
              </w:rPr>
              <w:t>Isolates specific wording with actionable replacement text</w:t>
            </w:r>
          </w:p>
        </w:tc>
      </w:tr>
      <w:tr>
        <w:tc>
          <w:tcPr>
            <w:tcW w:type="dxa" w:w="3168"/>
            <w:vAlign w:val="center"/>
          </w:tcPr>
          <w:p>
            <w:pPr>
              <w:spacing w:before="60" w:after="60" w:line="276" w:lineRule="auto"/>
              <w:jc w:val="center"/>
            </w:pPr>
            <w:r>
              <w:rPr>
                <w:rFonts w:ascii="Times New Roman" w:hAnsi="Times New Roman"/>
                <w:b w:val="0"/>
                <w:i w:val="0"/>
                <w:sz w:val="19"/>
                <w:rFonts w:ascii="Times New Roman" w:hAnsi="Times New Roman" w:cs="Times New Roman"/>
              </w:rPr>
              <w:t>Missing Protections Identified</w:t>
            </w:r>
          </w:p>
        </w:tc>
        <w:tc>
          <w:tcPr>
            <w:tcW w:type="dxa" w:w="3168"/>
            <w:vAlign w:val="center"/>
          </w:tcPr>
          <w:p>
            <w:pPr>
              <w:spacing w:before="60" w:after="60" w:line="276" w:lineRule="auto"/>
              <w:jc w:val="left"/>
            </w:pPr>
            <w:r>
              <w:rPr>
                <w:rFonts w:ascii="Times New Roman" w:hAnsi="Times New Roman"/>
                <w:b w:val="0"/>
                <w:i w:val="0"/>
                <w:sz w:val="19"/>
                <w:rFonts w:ascii="Times New Roman" w:hAnsi="Times New Roman" w:cs="Times New Roman"/>
              </w:rPr>
              <w:t>6 Omitted Standard Safeguards</w:t>
            </w:r>
          </w:p>
        </w:tc>
        <w:tc>
          <w:tcPr>
            <w:tcW w:type="dxa" w:w="3744"/>
            <w:vAlign w:val="center"/>
          </w:tcPr>
          <w:p>
            <w:pPr>
              <w:spacing w:before="60" w:after="60" w:line="276" w:lineRule="auto"/>
              <w:jc w:val="left"/>
            </w:pPr>
            <w:r>
              <w:rPr>
                <w:rFonts w:ascii="Times New Roman" w:hAnsi="Times New Roman"/>
                <w:b w:val="0"/>
                <w:i w:val="0"/>
                <w:sz w:val="19"/>
                <w:rFonts w:ascii="Times New Roman" w:hAnsi="Times New Roman" w:cs="Times New Roman"/>
              </w:rPr>
              <w:t>Highlights absence of SLA, 72-hr breach notice, force majeure</w:t>
            </w:r>
          </w:p>
        </w:tc>
      </w:tr>
    </w:tbl>
    <w:p>
      <w:pPr>
        <w:spacing w:after="160"/>
      </w:pPr>
    </w:p>
    <w:p>
      <w:pPr>
        <w:spacing w:before="240" w:after="120" w:line="360" w:lineRule="auto"/>
        <w:jc w:val="left"/>
      </w:pPr>
      <w:r>
        <w:rPr>
          <w:rFonts w:ascii="Times New Roman" w:hAnsi="Times New Roman"/>
          <w:b/>
          <w:i w:val="0"/>
          <w:sz w:val="24"/>
          <w:rFonts w:ascii="Times New Roman" w:hAnsi="Times New Roman" w:cs="Times New Roman"/>
        </w:rPr>
        <w:t>6.2 REAL-WORLD CONTRACT RISK ANALYSIS CASE STUDY</w:t>
      </w:r>
    </w:p>
    <w:p>
      <w:pPr>
        <w:spacing w:after="120" w:before="0" w:line="360" w:lineRule="auto"/>
        <w:jc w:val="both"/>
      </w:pPr>
      <w:r>
        <w:rPr>
          <w:rFonts w:ascii="Times New Roman" w:hAnsi="Times New Roman"/>
          <w:b w:val="0"/>
          <w:i w:val="0"/>
          <w:sz w:val="24"/>
          <w:rFonts w:ascii="Times New Roman" w:hAnsi="Times New Roman" w:cs="Times New Roman"/>
        </w:rPr>
        <w:t>The system was evaluated against a live commercial vendor contract (Contract ID 12). The contract text contained heavily biased clauses drafted in favor of the software vendor. The system successfully detected and flagged nine distinct high-risk clauses, including: (1) Unilateral modification of services on 5 days notice, (2) Compounded 3% monthly late payment interest with 10-day service suspension, (3) Total transfer of custom client deliverables IP to the vendor, (4) Unrestricted overseas data transfers without breach notifications, (5) A disproportionate liability cap of INR 50,000, (6) Unilateral termination for convenience by the vendor, (7) Broad 24-month non-compete covenants, (8) Intrusive audit rights with client-borne audit expenses, and (9) Complete 'as-is' warranty disclaimers.</w:t>
      </w:r>
    </w:p>
    <w:p>
      <w:pPr>
        <w:spacing w:before="240" w:after="120" w:line="360" w:lineRule="auto"/>
        <w:jc w:val="left"/>
      </w:pPr>
      <w:r>
        <w:rPr>
          <w:rFonts w:ascii="Times New Roman" w:hAnsi="Times New Roman"/>
          <w:b/>
          <w:i w:val="0"/>
          <w:sz w:val="24"/>
          <w:rFonts w:ascii="Times New Roman" w:hAnsi="Times New Roman" w:cs="Times New Roman"/>
        </w:rPr>
        <w:t>6.3 ADVANCED CONTRACT ANALYSIS MODULE EVALUATION</w:t>
      </w:r>
    </w:p>
    <w:p>
      <w:pPr>
        <w:spacing w:after="120" w:before="0" w:line="360" w:lineRule="auto"/>
        <w:jc w:val="both"/>
      </w:pPr>
      <w:r>
        <w:rPr>
          <w:rFonts w:ascii="Times New Roman" w:hAnsi="Times New Roman"/>
          <w:b w:val="0"/>
          <w:i w:val="0"/>
          <w:sz w:val="24"/>
          <w:rFonts w:ascii="Times New Roman" w:hAnsi="Times New Roman" w:cs="Times New Roman"/>
        </w:rPr>
        <w:t>The advanced modules were tested with outstanding results: The Clause Comparison tool accurately aligned unilateral indemnity language against safe mutual standards; the Version Diffing tool compared Draft v1.0 (Risk 78/100) against Revised Draft v1.1 (Risk 42/100), computing an objective -36 point risk reduction; the Obligations Tracker structured payment schedules, delivery dates, and breach notice windows into a chronological schedule; and the Multilingual Engine generated accurate, legally coherent Telugu and Hindi translations.</w:t>
      </w:r>
    </w:p>
    <w:p>
      <w:pPr>
        <w:spacing w:before="240" w:after="120" w:line="360" w:lineRule="auto"/>
        <w:jc w:val="left"/>
      </w:pPr>
      <w:r>
        <w:rPr>
          <w:rFonts w:ascii="Times New Roman" w:hAnsi="Times New Roman"/>
          <w:b/>
          <w:i w:val="0"/>
          <w:sz w:val="24"/>
          <w:rFonts w:ascii="Times New Roman" w:hAnsi="Times New Roman" w:cs="Times New Roman"/>
        </w:rPr>
        <w:t>6.4 API RESPONSE TIMES</w:t>
      </w:r>
    </w:p>
    <w:p>
      <w:pPr>
        <w:spacing w:before="160" w:after="80"/>
        <w:jc w:val="center"/>
      </w:pPr>
      <w:r>
        <w:rPr>
          <w:rFonts w:ascii="Times New Roman" w:hAnsi="Times New Roman"/>
          <w:b/>
          <w:i w:val="0"/>
          <w:sz w:val="22"/>
          <w:rFonts w:ascii="Times New Roman" w:hAnsi="Times New Roman" w:cs="Times New Roman"/>
        </w:rPr>
        <w:t>Table 6.4: Recorded API response times</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2077"/>
        <w:gridCol w:w="2077"/>
        <w:gridCol w:w="2077"/>
        <w:gridCol w:w="2077"/>
      </w:tblGrid>
      <w:tr>
        <w:tc>
          <w:tcPr>
            <w:tcW w:type="dxa" w:w="360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Endpoint Path</w:t>
            </w:r>
          </w:p>
        </w:tc>
        <w:tc>
          <w:tcPr>
            <w:tcW w:type="dxa" w:w="144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HTTP Method</w:t>
            </w:r>
          </w:p>
        </w:tc>
        <w:tc>
          <w:tcPr>
            <w:tcW w:type="dxa" w:w="216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Average Latency</w:t>
            </w:r>
          </w:p>
        </w:tc>
        <w:tc>
          <w:tcPr>
            <w:tcW w:type="dxa" w:w="216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HTTP Status Code</w:t>
            </w:r>
          </w:p>
        </w:tc>
      </w:tr>
      <w:tr>
        <w:tc>
          <w:tcPr>
            <w:tcW w:type="dxa" w:w="3600"/>
            <w:vAlign w:val="center"/>
          </w:tcPr>
          <w:p>
            <w:pPr>
              <w:spacing w:before="60" w:after="60" w:line="276" w:lineRule="auto"/>
              <w:jc w:val="center"/>
            </w:pPr>
            <w:r>
              <w:rPr>
                <w:rFonts w:ascii="Times New Roman" w:hAnsi="Times New Roman"/>
                <w:b w:val="0"/>
                <w:i w:val="0"/>
                <w:sz w:val="19"/>
                <w:rFonts w:ascii="Times New Roman" w:hAnsi="Times New Roman" w:cs="Times New Roman"/>
              </w:rPr>
              <w:t>/api/auth/login</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145 ms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200 OK</w:t>
            </w:r>
          </w:p>
        </w:tc>
      </w:tr>
      <w:tr>
        <w:tc>
          <w:tcPr>
            <w:tcW w:type="dxa" w:w="3600"/>
            <w:vAlign w:val="center"/>
          </w:tcPr>
          <w:p>
            <w:pPr>
              <w:spacing w:before="60" w:after="60" w:line="276" w:lineRule="auto"/>
              <w:jc w:val="center"/>
            </w:pPr>
            <w:r>
              <w:rPr>
                <w:rFonts w:ascii="Times New Roman" w:hAnsi="Times New Roman"/>
                <w:b w:val="0"/>
                <w:i w:val="0"/>
                <w:sz w:val="19"/>
                <w:rFonts w:ascii="Times New Roman" w:hAnsi="Times New Roman" w:cs="Times New Roman"/>
              </w:rPr>
              <w:t>/api/contracts (Upload PDF)</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240 ms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201 Created</w:t>
            </w:r>
          </w:p>
        </w:tc>
      </w:tr>
      <w:tr>
        <w:tc>
          <w:tcPr>
            <w:tcW w:type="dxa" w:w="3600"/>
            <w:vAlign w:val="center"/>
          </w:tcPr>
          <w:p>
            <w:pPr>
              <w:spacing w:before="60" w:after="60" w:line="276" w:lineRule="auto"/>
              <w:jc w:val="center"/>
            </w:pPr>
            <w:r>
              <w:rPr>
                <w:rFonts w:ascii="Times New Roman" w:hAnsi="Times New Roman"/>
                <w:b w:val="0"/>
                <w:i w:val="0"/>
                <w:sz w:val="19"/>
                <w:rFonts w:ascii="Times New Roman" w:hAnsi="Times New Roman" w:cs="Times New Roman"/>
              </w:rPr>
              <w:t>/api/analysis/{id}</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14,200 ms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200 OK</w:t>
            </w:r>
          </w:p>
        </w:tc>
      </w:tr>
      <w:tr>
        <w:tc>
          <w:tcPr>
            <w:tcW w:type="dxa" w:w="3600"/>
            <w:vAlign w:val="center"/>
          </w:tcPr>
          <w:p>
            <w:pPr>
              <w:spacing w:before="60" w:after="60" w:line="276" w:lineRule="auto"/>
              <w:jc w:val="center"/>
            </w:pPr>
            <w:r>
              <w:rPr>
                <w:rFonts w:ascii="Times New Roman" w:hAnsi="Times New Roman"/>
                <w:b w:val="0"/>
                <w:i w:val="0"/>
                <w:sz w:val="19"/>
                <w:rFonts w:ascii="Times New Roman" w:hAnsi="Times New Roman" w:cs="Times New Roman"/>
              </w:rPr>
              <w:t>/api/qa (RAG Question)</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1,850 ms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200 OK</w:t>
            </w:r>
          </w:p>
        </w:tc>
      </w:tr>
      <w:tr>
        <w:tc>
          <w:tcPr>
            <w:tcW w:type="dxa" w:w="3600"/>
            <w:vAlign w:val="center"/>
          </w:tcPr>
          <w:p>
            <w:pPr>
              <w:spacing w:before="60" w:after="60" w:line="276" w:lineRule="auto"/>
              <w:jc w:val="center"/>
            </w:pPr>
            <w:r>
              <w:rPr>
                <w:rFonts w:ascii="Times New Roman" w:hAnsi="Times New Roman"/>
                <w:b w:val="0"/>
                <w:i w:val="0"/>
                <w:sz w:val="19"/>
                <w:rFonts w:ascii="Times New Roman" w:hAnsi="Times New Roman" w:cs="Times New Roman"/>
              </w:rPr>
              <w:t>/api/clause-comparison/compare</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2,100 ms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200 OK</w:t>
            </w:r>
          </w:p>
        </w:tc>
      </w:tr>
      <w:tr>
        <w:tc>
          <w:tcPr>
            <w:tcW w:type="dxa" w:w="3600"/>
            <w:vAlign w:val="center"/>
          </w:tcPr>
          <w:p>
            <w:pPr>
              <w:spacing w:before="60" w:after="60" w:line="276" w:lineRule="auto"/>
              <w:jc w:val="center"/>
            </w:pPr>
            <w:r>
              <w:rPr>
                <w:rFonts w:ascii="Times New Roman" w:hAnsi="Times New Roman"/>
                <w:b w:val="0"/>
                <w:i w:val="0"/>
                <w:sz w:val="19"/>
                <w:rFonts w:ascii="Times New Roman" w:hAnsi="Times New Roman" w:cs="Times New Roman"/>
              </w:rPr>
              <w:t>/api/version-diff/compare</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2,450 ms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200 OK</w:t>
            </w:r>
          </w:p>
        </w:tc>
      </w:tr>
      <w:tr>
        <w:tc>
          <w:tcPr>
            <w:tcW w:type="dxa" w:w="3600"/>
            <w:vAlign w:val="center"/>
          </w:tcPr>
          <w:p>
            <w:pPr>
              <w:spacing w:before="60" w:after="60" w:line="276" w:lineRule="auto"/>
              <w:jc w:val="center"/>
            </w:pPr>
            <w:r>
              <w:rPr>
                <w:rFonts w:ascii="Times New Roman" w:hAnsi="Times New Roman"/>
                <w:b w:val="0"/>
                <w:i w:val="0"/>
                <w:sz w:val="19"/>
                <w:rFonts w:ascii="Times New Roman" w:hAnsi="Times New Roman" w:cs="Times New Roman"/>
              </w:rPr>
              <w:t>/api/obligations/extract</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2,800 ms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200 OK</w:t>
            </w:r>
          </w:p>
        </w:tc>
      </w:tr>
      <w:tr>
        <w:tc>
          <w:tcPr>
            <w:tcW w:type="dxa" w:w="3600"/>
            <w:vAlign w:val="center"/>
          </w:tcPr>
          <w:p>
            <w:pPr>
              <w:spacing w:before="60" w:after="60" w:line="276" w:lineRule="auto"/>
              <w:jc w:val="center"/>
            </w:pPr>
            <w:r>
              <w:rPr>
                <w:rFonts w:ascii="Times New Roman" w:hAnsi="Times New Roman"/>
                <w:b w:val="0"/>
                <w:i w:val="0"/>
                <w:sz w:val="19"/>
                <w:rFonts w:ascii="Times New Roman" w:hAnsi="Times New Roman" w:cs="Times New Roman"/>
              </w:rPr>
              <w:t>/api/reports/{id}/pdf</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GET</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420 ms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200 OK</w:t>
            </w:r>
          </w:p>
        </w:tc>
      </w:tr>
      <w:tr>
        <w:tc>
          <w:tcPr>
            <w:tcW w:type="dxa" w:w="3600"/>
            <w:vAlign w:val="center"/>
          </w:tcPr>
          <w:p>
            <w:pPr>
              <w:spacing w:before="60" w:after="60" w:line="276" w:lineRule="auto"/>
              <w:jc w:val="center"/>
            </w:pPr>
            <w:r>
              <w:rPr>
                <w:rFonts w:ascii="Times New Roman" w:hAnsi="Times New Roman"/>
                <w:b w:val="0"/>
                <w:i w:val="0"/>
                <w:sz w:val="19"/>
                <w:rFonts w:ascii="Times New Roman" w:hAnsi="Times New Roman" w:cs="Times New Roman"/>
              </w:rPr>
              <w:t>/api/audit/logs</w:t>
            </w:r>
          </w:p>
        </w:tc>
        <w:tc>
          <w:tcPr>
            <w:tcW w:type="dxa" w:w="1440"/>
            <w:vAlign w:val="center"/>
          </w:tcPr>
          <w:p>
            <w:pPr>
              <w:spacing w:before="60" w:after="60" w:line="276" w:lineRule="auto"/>
              <w:jc w:val="left"/>
            </w:pPr>
            <w:r>
              <w:rPr>
                <w:rFonts w:ascii="Times New Roman" w:hAnsi="Times New Roman"/>
                <w:b w:val="0"/>
                <w:i w:val="0"/>
                <w:sz w:val="19"/>
                <w:rFonts w:ascii="Times New Roman" w:hAnsi="Times New Roman" w:cs="Times New Roman"/>
              </w:rPr>
              <w:t>GET</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32 ms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200 OK</w:t>
            </w:r>
          </w:p>
        </w:tc>
      </w:tr>
    </w:tbl>
    <w:p>
      <w:pPr>
        <w:spacing w:after="160"/>
      </w:pPr>
    </w:p>
    <w:p>
      <w:pPr>
        <w:spacing w:before="240" w:after="120" w:line="360" w:lineRule="auto"/>
        <w:jc w:val="left"/>
      </w:pPr>
      <w:r>
        <w:rPr>
          <w:rFonts w:ascii="Times New Roman" w:hAnsi="Times New Roman"/>
          <w:b/>
          <w:i w:val="0"/>
          <w:sz w:val="24"/>
          <w:rFonts w:ascii="Times New Roman" w:hAnsi="Times New Roman" w:cs="Times New Roman"/>
        </w:rPr>
        <w:t>6.5 COST ANALYSIS</w:t>
      </w:r>
    </w:p>
    <w:p>
      <w:pPr>
        <w:spacing w:after="120" w:before="0" w:line="360" w:lineRule="auto"/>
        <w:jc w:val="both"/>
      </w:pPr>
      <w:r>
        <w:rPr>
          <w:rFonts w:ascii="Times New Roman" w:hAnsi="Times New Roman"/>
          <w:b w:val="0"/>
          <w:i w:val="0"/>
          <w:sz w:val="24"/>
          <w:rFonts w:ascii="Times New Roman" w:hAnsi="Times New Roman" w:cs="Times New Roman"/>
        </w:rPr>
        <w:t>AI Legal Contract Risk Analyzer was developed as an academic project leveraging modern open-source software (FastAPI, React, SQLite/PostgreSQL, FAISS) and free-tier cloud AI APIs (Groq Cloud API). The system requires zero commercial software licensing fees. When deployed at production scale, the operational expenses consist strictly of cloud hosting (e.g. AWS/Render at ~$15/month) and pay-as-you-go LLM API tokens (~$0.002 per contract analysis), representing a 99.9% cost reduction compared to commercial enterprise CLM software costing upwards of $10,000 annually.</w:t>
      </w:r>
    </w:p>
    <w:p>
      <w:pPr>
        <w:spacing w:before="240" w:after="120" w:line="360" w:lineRule="auto"/>
        <w:jc w:val="left"/>
      </w:pPr>
      <w:r>
        <w:rPr>
          <w:rFonts w:ascii="Times New Roman" w:hAnsi="Times New Roman"/>
          <w:b/>
          <w:i w:val="0"/>
          <w:sz w:val="24"/>
          <w:rFonts w:ascii="Times New Roman" w:hAnsi="Times New Roman" w:cs="Times New Roman"/>
        </w:rPr>
        <w:t>6.6 USEFULNESS TO SOCIETY</w:t>
      </w:r>
    </w:p>
    <w:p>
      <w:pPr>
        <w:spacing w:after="120" w:before="0" w:line="360" w:lineRule="auto"/>
        <w:jc w:val="both"/>
      </w:pPr>
      <w:r>
        <w:rPr>
          <w:rFonts w:ascii="Times New Roman" w:hAnsi="Times New Roman"/>
          <w:b w:val="0"/>
          <w:i w:val="0"/>
          <w:sz w:val="24"/>
          <w:rFonts w:ascii="Times New Roman" w:hAnsi="Times New Roman" w:cs="Times New Roman"/>
        </w:rPr>
        <w:t>The social impact of this project is substantial. Millions of freelance contractors, early-stage startup founders, and college graduates sign binding contracts without the financial means to consult attorneys. By transforming dense, intimidating legal contracts into clear, plain-language risk breakdowns with concrete redlines and translated regional versions, AI Legal Contract Risk Analyzer levels the playing field and protects vulnerable parties from predatory covenants and financial ruin.</w:t>
      </w:r>
    </w:p>
    <w:p>
      <w:pPr>
        <w:spacing w:before="240" w:after="120" w:line="360" w:lineRule="auto"/>
        <w:jc w:val="left"/>
      </w:pPr>
      <w:r>
        <w:rPr>
          <w:rFonts w:ascii="Times New Roman" w:hAnsi="Times New Roman"/>
          <w:b/>
          <w:i w:val="0"/>
          <w:sz w:val="24"/>
          <w:rFonts w:ascii="Times New Roman" w:hAnsi="Times New Roman" w:cs="Times New Roman"/>
        </w:rPr>
        <w:t>6.7 ENVIRONMENTAL SAFETY</w:t>
      </w:r>
    </w:p>
    <w:p>
      <w:pPr>
        <w:spacing w:after="120" w:before="0" w:line="360" w:lineRule="auto"/>
        <w:jc w:val="both"/>
      </w:pPr>
      <w:r>
        <w:rPr>
          <w:rFonts w:ascii="Times New Roman" w:hAnsi="Times New Roman"/>
          <w:b w:val="0"/>
          <w:i w:val="0"/>
          <w:sz w:val="24"/>
          <w:rFonts w:ascii="Times New Roman" w:hAnsi="Times New Roman" w:cs="Times New Roman"/>
        </w:rPr>
        <w:t>As a software-only application, the platform generates zero direct physical emissions or chemical waste. Furthermore, by utilizing specialized Groq LPU hardware acceleration and local FAISS vector indexing rather than training monolithic models from scratch, the system maximizes computational energy efficiency and minimizes carbon footprint.</w:t>
      </w:r>
    </w:p>
    <w:p>
      <w:pPr>
        <w:spacing w:before="240" w:after="120" w:line="360" w:lineRule="auto"/>
        <w:jc w:val="left"/>
      </w:pPr>
      <w:r>
        <w:rPr>
          <w:rFonts w:ascii="Times New Roman" w:hAnsi="Times New Roman"/>
          <w:b/>
          <w:i w:val="0"/>
          <w:sz w:val="24"/>
          <w:rFonts w:ascii="Times New Roman" w:hAnsi="Times New Roman" w:cs="Times New Roman"/>
        </w:rPr>
        <w:t>6.8 DISCUSSION</w:t>
      </w:r>
    </w:p>
    <w:p>
      <w:pPr>
        <w:spacing w:after="120" w:before="0" w:line="360" w:lineRule="auto"/>
        <w:jc w:val="both"/>
      </w:pPr>
      <w:r>
        <w:rPr>
          <w:rFonts w:ascii="Times New Roman" w:hAnsi="Times New Roman"/>
          <w:b w:val="0"/>
          <w:i w:val="0"/>
          <w:sz w:val="24"/>
          <w:rFonts w:ascii="Times New Roman" w:hAnsi="Times New Roman" w:cs="Times New Roman"/>
        </w:rPr>
        <w:t>The empirical findings validate the primary architectural hypothesis: pairing deterministic semantic vector retrieval with structured-schema LLM reasoning produces an exceptionally capable, accurate, and trustworthy legal co-pilot. Grounding all responses in retrieved contract excerpts eliminates hallucination, while structured schema enforcement ensures seamless frontend integration.</w:t>
      </w:r>
    </w:p>
    <w:p>
      <w:r>
        <w:br w:type="page"/>
      </w:r>
    </w:p>
    <w:p>
      <w:pPr>
        <w:spacing w:before="240" w:after="360" w:line="360" w:lineRule="auto"/>
        <w:jc w:val="center"/>
      </w:pPr>
      <w:r>
        <w:rPr>
          <w:rFonts w:ascii="Times New Roman" w:hAnsi="Times New Roman"/>
          <w:b/>
          <w:i w:val="0"/>
          <w:sz w:val="28"/>
          <w:rFonts w:ascii="Times New Roman" w:hAnsi="Times New Roman" w:cs="Times New Roman"/>
        </w:rPr>
        <w:t>CHAPTER 7 - TEST CASES</w:t>
      </w:r>
    </w:p>
    <w:p>
      <w:pPr>
        <w:spacing w:after="120" w:before="0" w:line="360" w:lineRule="auto"/>
        <w:jc w:val="both"/>
      </w:pPr>
      <w:r>
        <w:rPr>
          <w:rFonts w:ascii="Times New Roman" w:hAnsi="Times New Roman"/>
          <w:b w:val="0"/>
          <w:i w:val="0"/>
          <w:sz w:val="24"/>
          <w:rFonts w:ascii="Times New Roman" w:hAnsi="Times New Roman" w:cs="Times New Roman"/>
        </w:rPr>
        <w:t>Software testing is an essential verification phase confirming that all functional and non-functional requirements are satisfied without regression. The AI Legal Contract Risk Analyzer was comprehensively verified through automated integration suites, API endpoint tests, and live end-to-end browser walkthroughs. Table 7.1 documents the 16 principal functional test cases covering the entire application lifecycle; every test case passed with zero defects.</w:t>
      </w:r>
    </w:p>
    <w:p>
      <w:pPr>
        <w:spacing w:before="160" w:after="80"/>
        <w:jc w:val="center"/>
      </w:pPr>
      <w:r>
        <w:rPr>
          <w:rFonts w:ascii="Times New Roman" w:hAnsi="Times New Roman"/>
          <w:b/>
          <w:i w:val="0"/>
          <w:sz w:val="22"/>
          <w:rFonts w:ascii="Times New Roman" w:hAnsi="Times New Roman" w:cs="Times New Roman"/>
        </w:rPr>
        <w:t>Table 7.1: Comprehensive functional test cases</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1385"/>
        <w:gridCol w:w="1385"/>
        <w:gridCol w:w="1385"/>
        <w:gridCol w:w="1385"/>
        <w:gridCol w:w="1385"/>
        <w:gridCol w:w="1385"/>
      </w:tblGrid>
      <w:tr>
        <w:tc>
          <w:tcPr>
            <w:tcW w:type="dxa" w:w="864"/>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Test ID</w:t>
            </w:r>
          </w:p>
        </w:tc>
        <w:tc>
          <w:tcPr>
            <w:tcW w:type="dxa" w:w="187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Description</w:t>
            </w:r>
          </w:p>
        </w:tc>
        <w:tc>
          <w:tcPr>
            <w:tcW w:type="dxa" w:w="187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Input Data</w:t>
            </w:r>
          </w:p>
        </w:tc>
        <w:tc>
          <w:tcPr>
            <w:tcW w:type="dxa" w:w="216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Expected Result</w:t>
            </w:r>
          </w:p>
        </w:tc>
        <w:tc>
          <w:tcPr>
            <w:tcW w:type="dxa" w:w="259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Actual Result</w:t>
            </w:r>
          </w:p>
        </w:tc>
        <w:tc>
          <w:tcPr>
            <w:tcW w:type="dxa" w:w="864"/>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Status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TC01</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User Registration</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Full Name, Valid Email, Strong Password</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User account created; 201 response</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Account created successfully (201 Created)</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TC02</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Duplicate Registration</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Existing registered email address</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Registration rejected; 400 Bad Request</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HTTP 400 'Email already registered'</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TC03</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Valid User Login</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Registered email and correct password</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JWT access token issued; 200 OK</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JWT token received; dashboard accessible</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TC04</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Invalid Password Login</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Registered email and wrong password</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Authentication rejected; 401 Unauthorized</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HTTP 401 'Incorrect email or password'</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TC05</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Contract PDF Ingestion</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Upload standard digital PDF contract</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Text extracted; Contract record created</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14,820 chars extracted; ID 12 assigned</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TC06</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Contract DOCX Ingestion</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Upload Microsoft Word (.docx) agreement</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Paragraphs and tables parsed</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22,410 chars extracted; status 201</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TC07</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Scanned Contract OCR</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Upload scanned contract image (PNG/JPG)</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EasyOCR extracts readable text</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3,150 chars extracted successfully</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TC08</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Empty File Rejection</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Upload 0-byte or unreadable file</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Validation error 400 returned</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HTTP 400 'No readable text in file'</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TC09</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Semantic Vector Indexing</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Raw contract text from ingested file</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FAISS IndexFlatIP populated (384-dim)</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14 chunks embedded; index built in 0.38s</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TC10</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Structured Risk Analysis</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Trigger analysis for Contract #12</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Complete structured JSON with 0-100 score</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Risk Score: 78/100; 9 flagged clauses</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TC11</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Contextual RAG Q&amp;A</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Query: 'Can vendor terminate anytime?'</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Answer quoted strictly from Section 5</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Correctly cited Section 5 (10-day notice)</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TC12</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Clause Comparison</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Vendor Indemnity vs Standard Clause</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Side-by-side display with risk delta</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Unilateral indemnity correctly highlighted</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TC13</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Version Diff &amp; Risk Shift</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Upload Draft v1.0 and Revised v1.1</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Unified redline diff &amp; -36 point delta</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Risk reduced from 78 to 42; 4 clauses added</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TC14</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Obligations Extraction</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Extract dates and deadlines from #12</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Chronological table of financial/legal duties</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6 obligations extracted with due dates</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TC15</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Multilingual Translation</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Translate Section 2 into Telugu</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Accurate legal Telugu translation</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Accurate Telugu script rendered and downloadable</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r>
        <w:tc>
          <w:tcPr>
            <w:tcW w:type="dxa" w:w="864"/>
            <w:vAlign w:val="center"/>
          </w:tcPr>
          <w:p>
            <w:pPr>
              <w:spacing w:before="60" w:after="60" w:line="276" w:lineRule="auto"/>
              <w:jc w:val="center"/>
            </w:pPr>
            <w:r>
              <w:rPr>
                <w:rFonts w:ascii="Times New Roman" w:hAnsi="Times New Roman"/>
                <w:b w:val="0"/>
                <w:i w:val="0"/>
                <w:sz w:val="19"/>
                <w:rFonts w:ascii="Times New Roman" w:hAnsi="Times New Roman" w:cs="Times New Roman"/>
              </w:rPr>
              <w:t>TC16</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PDF Report Generation</w:t>
            </w:r>
          </w:p>
        </w:tc>
        <w:tc>
          <w:tcPr>
            <w:tcW w:type="dxa" w:w="1872"/>
            <w:vAlign w:val="center"/>
          </w:tcPr>
          <w:p>
            <w:pPr>
              <w:spacing w:before="60" w:after="60" w:line="276" w:lineRule="auto"/>
              <w:jc w:val="left"/>
            </w:pPr>
            <w:r>
              <w:rPr>
                <w:rFonts w:ascii="Times New Roman" w:hAnsi="Times New Roman"/>
                <w:b w:val="0"/>
                <w:i w:val="0"/>
                <w:sz w:val="19"/>
                <w:rFonts w:ascii="Times New Roman" w:hAnsi="Times New Roman" w:cs="Times New Roman"/>
              </w:rPr>
              <w:t>Request PDF export for Contract #12</w:t>
            </w:r>
          </w:p>
        </w:tc>
        <w:tc>
          <w:tcPr>
            <w:tcW w:type="dxa" w:w="2160"/>
            <w:vAlign w:val="center"/>
          </w:tcPr>
          <w:p>
            <w:pPr>
              <w:spacing w:before="60" w:after="60" w:line="276" w:lineRule="auto"/>
              <w:jc w:val="left"/>
            </w:pPr>
            <w:r>
              <w:rPr>
                <w:rFonts w:ascii="Times New Roman" w:hAnsi="Times New Roman"/>
                <w:b w:val="0"/>
                <w:i w:val="0"/>
                <w:sz w:val="19"/>
                <w:rFonts w:ascii="Times New Roman" w:hAnsi="Times New Roman" w:cs="Times New Roman"/>
              </w:rPr>
              <w:t>ReportLab generates styled PDF audit dossier</w:t>
            </w:r>
          </w:p>
        </w:tc>
        <w:tc>
          <w:tcPr>
            <w:tcW w:type="dxa" w:w="2592"/>
            <w:vAlign w:val="center"/>
          </w:tcPr>
          <w:p>
            <w:pPr>
              <w:spacing w:before="60" w:after="60" w:line="276" w:lineRule="auto"/>
              <w:jc w:val="left"/>
            </w:pPr>
            <w:r>
              <w:rPr>
                <w:rFonts w:ascii="Times New Roman" w:hAnsi="Times New Roman"/>
                <w:b w:val="0"/>
                <w:i w:val="0"/>
                <w:sz w:val="19"/>
                <w:rFonts w:ascii="Times New Roman" w:hAnsi="Times New Roman" w:cs="Times New Roman"/>
              </w:rPr>
              <w:t>Valid PDF generated (29,410 bytes, verified)</w:t>
            </w:r>
          </w:p>
        </w:tc>
        <w:tc>
          <w:tcPr>
            <w:tcW w:type="dxa" w:w="864"/>
            <w:vAlign w:val="center"/>
          </w:tcPr>
          <w:p>
            <w:pPr>
              <w:spacing w:before="60" w:after="60" w:line="276" w:lineRule="auto"/>
              <w:jc w:val="left"/>
            </w:pPr>
            <w:r>
              <w:rPr>
                <w:rFonts w:ascii="Times New Roman" w:hAnsi="Times New Roman"/>
                <w:b w:val="0"/>
                <w:i w:val="0"/>
                <w:sz w:val="19"/>
                <w:rFonts w:ascii="Times New Roman" w:hAnsi="Times New Roman" w:cs="Times New Roman"/>
              </w:rPr>
              <w:t>PASS</w:t>
            </w:r>
          </w:p>
        </w:tc>
      </w:tr>
    </w:tbl>
    <w:p>
      <w:pPr>
        <w:spacing w:after="160"/>
      </w:pPr>
    </w:p>
    <w:p>
      <w:r>
        <w:br w:type="page"/>
      </w:r>
    </w:p>
    <w:p>
      <w:pPr>
        <w:spacing w:before="240" w:after="360" w:line="360" w:lineRule="auto"/>
        <w:jc w:val="center"/>
      </w:pPr>
      <w:r>
        <w:rPr>
          <w:rFonts w:ascii="Times New Roman" w:hAnsi="Times New Roman"/>
          <w:b/>
          <w:i w:val="0"/>
          <w:sz w:val="28"/>
          <w:rFonts w:ascii="Times New Roman" w:hAnsi="Times New Roman" w:cs="Times New Roman"/>
        </w:rPr>
        <w:t>CHAPTER 8 - SCREENSHOTS</w:t>
      </w:r>
    </w:p>
    <w:p>
      <w:pPr>
        <w:spacing w:after="120" w:before="0" w:line="360" w:lineRule="auto"/>
        <w:jc w:val="both"/>
      </w:pPr>
      <w:r>
        <w:rPr>
          <w:rFonts w:ascii="Times New Roman" w:hAnsi="Times New Roman"/>
          <w:b w:val="0"/>
          <w:i w:val="0"/>
          <w:sz w:val="24"/>
          <w:rFonts w:ascii="Times New Roman" w:hAnsi="Times New Roman" w:cs="Times New Roman"/>
        </w:rPr>
        <w:t>This chapter presents an exhaustive, end-to-end visual walkthrough of the AI Legal Contract Risk Analyzer application. The figures illustrate the system exactly in the sequence experienced by an end-user: from initial platform discovery and authentication through document ingestion, risk dashboard exploration, deep clause inspection, missing protection auditing, interactive RAG Q&amp;A, clause comparison, version diffing, obligation extraction, multilingual translation, audit logging, and formal PDF report export.</w:t>
      </w:r>
    </w:p>
    <w:p>
      <w:pPr>
        <w:spacing w:before="240" w:after="120" w:line="360" w:lineRule="auto"/>
        <w:jc w:val="left"/>
      </w:pPr>
      <w:r>
        <w:rPr>
          <w:rFonts w:ascii="Times New Roman" w:hAnsi="Times New Roman"/>
          <w:b/>
          <w:i w:val="0"/>
          <w:sz w:val="24"/>
          <w:rFonts w:ascii="Times New Roman" w:hAnsi="Times New Roman" w:cs="Times New Roman"/>
        </w:rPr>
        <w:t>8.1 LANDING PAGE &amp; HERO DASHBOARD</w:t>
      </w:r>
    </w:p>
    <w:p>
      <w:pPr>
        <w:spacing w:after="120" w:before="0" w:line="360" w:lineRule="auto"/>
        <w:jc w:val="both"/>
      </w:pPr>
      <w:r>
        <w:rPr>
          <w:rFonts w:ascii="Times New Roman" w:hAnsi="Times New Roman"/>
          <w:b w:val="0"/>
          <w:i w:val="0"/>
          <w:sz w:val="24"/>
          <w:rFonts w:ascii="Times New Roman" w:hAnsi="Times New Roman" w:cs="Times New Roman"/>
        </w:rPr>
        <w:t>Figure 8.1 depicts the landing page of the AI Legal Contract Risk Analyzer platform. It features a modern dark-themed hero interface that introduces the platform's core value proposition, key feature highlights, and direct calls-to-action for instant contract evaluation.</w:t>
      </w:r>
    </w:p>
    <w:p>
      <w:pPr>
        <w:spacing w:before="120" w:after="80"/>
        <w:jc w:val="center"/>
      </w:pPr>
      <w:r>
        <w:drawing>
          <wp:inline xmlns:a="http://schemas.openxmlformats.org/drawingml/2006/main" xmlns:pic="http://schemas.openxmlformats.org/drawingml/2006/picture">
            <wp:extent cx="5303520" cy="3221424"/>
            <wp:docPr id="14" name="Picture 14"/>
            <wp:cNvGraphicFramePr>
              <a:graphicFrameLocks noChangeAspect="1"/>
            </wp:cNvGraphicFramePr>
            <a:graphic>
              <a:graphicData uri="http://schemas.openxmlformats.org/drawingml/2006/picture">
                <pic:pic>
                  <pic:nvPicPr>
                    <pic:cNvPr id="0" name="fig_8_1_landing.png"/>
                    <pic:cNvPicPr/>
                  </pic:nvPicPr>
                  <pic:blipFill>
                    <a:blip r:embed="rId23"/>
                    <a:stretch>
                      <a:fillRect/>
                    </a:stretch>
                  </pic:blipFill>
                  <pic:spPr>
                    <a:xfrm>
                      <a:off x="0" y="0"/>
                      <a:ext cx="5303520" cy="3221424"/>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8.1: AI Legal Contract Risk Analyzer landing page and hero section</w:t>
      </w:r>
    </w:p>
    <w:p>
      <w:pPr>
        <w:spacing w:before="240" w:after="120" w:line="360" w:lineRule="auto"/>
        <w:jc w:val="left"/>
      </w:pPr>
      <w:r>
        <w:rPr>
          <w:rFonts w:ascii="Times New Roman" w:hAnsi="Times New Roman"/>
          <w:b/>
          <w:i w:val="0"/>
          <w:sz w:val="24"/>
          <w:rFonts w:ascii="Times New Roman" w:hAnsi="Times New Roman" w:cs="Times New Roman"/>
        </w:rPr>
        <w:t>8.2 USER AUTHENTICATION &amp; LOGIN</w:t>
      </w:r>
    </w:p>
    <w:p>
      <w:pPr>
        <w:spacing w:after="120" w:before="0" w:line="360" w:lineRule="auto"/>
        <w:jc w:val="both"/>
      </w:pPr>
      <w:r>
        <w:rPr>
          <w:rFonts w:ascii="Times New Roman" w:hAnsi="Times New Roman"/>
          <w:b w:val="0"/>
          <w:i w:val="0"/>
          <w:sz w:val="24"/>
          <w:rFonts w:ascii="Times New Roman" w:hAnsi="Times New Roman" w:cs="Times New Roman"/>
        </w:rPr>
        <w:t>Figure 8.2 illustrates the secure user login interface. The application enforces strong password security, bcrypt/Argon2 credential hashing, and stateless JSON Web Token (JWT) session authorization.</w:t>
      </w:r>
    </w:p>
    <w:p>
      <w:pPr>
        <w:spacing w:before="120" w:after="80"/>
        <w:jc w:val="center"/>
      </w:pPr>
      <w:r>
        <w:drawing>
          <wp:inline xmlns:a="http://schemas.openxmlformats.org/drawingml/2006/main" xmlns:pic="http://schemas.openxmlformats.org/drawingml/2006/picture">
            <wp:extent cx="5029200" cy="2997200"/>
            <wp:docPr id="15" name="Picture 15"/>
            <wp:cNvGraphicFramePr>
              <a:graphicFrameLocks noChangeAspect="1"/>
            </wp:cNvGraphicFramePr>
            <a:graphic>
              <a:graphicData uri="http://schemas.openxmlformats.org/drawingml/2006/picture">
                <pic:pic>
                  <pic:nvPicPr>
                    <pic:cNvPr id="0" name="fig_8_2_auth.png"/>
                    <pic:cNvPicPr/>
                  </pic:nvPicPr>
                  <pic:blipFill>
                    <a:blip r:embed="rId24"/>
                    <a:stretch>
                      <a:fillRect/>
                    </a:stretch>
                  </pic:blipFill>
                  <pic:spPr>
                    <a:xfrm>
                      <a:off x="0" y="0"/>
                      <a:ext cx="5029200" cy="2997200"/>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8.2: User authentication and JWT login interface</w:t>
      </w:r>
    </w:p>
    <w:p>
      <w:pPr>
        <w:spacing w:before="240" w:after="120" w:line="360" w:lineRule="auto"/>
        <w:jc w:val="left"/>
      </w:pPr>
      <w:r>
        <w:rPr>
          <w:rFonts w:ascii="Times New Roman" w:hAnsi="Times New Roman"/>
          <w:b/>
          <w:i w:val="0"/>
          <w:sz w:val="24"/>
          <w:rFonts w:ascii="Times New Roman" w:hAnsi="Times New Roman" w:cs="Times New Roman"/>
        </w:rPr>
        <w:t>8.3 CONTRACT UPLOAD &amp; DOCUMENT INGESTION</w:t>
      </w:r>
    </w:p>
    <w:p>
      <w:pPr>
        <w:spacing w:after="120" w:before="0" w:line="360" w:lineRule="auto"/>
        <w:jc w:val="both"/>
      </w:pPr>
      <w:r>
        <w:rPr>
          <w:rFonts w:ascii="Times New Roman" w:hAnsi="Times New Roman"/>
          <w:b w:val="0"/>
          <w:i w:val="0"/>
          <w:sz w:val="24"/>
          <w:rFonts w:ascii="Times New Roman" w:hAnsi="Times New Roman" w:cs="Times New Roman"/>
        </w:rPr>
        <w:t>Figure 8.3 shows the drag-and-drop document upload interface supporting PDF, DOCX, scanned contract images (OCR), and plaintext. The table lists recently ingested contracts with their upload timestamps and current analysis status.</w:t>
      </w:r>
    </w:p>
    <w:p>
      <w:pPr>
        <w:spacing w:before="120" w:after="80"/>
        <w:jc w:val="center"/>
      </w:pPr>
      <w:r>
        <w:drawing>
          <wp:inline xmlns:a="http://schemas.openxmlformats.org/drawingml/2006/main" xmlns:pic="http://schemas.openxmlformats.org/drawingml/2006/picture">
            <wp:extent cx="5303520" cy="3176728"/>
            <wp:docPr id="16" name="Picture 16"/>
            <wp:cNvGraphicFramePr>
              <a:graphicFrameLocks noChangeAspect="1"/>
            </wp:cNvGraphicFramePr>
            <a:graphic>
              <a:graphicData uri="http://schemas.openxmlformats.org/drawingml/2006/picture">
                <pic:pic>
                  <pic:nvPicPr>
                    <pic:cNvPr id="0" name="fig_8_3_upload.png"/>
                    <pic:cNvPicPr/>
                  </pic:nvPicPr>
                  <pic:blipFill>
                    <a:blip r:embed="rId25"/>
                    <a:stretch>
                      <a:fillRect/>
                    </a:stretch>
                  </pic:blipFill>
                  <pic:spPr>
                    <a:xfrm>
                      <a:off x="0" y="0"/>
                      <a:ext cx="5303520" cy="3176728"/>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8.3: Contract upload and document ingestion interface</w:t>
      </w:r>
    </w:p>
    <w:p>
      <w:pPr>
        <w:spacing w:before="240" w:after="120" w:line="360" w:lineRule="auto"/>
        <w:jc w:val="left"/>
      </w:pPr>
      <w:r>
        <w:rPr>
          <w:rFonts w:ascii="Times New Roman" w:hAnsi="Times New Roman"/>
          <w:b/>
          <w:i w:val="0"/>
          <w:sz w:val="24"/>
          <w:rFonts w:ascii="Times New Roman" w:hAnsi="Times New Roman" w:cs="Times New Roman"/>
        </w:rPr>
        <w:t>8.4 CONTRACT DETAILS &amp; RAW TEXT PREVIEW</w:t>
      </w:r>
    </w:p>
    <w:p>
      <w:pPr>
        <w:spacing w:after="120" w:before="0" w:line="360" w:lineRule="auto"/>
        <w:jc w:val="both"/>
      </w:pPr>
      <w:r>
        <w:rPr>
          <w:rFonts w:ascii="Times New Roman" w:hAnsi="Times New Roman"/>
          <w:b w:val="0"/>
          <w:i w:val="0"/>
          <w:sz w:val="24"/>
          <w:rFonts w:ascii="Times New Roman" w:hAnsi="Times New Roman" w:cs="Times New Roman"/>
        </w:rPr>
        <w:t>Figure 8.4 illustrates the contract details view, rendering the extracted, normalized, and chunked text preview for Contract #12 (Commercial Vendor Agreement).</w:t>
      </w:r>
    </w:p>
    <w:p>
      <w:pPr>
        <w:spacing w:before="120" w:after="80"/>
        <w:jc w:val="center"/>
      </w:pPr>
      <w:r>
        <w:drawing>
          <wp:inline xmlns:a="http://schemas.openxmlformats.org/drawingml/2006/main" xmlns:pic="http://schemas.openxmlformats.org/drawingml/2006/picture">
            <wp:extent cx="5303520" cy="3292610"/>
            <wp:docPr id="17" name="Picture 17"/>
            <wp:cNvGraphicFramePr>
              <a:graphicFrameLocks noChangeAspect="1"/>
            </wp:cNvGraphicFramePr>
            <a:graphic>
              <a:graphicData uri="http://schemas.openxmlformats.org/drawingml/2006/picture">
                <pic:pic>
                  <pic:nvPicPr>
                    <pic:cNvPr id="0" name="fig_8_4_contract_detail.png"/>
                    <pic:cNvPicPr/>
                  </pic:nvPicPr>
                  <pic:blipFill>
                    <a:blip r:embed="rId26"/>
                    <a:stretch>
                      <a:fillRect/>
                    </a:stretch>
                  </pic:blipFill>
                  <pic:spPr>
                    <a:xfrm>
                      <a:off x="0" y="0"/>
                      <a:ext cx="5303520" cy="3292610"/>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8.4: Contract details view and raw text preview</w:t>
      </w:r>
    </w:p>
    <w:p>
      <w:pPr>
        <w:spacing w:before="240" w:after="120" w:line="360" w:lineRule="auto"/>
        <w:jc w:val="left"/>
      </w:pPr>
      <w:r>
        <w:rPr>
          <w:rFonts w:ascii="Times New Roman" w:hAnsi="Times New Roman"/>
          <w:b/>
          <w:i w:val="0"/>
          <w:sz w:val="24"/>
          <w:rFonts w:ascii="Times New Roman" w:hAnsi="Times New Roman" w:cs="Times New Roman"/>
        </w:rPr>
        <w:t>8.5 COMPREHENSIVE CONTRACT RISK ASSESSMENT DASHBOARD</w:t>
      </w:r>
    </w:p>
    <w:p>
      <w:pPr>
        <w:spacing w:after="120" w:before="0" w:line="360" w:lineRule="auto"/>
        <w:jc w:val="both"/>
      </w:pPr>
      <w:r>
        <w:rPr>
          <w:rFonts w:ascii="Times New Roman" w:hAnsi="Times New Roman"/>
          <w:b w:val="0"/>
          <w:i w:val="0"/>
          <w:sz w:val="24"/>
          <w:rFonts w:ascii="Times New Roman" w:hAnsi="Times New Roman" w:cs="Times New Roman"/>
        </w:rPr>
        <w:t>Figure 8.5 presents the executive risk overview dashboard. It features an overall risk score gauge (78/100, High Risk), an AI-generated executive summary, and quantitative metric summary cards.</w:t>
      </w:r>
    </w:p>
    <w:p>
      <w:pPr>
        <w:spacing w:before="120" w:after="80"/>
        <w:jc w:val="center"/>
      </w:pPr>
      <w:r>
        <w:drawing>
          <wp:inline xmlns:a="http://schemas.openxmlformats.org/drawingml/2006/main" xmlns:pic="http://schemas.openxmlformats.org/drawingml/2006/picture">
            <wp:extent cx="5303520" cy="3388892"/>
            <wp:docPr id="18" name="Picture 18"/>
            <wp:cNvGraphicFramePr>
              <a:graphicFrameLocks noChangeAspect="1"/>
            </wp:cNvGraphicFramePr>
            <a:graphic>
              <a:graphicData uri="http://schemas.openxmlformats.org/drawingml/2006/picture">
                <pic:pic>
                  <pic:nvPicPr>
                    <pic:cNvPr id="0" name="fig_8_5_risk_dashboard.png"/>
                    <pic:cNvPicPr/>
                  </pic:nvPicPr>
                  <pic:blipFill>
                    <a:blip r:embed="rId27"/>
                    <a:stretch>
                      <a:fillRect/>
                    </a:stretch>
                  </pic:blipFill>
                  <pic:spPr>
                    <a:xfrm>
                      <a:off x="0" y="0"/>
                      <a:ext cx="5303520" cy="3388892"/>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8.5: Comprehensive contract risk assessment dashboard with health score</w:t>
      </w:r>
    </w:p>
    <w:p>
      <w:pPr>
        <w:spacing w:before="240" w:after="120" w:line="360" w:lineRule="auto"/>
        <w:jc w:val="left"/>
      </w:pPr>
      <w:r>
        <w:rPr>
          <w:rFonts w:ascii="Times New Roman" w:hAnsi="Times New Roman"/>
          <w:b/>
          <w:i w:val="0"/>
          <w:sz w:val="24"/>
          <w:rFonts w:ascii="Times New Roman" w:hAnsi="Times New Roman" w:cs="Times New Roman"/>
        </w:rPr>
        <w:t>8.6 CATEGORY-WISE RISK BREAKDOWN</w:t>
      </w:r>
    </w:p>
    <w:p>
      <w:pPr>
        <w:spacing w:after="120" w:before="0" w:line="360" w:lineRule="auto"/>
        <w:jc w:val="both"/>
      </w:pPr>
      <w:r>
        <w:rPr>
          <w:rFonts w:ascii="Times New Roman" w:hAnsi="Times New Roman"/>
          <w:b w:val="0"/>
          <w:i w:val="0"/>
          <w:sz w:val="24"/>
          <w:rFonts w:ascii="Times New Roman" w:hAnsi="Times New Roman" w:cs="Times New Roman"/>
        </w:rPr>
        <w:t>Figure 8.6 displays the granular category-wise risk breakdown across Intellectual Property (90/100), Liability (85/100), Fees and Payment Penalties (80/100), Scope Modifications (75/100), Termination Rights (65/100), and Data Privacy (60/100).</w:t>
      </w:r>
    </w:p>
    <w:p>
      <w:pPr>
        <w:spacing w:before="120" w:after="80"/>
        <w:jc w:val="center"/>
      </w:pPr>
      <w:r>
        <w:drawing>
          <wp:inline xmlns:a="http://schemas.openxmlformats.org/drawingml/2006/main" xmlns:pic="http://schemas.openxmlformats.org/drawingml/2006/picture">
            <wp:extent cx="5303520" cy="3265124"/>
            <wp:docPr id="19" name="Picture 19"/>
            <wp:cNvGraphicFramePr>
              <a:graphicFrameLocks noChangeAspect="1"/>
            </wp:cNvGraphicFramePr>
            <a:graphic>
              <a:graphicData uri="http://schemas.openxmlformats.org/drawingml/2006/picture">
                <pic:pic>
                  <pic:nvPicPr>
                    <pic:cNvPr id="0" name="fig_8_6_category_risks.png"/>
                    <pic:cNvPicPr/>
                  </pic:nvPicPr>
                  <pic:blipFill>
                    <a:blip r:embed="rId28"/>
                    <a:stretch>
                      <a:fillRect/>
                    </a:stretch>
                  </pic:blipFill>
                  <pic:spPr>
                    <a:xfrm>
                      <a:off x="0" y="0"/>
                      <a:ext cx="5303520" cy="3265124"/>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8.6: Category-wise risk breakdown interface</w:t>
      </w:r>
    </w:p>
    <w:p>
      <w:pPr>
        <w:spacing w:before="240" w:after="120" w:line="360" w:lineRule="auto"/>
        <w:jc w:val="left"/>
      </w:pPr>
      <w:r>
        <w:rPr>
          <w:rFonts w:ascii="Times New Roman" w:hAnsi="Times New Roman"/>
          <w:b/>
          <w:i w:val="0"/>
          <w:sz w:val="24"/>
          <w:rFonts w:ascii="Times New Roman" w:hAnsi="Times New Roman" w:cs="Times New Roman"/>
        </w:rPr>
        <w:t>8.7 FLAGGED CLAUSES &amp; REVISION RECOMMENDATIONS</w:t>
      </w:r>
    </w:p>
    <w:p>
      <w:pPr>
        <w:spacing w:after="120" w:before="0" w:line="360" w:lineRule="auto"/>
        <w:jc w:val="both"/>
      </w:pPr>
      <w:r>
        <w:rPr>
          <w:rFonts w:ascii="Times New Roman" w:hAnsi="Times New Roman"/>
          <w:b w:val="0"/>
          <w:i w:val="0"/>
          <w:sz w:val="24"/>
          <w:rFonts w:ascii="Times New Roman" w:hAnsi="Times New Roman" w:cs="Times New Roman"/>
        </w:rPr>
        <w:t>Figure 8.7 depicts the flagged clauses panel showing severity badges, original verbatim contract snippets, legal issue summaries, and ready-to-negotiate suggested redline revisions.</w:t>
      </w:r>
    </w:p>
    <w:p>
      <w:pPr>
        <w:spacing w:before="120" w:after="80"/>
        <w:jc w:val="center"/>
      </w:pPr>
      <w:r>
        <w:drawing>
          <wp:inline xmlns:a="http://schemas.openxmlformats.org/drawingml/2006/main" xmlns:pic="http://schemas.openxmlformats.org/drawingml/2006/picture">
            <wp:extent cx="5303520" cy="2571140"/>
            <wp:docPr id="20" name="Picture 20"/>
            <wp:cNvGraphicFramePr>
              <a:graphicFrameLocks noChangeAspect="1"/>
            </wp:cNvGraphicFramePr>
            <a:graphic>
              <a:graphicData uri="http://schemas.openxmlformats.org/drawingml/2006/picture">
                <pic:pic>
                  <pic:nvPicPr>
                    <pic:cNvPr id="0" name="fig_8_7_flagged_clauses.png"/>
                    <pic:cNvPicPr/>
                  </pic:nvPicPr>
                  <pic:blipFill>
                    <a:blip r:embed="rId29"/>
                    <a:stretch>
                      <a:fillRect/>
                    </a:stretch>
                  </pic:blipFill>
                  <pic:spPr>
                    <a:xfrm>
                      <a:off x="0" y="0"/>
                      <a:ext cx="5303520" cy="2571140"/>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8.7: Flagged clauses view showing severity ratings and redline revisions</w:t>
      </w:r>
    </w:p>
    <w:p>
      <w:pPr>
        <w:spacing w:before="240" w:after="120" w:line="360" w:lineRule="auto"/>
        <w:jc w:val="left"/>
      </w:pPr>
      <w:r>
        <w:rPr>
          <w:rFonts w:ascii="Times New Roman" w:hAnsi="Times New Roman"/>
          <w:b/>
          <w:i w:val="0"/>
          <w:sz w:val="24"/>
          <w:rFonts w:ascii="Times New Roman" w:hAnsi="Times New Roman" w:cs="Times New Roman"/>
        </w:rPr>
        <w:t>8.8 MISSING STANDARD PROTECTIONS PANEL</w:t>
      </w:r>
    </w:p>
    <w:p>
      <w:pPr>
        <w:spacing w:after="120" w:before="0" w:line="360" w:lineRule="auto"/>
        <w:jc w:val="both"/>
      </w:pPr>
      <w:r>
        <w:rPr>
          <w:rFonts w:ascii="Times New Roman" w:hAnsi="Times New Roman"/>
          <w:b w:val="0"/>
          <w:i w:val="0"/>
          <w:sz w:val="24"/>
          <w:rFonts w:ascii="Times New Roman" w:hAnsi="Times New Roman" w:cs="Times New Roman"/>
        </w:rPr>
        <w:t>Figure 8.8 displays the missing standard contractual protections auditor, alerting users to omitted safeguards including Service Level Agreements (SLAs), 72-hour data breach notices, and force majeure provisions.</w:t>
      </w:r>
    </w:p>
    <w:p>
      <w:pPr>
        <w:spacing w:before="120" w:after="80"/>
        <w:jc w:val="center"/>
      </w:pPr>
      <w:r>
        <w:drawing>
          <wp:inline xmlns:a="http://schemas.openxmlformats.org/drawingml/2006/main" xmlns:pic="http://schemas.openxmlformats.org/drawingml/2006/picture">
            <wp:extent cx="5303520" cy="3074756"/>
            <wp:docPr id="21" name="Picture 21"/>
            <wp:cNvGraphicFramePr>
              <a:graphicFrameLocks noChangeAspect="1"/>
            </wp:cNvGraphicFramePr>
            <a:graphic>
              <a:graphicData uri="http://schemas.openxmlformats.org/drawingml/2006/picture">
                <pic:pic>
                  <pic:nvPicPr>
                    <pic:cNvPr id="0" name="fig_8_8_missing_protections.png"/>
                    <pic:cNvPicPr/>
                  </pic:nvPicPr>
                  <pic:blipFill>
                    <a:blip r:embed="rId30"/>
                    <a:stretch>
                      <a:fillRect/>
                    </a:stretch>
                  </pic:blipFill>
                  <pic:spPr>
                    <a:xfrm>
                      <a:off x="0" y="0"/>
                      <a:ext cx="5303520" cy="3074756"/>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8.8: Missing standard contractual protections panel</w:t>
      </w:r>
    </w:p>
    <w:p>
      <w:pPr>
        <w:spacing w:before="240" w:after="120" w:line="360" w:lineRule="auto"/>
        <w:jc w:val="left"/>
      </w:pPr>
      <w:r>
        <w:rPr>
          <w:rFonts w:ascii="Times New Roman" w:hAnsi="Times New Roman"/>
          <w:b/>
          <w:i w:val="0"/>
          <w:sz w:val="24"/>
          <w:rFonts w:ascii="Times New Roman" w:hAnsi="Times New Roman" w:cs="Times New Roman"/>
        </w:rPr>
        <w:t>8.9 ACTIONABLE CONTRACT RECOMMENDATIONS</w:t>
      </w:r>
    </w:p>
    <w:p>
      <w:pPr>
        <w:spacing w:after="120" w:before="0" w:line="360" w:lineRule="auto"/>
        <w:jc w:val="both"/>
      </w:pPr>
      <w:r>
        <w:rPr>
          <w:rFonts w:ascii="Times New Roman" w:hAnsi="Times New Roman"/>
          <w:b w:val="0"/>
          <w:i w:val="0"/>
          <w:sz w:val="24"/>
          <w:rFonts w:ascii="Times New Roman" w:hAnsi="Times New Roman" w:cs="Times New Roman"/>
        </w:rPr>
        <w:t>Figure 8.9 highlights prioritized, actionable negotiation recommendations providing strategic tactical guidance before signing.</w:t>
      </w:r>
    </w:p>
    <w:p>
      <w:pPr>
        <w:spacing w:before="120" w:after="80"/>
        <w:jc w:val="center"/>
      </w:pPr>
      <w:r>
        <w:drawing>
          <wp:inline xmlns:a="http://schemas.openxmlformats.org/drawingml/2006/main" xmlns:pic="http://schemas.openxmlformats.org/drawingml/2006/picture">
            <wp:extent cx="5303520" cy="3228071"/>
            <wp:docPr id="22" name="Picture 22"/>
            <wp:cNvGraphicFramePr>
              <a:graphicFrameLocks noChangeAspect="1"/>
            </wp:cNvGraphicFramePr>
            <a:graphic>
              <a:graphicData uri="http://schemas.openxmlformats.org/drawingml/2006/picture">
                <pic:pic>
                  <pic:nvPicPr>
                    <pic:cNvPr id="0" name="fig_8_9_recommendations.png"/>
                    <pic:cNvPicPr/>
                  </pic:nvPicPr>
                  <pic:blipFill>
                    <a:blip r:embed="rId31"/>
                    <a:stretch>
                      <a:fillRect/>
                    </a:stretch>
                  </pic:blipFill>
                  <pic:spPr>
                    <a:xfrm>
                      <a:off x="0" y="0"/>
                      <a:ext cx="5303520" cy="3228071"/>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8.9: Actionable legal negotiation recommendations</w:t>
      </w:r>
    </w:p>
    <w:p>
      <w:pPr>
        <w:spacing w:before="240" w:after="120" w:line="360" w:lineRule="auto"/>
        <w:jc w:val="left"/>
      </w:pPr>
      <w:r>
        <w:rPr>
          <w:rFonts w:ascii="Times New Roman" w:hAnsi="Times New Roman"/>
          <w:b/>
          <w:i w:val="0"/>
          <w:sz w:val="24"/>
          <w:rFonts w:ascii="Times New Roman" w:hAnsi="Times New Roman" w:cs="Times New Roman"/>
        </w:rPr>
        <w:t>8.10 RAG-BASED INTERACTIVE CONTRACT Q&amp;A CHAT</w:t>
      </w:r>
    </w:p>
    <w:p>
      <w:pPr>
        <w:spacing w:after="120" w:before="0" w:line="360" w:lineRule="auto"/>
        <w:jc w:val="both"/>
      </w:pPr>
      <w:r>
        <w:rPr>
          <w:rFonts w:ascii="Times New Roman" w:hAnsi="Times New Roman"/>
          <w:b w:val="0"/>
          <w:i w:val="0"/>
          <w:sz w:val="24"/>
          <w:rFonts w:ascii="Times New Roman" w:hAnsi="Times New Roman" w:cs="Times New Roman"/>
        </w:rPr>
        <w:t>Figure 8.10 showcases the conversational Q&amp;A interface powered by semantic RAG. User inquiries are answered strictly using retrieved contract chunks with direct section citations.</w:t>
      </w:r>
    </w:p>
    <w:p>
      <w:pPr>
        <w:spacing w:before="120" w:after="80"/>
        <w:jc w:val="center"/>
      </w:pPr>
      <w:r>
        <w:drawing>
          <wp:inline xmlns:a="http://schemas.openxmlformats.org/drawingml/2006/main" xmlns:pic="http://schemas.openxmlformats.org/drawingml/2006/picture">
            <wp:extent cx="5303520" cy="3176728"/>
            <wp:docPr id="23" name="Picture 23"/>
            <wp:cNvGraphicFramePr>
              <a:graphicFrameLocks noChangeAspect="1"/>
            </wp:cNvGraphicFramePr>
            <a:graphic>
              <a:graphicData uri="http://schemas.openxmlformats.org/drawingml/2006/picture">
                <pic:pic>
                  <pic:nvPicPr>
                    <pic:cNvPr id="0" name="fig_8_10_rag_chat.png"/>
                    <pic:cNvPicPr/>
                  </pic:nvPicPr>
                  <pic:blipFill>
                    <a:blip r:embed="rId32"/>
                    <a:stretch>
                      <a:fillRect/>
                    </a:stretch>
                  </pic:blipFill>
                  <pic:spPr>
                    <a:xfrm>
                      <a:off x="0" y="0"/>
                      <a:ext cx="5303520" cy="3176728"/>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8.10: RAG-based interactive contract Q&amp;A chat interface</w:t>
      </w:r>
    </w:p>
    <w:p>
      <w:pPr>
        <w:spacing w:before="240" w:after="120" w:line="360" w:lineRule="auto"/>
        <w:jc w:val="left"/>
      </w:pPr>
      <w:r>
        <w:rPr>
          <w:rFonts w:ascii="Times New Roman" w:hAnsi="Times New Roman"/>
          <w:b/>
          <w:i w:val="0"/>
          <w:sz w:val="24"/>
          <w:rFonts w:ascii="Times New Roman" w:hAnsi="Times New Roman" w:cs="Times New Roman"/>
        </w:rPr>
        <w:t>8.11 SIDE-BY-SIDE CLAUSE COMPARISON</w:t>
      </w:r>
    </w:p>
    <w:p>
      <w:pPr>
        <w:spacing w:after="120" w:before="0" w:line="360" w:lineRule="auto"/>
        <w:jc w:val="both"/>
      </w:pPr>
      <w:r>
        <w:rPr>
          <w:rFonts w:ascii="Times New Roman" w:hAnsi="Times New Roman"/>
          <w:b w:val="0"/>
          <w:i w:val="0"/>
          <w:sz w:val="24"/>
          <w:rFonts w:ascii="Times New Roman" w:hAnsi="Times New Roman" w:cs="Times New Roman"/>
        </w:rPr>
        <w:t>Figure 8.11 presents the side-by-side clause comparison tool, contrasting proposed vendor language against standard safe mutual benchmarks.</w:t>
      </w:r>
    </w:p>
    <w:p>
      <w:pPr>
        <w:spacing w:before="120" w:after="80"/>
        <w:jc w:val="center"/>
      </w:pPr>
      <w:r>
        <w:drawing>
          <wp:inline xmlns:a="http://schemas.openxmlformats.org/drawingml/2006/main" xmlns:pic="http://schemas.openxmlformats.org/drawingml/2006/picture">
            <wp:extent cx="5303520" cy="3176728"/>
            <wp:docPr id="24" name="Picture 24"/>
            <wp:cNvGraphicFramePr>
              <a:graphicFrameLocks noChangeAspect="1"/>
            </wp:cNvGraphicFramePr>
            <a:graphic>
              <a:graphicData uri="http://schemas.openxmlformats.org/drawingml/2006/picture">
                <pic:pic>
                  <pic:nvPicPr>
                    <pic:cNvPr id="0" name="fig_8_11_clause_comparison.png"/>
                    <pic:cNvPicPr/>
                  </pic:nvPicPr>
                  <pic:blipFill>
                    <a:blip r:embed="rId33"/>
                    <a:stretch>
                      <a:fillRect/>
                    </a:stretch>
                  </pic:blipFill>
                  <pic:spPr>
                    <a:xfrm>
                      <a:off x="0" y="0"/>
                      <a:ext cx="5303520" cy="3176728"/>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8.11: Side-by-side clause comparison tool</w:t>
      </w:r>
    </w:p>
    <w:p>
      <w:pPr>
        <w:spacing w:before="240" w:after="120" w:line="360" w:lineRule="auto"/>
        <w:jc w:val="left"/>
      </w:pPr>
      <w:r>
        <w:rPr>
          <w:rFonts w:ascii="Times New Roman" w:hAnsi="Times New Roman"/>
          <w:b/>
          <w:i w:val="0"/>
          <w:sz w:val="24"/>
          <w:rFonts w:ascii="Times New Roman" w:hAnsi="Times New Roman" w:cs="Times New Roman"/>
        </w:rPr>
        <w:t>8.12 CONTRACT VERSION DIFF &amp; RISK SHIFT</w:t>
      </w:r>
    </w:p>
    <w:p>
      <w:pPr>
        <w:spacing w:after="120" w:before="0" w:line="360" w:lineRule="auto"/>
        <w:jc w:val="both"/>
      </w:pPr>
      <w:r>
        <w:rPr>
          <w:rFonts w:ascii="Times New Roman" w:hAnsi="Times New Roman"/>
          <w:b w:val="0"/>
          <w:i w:val="0"/>
          <w:sz w:val="24"/>
          <w:rFonts w:ascii="Times New Roman" w:hAnsi="Times New Roman" w:cs="Times New Roman"/>
        </w:rPr>
        <w:t>Figure 8.12 shows contract version diffing between Draft v1.0 and Revised Draft v1.1, calculating a net -36 point risk improvement alongside redline additions and deletions.</w:t>
      </w:r>
    </w:p>
    <w:p>
      <w:pPr>
        <w:spacing w:before="120" w:after="80"/>
        <w:jc w:val="center"/>
      </w:pPr>
      <w:r>
        <w:drawing>
          <wp:inline xmlns:a="http://schemas.openxmlformats.org/drawingml/2006/main" xmlns:pic="http://schemas.openxmlformats.org/drawingml/2006/picture">
            <wp:extent cx="5303520" cy="3451188"/>
            <wp:docPr id="25" name="Picture 25"/>
            <wp:cNvGraphicFramePr>
              <a:graphicFrameLocks noChangeAspect="1"/>
            </wp:cNvGraphicFramePr>
            <a:graphic>
              <a:graphicData uri="http://schemas.openxmlformats.org/drawingml/2006/picture">
                <pic:pic>
                  <pic:nvPicPr>
                    <pic:cNvPr id="0" name="fig_8_12_version_diff.png"/>
                    <pic:cNvPicPr/>
                  </pic:nvPicPr>
                  <pic:blipFill>
                    <a:blip r:embed="rId34"/>
                    <a:stretch>
                      <a:fillRect/>
                    </a:stretch>
                  </pic:blipFill>
                  <pic:spPr>
                    <a:xfrm>
                      <a:off x="0" y="0"/>
                      <a:ext cx="5303520" cy="3451188"/>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8.12: Contract version diffing and risk shift analysis</w:t>
      </w:r>
    </w:p>
    <w:p>
      <w:pPr>
        <w:spacing w:before="240" w:after="120" w:line="360" w:lineRule="auto"/>
        <w:jc w:val="left"/>
      </w:pPr>
      <w:r>
        <w:rPr>
          <w:rFonts w:ascii="Times New Roman" w:hAnsi="Times New Roman"/>
          <w:b/>
          <w:i w:val="0"/>
          <w:sz w:val="24"/>
          <w:rFonts w:ascii="Times New Roman" w:hAnsi="Times New Roman" w:cs="Times New Roman"/>
        </w:rPr>
        <w:t>8.13 DATES, DEADLINES &amp; OBLIGATIONS TRACKER</w:t>
      </w:r>
    </w:p>
    <w:p>
      <w:pPr>
        <w:spacing w:after="120" w:before="0" w:line="360" w:lineRule="auto"/>
        <w:jc w:val="both"/>
      </w:pPr>
      <w:r>
        <w:rPr>
          <w:rFonts w:ascii="Times New Roman" w:hAnsi="Times New Roman"/>
          <w:b w:val="0"/>
          <w:i w:val="0"/>
          <w:sz w:val="24"/>
          <w:rFonts w:ascii="Times New Roman" w:hAnsi="Times New Roman" w:cs="Times New Roman"/>
        </w:rPr>
        <w:t>Figure 8.13 illustrates the obligations tracker, extracting financial deadlines, milestone delivery dates, and compliance timelines into an actionable table.</w:t>
      </w:r>
    </w:p>
    <w:p>
      <w:pPr>
        <w:spacing w:before="120" w:after="80"/>
        <w:jc w:val="center"/>
      </w:pPr>
      <w:r>
        <w:drawing>
          <wp:inline xmlns:a="http://schemas.openxmlformats.org/drawingml/2006/main" xmlns:pic="http://schemas.openxmlformats.org/drawingml/2006/picture">
            <wp:extent cx="5303520" cy="3392566"/>
            <wp:docPr id="26" name="Picture 26"/>
            <wp:cNvGraphicFramePr>
              <a:graphicFrameLocks noChangeAspect="1"/>
            </wp:cNvGraphicFramePr>
            <a:graphic>
              <a:graphicData uri="http://schemas.openxmlformats.org/drawingml/2006/picture">
                <pic:pic>
                  <pic:nvPicPr>
                    <pic:cNvPr id="0" name="fig_8_13_obligations.png"/>
                    <pic:cNvPicPr/>
                  </pic:nvPicPr>
                  <pic:blipFill>
                    <a:blip r:embed="rId35"/>
                    <a:stretch>
                      <a:fillRect/>
                    </a:stretch>
                  </pic:blipFill>
                  <pic:spPr>
                    <a:xfrm>
                      <a:off x="0" y="0"/>
                      <a:ext cx="5303520" cy="3392566"/>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8.13: Dates, deadlines, and financial obligations tracker</w:t>
      </w:r>
    </w:p>
    <w:p>
      <w:pPr>
        <w:spacing w:before="240" w:after="120" w:line="360" w:lineRule="auto"/>
        <w:jc w:val="left"/>
      </w:pPr>
      <w:r>
        <w:rPr>
          <w:rFonts w:ascii="Times New Roman" w:hAnsi="Times New Roman"/>
          <w:b/>
          <w:i w:val="0"/>
          <w:sz w:val="24"/>
          <w:rFonts w:ascii="Times New Roman" w:hAnsi="Times New Roman" w:cs="Times New Roman"/>
        </w:rPr>
        <w:t>8.14 MULTILINGUAL TRANSLATION INTERFACE</w:t>
      </w:r>
    </w:p>
    <w:p>
      <w:pPr>
        <w:spacing w:after="120" w:before="0" w:line="360" w:lineRule="auto"/>
        <w:jc w:val="both"/>
      </w:pPr>
      <w:r>
        <w:rPr>
          <w:rFonts w:ascii="Times New Roman" w:hAnsi="Times New Roman"/>
          <w:b w:val="0"/>
          <w:i w:val="0"/>
          <w:sz w:val="24"/>
          <w:rFonts w:ascii="Times New Roman" w:hAnsi="Times New Roman" w:cs="Times New Roman"/>
        </w:rPr>
        <w:t>Figure 8.14 presents the multilingual translation interface, rendering English contract clauses into legally faithful Telugu text with downloadable translated documents.</w:t>
      </w:r>
    </w:p>
    <w:p>
      <w:pPr>
        <w:spacing w:before="120" w:after="80"/>
        <w:jc w:val="center"/>
      </w:pPr>
      <w:r>
        <w:drawing>
          <wp:inline xmlns:a="http://schemas.openxmlformats.org/drawingml/2006/main" xmlns:pic="http://schemas.openxmlformats.org/drawingml/2006/picture">
            <wp:extent cx="5303520" cy="3076772"/>
            <wp:docPr id="27" name="Picture 27"/>
            <wp:cNvGraphicFramePr>
              <a:graphicFrameLocks noChangeAspect="1"/>
            </wp:cNvGraphicFramePr>
            <a:graphic>
              <a:graphicData uri="http://schemas.openxmlformats.org/drawingml/2006/picture">
                <pic:pic>
                  <pic:nvPicPr>
                    <pic:cNvPr id="0" name="fig_8_14_language.png"/>
                    <pic:cNvPicPr/>
                  </pic:nvPicPr>
                  <pic:blipFill>
                    <a:blip r:embed="rId36"/>
                    <a:stretch>
                      <a:fillRect/>
                    </a:stretch>
                  </pic:blipFill>
                  <pic:spPr>
                    <a:xfrm>
                      <a:off x="0" y="0"/>
                      <a:ext cx="5303520" cy="3076772"/>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8.14: Multilingual contract translation interface</w:t>
      </w:r>
    </w:p>
    <w:p>
      <w:pPr>
        <w:spacing w:before="240" w:after="120" w:line="360" w:lineRule="auto"/>
        <w:jc w:val="left"/>
      </w:pPr>
      <w:r>
        <w:rPr>
          <w:rFonts w:ascii="Times New Roman" w:hAnsi="Times New Roman"/>
          <w:b/>
          <w:i w:val="0"/>
          <w:sz w:val="24"/>
          <w:rFonts w:ascii="Times New Roman" w:hAnsi="Times New Roman" w:cs="Times New Roman"/>
        </w:rPr>
        <w:t>8.15 USER ACTIVITY &amp; AUDIT LOG VIEWER</w:t>
      </w:r>
    </w:p>
    <w:p>
      <w:pPr>
        <w:spacing w:after="120" w:before="0" w:line="360" w:lineRule="auto"/>
        <w:jc w:val="both"/>
      </w:pPr>
      <w:r>
        <w:rPr>
          <w:rFonts w:ascii="Times New Roman" w:hAnsi="Times New Roman"/>
          <w:b w:val="0"/>
          <w:i w:val="0"/>
          <w:sz w:val="24"/>
          <w:rFonts w:ascii="Times New Roman" w:hAnsi="Times New Roman" w:cs="Times New Roman"/>
        </w:rPr>
        <w:t>Figure 8.15 displays the immutable activity audit log, capturing user subjects, timestamps, endpoints, and HTTP status codes.</w:t>
      </w:r>
    </w:p>
    <w:p>
      <w:pPr>
        <w:spacing w:before="120" w:after="80"/>
        <w:jc w:val="center"/>
      </w:pPr>
      <w:r>
        <w:drawing>
          <wp:inline xmlns:a="http://schemas.openxmlformats.org/drawingml/2006/main" xmlns:pic="http://schemas.openxmlformats.org/drawingml/2006/picture">
            <wp:extent cx="5303520" cy="3446120"/>
            <wp:docPr id="28" name="Picture 28"/>
            <wp:cNvGraphicFramePr>
              <a:graphicFrameLocks noChangeAspect="1"/>
            </wp:cNvGraphicFramePr>
            <a:graphic>
              <a:graphicData uri="http://schemas.openxmlformats.org/drawingml/2006/picture">
                <pic:pic>
                  <pic:nvPicPr>
                    <pic:cNvPr id="0" name="fig_8_15_audit_logs.png"/>
                    <pic:cNvPicPr/>
                  </pic:nvPicPr>
                  <pic:blipFill>
                    <a:blip r:embed="rId37"/>
                    <a:stretch>
                      <a:fillRect/>
                    </a:stretch>
                  </pic:blipFill>
                  <pic:spPr>
                    <a:xfrm>
                      <a:off x="0" y="0"/>
                      <a:ext cx="5303520" cy="3446120"/>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8.15: User activity and cryptographic audit log viewer</w:t>
      </w:r>
    </w:p>
    <w:p>
      <w:pPr>
        <w:spacing w:before="240" w:after="120" w:line="360" w:lineRule="auto"/>
        <w:jc w:val="left"/>
      </w:pPr>
      <w:r>
        <w:rPr>
          <w:rFonts w:ascii="Times New Roman" w:hAnsi="Times New Roman"/>
          <w:b/>
          <w:i w:val="0"/>
          <w:sz w:val="24"/>
          <w:rFonts w:ascii="Times New Roman" w:hAnsi="Times New Roman" w:cs="Times New Roman"/>
        </w:rPr>
        <w:t>8.16 REPORT GENERATION AND EXPORT INTERFACE</w:t>
      </w:r>
    </w:p>
    <w:p>
      <w:pPr>
        <w:spacing w:after="120" w:before="0" w:line="360" w:lineRule="auto"/>
        <w:jc w:val="both"/>
      </w:pPr>
      <w:r>
        <w:rPr>
          <w:rFonts w:ascii="Times New Roman" w:hAnsi="Times New Roman"/>
          <w:b w:val="0"/>
          <w:i w:val="0"/>
          <w:sz w:val="24"/>
          <w:rFonts w:ascii="Times New Roman" w:hAnsi="Times New Roman" w:cs="Times New Roman"/>
        </w:rPr>
        <w:t>Figure 8.16 depicts the report export interface, offering single-click downloads of formal PDF audit dossiers and developer-friendly Markdown reports.</w:t>
      </w:r>
    </w:p>
    <w:p>
      <w:pPr>
        <w:spacing w:before="120" w:after="80"/>
        <w:jc w:val="center"/>
      </w:pPr>
      <w:r>
        <w:drawing>
          <wp:inline xmlns:a="http://schemas.openxmlformats.org/drawingml/2006/main" xmlns:pic="http://schemas.openxmlformats.org/drawingml/2006/picture">
            <wp:extent cx="5303520" cy="3176728"/>
            <wp:docPr id="29" name="Picture 29"/>
            <wp:cNvGraphicFramePr>
              <a:graphicFrameLocks noChangeAspect="1"/>
            </wp:cNvGraphicFramePr>
            <a:graphic>
              <a:graphicData uri="http://schemas.openxmlformats.org/drawingml/2006/picture">
                <pic:pic>
                  <pic:nvPicPr>
                    <pic:cNvPr id="0" name="fig_8_16_report_export.png"/>
                    <pic:cNvPicPr/>
                  </pic:nvPicPr>
                  <pic:blipFill>
                    <a:blip r:embed="rId38"/>
                    <a:stretch>
                      <a:fillRect/>
                    </a:stretch>
                  </pic:blipFill>
                  <pic:spPr>
                    <a:xfrm>
                      <a:off x="0" y="0"/>
                      <a:ext cx="5303520" cy="3176728"/>
                    </a:xfrm>
                    <a:prstGeom prst="rect"/>
                  </pic:spPr>
                </pic:pic>
              </a:graphicData>
            </a:graphic>
          </wp:inline>
        </w:drawing>
      </w:r>
    </w:p>
    <w:p>
      <w:pPr>
        <w:spacing w:before="40" w:after="240"/>
        <w:jc w:val="center"/>
      </w:pPr>
      <w:r>
        <w:rPr>
          <w:rFonts w:ascii="Times New Roman" w:hAnsi="Times New Roman"/>
          <w:b/>
          <w:i w:val="0"/>
          <w:sz w:val="22"/>
          <w:rFonts w:ascii="Times New Roman" w:hAnsi="Times New Roman" w:cs="Times New Roman"/>
        </w:rPr>
        <w:t>Fig 8.16: Formal PDF and Markdown report export interface</w:t>
      </w:r>
    </w:p>
    <w:p>
      <w:r>
        <w:br w:type="page"/>
      </w:r>
    </w:p>
    <w:p>
      <w:pPr>
        <w:spacing w:before="240" w:after="360" w:line="360" w:lineRule="auto"/>
        <w:jc w:val="center"/>
      </w:pPr>
      <w:r>
        <w:rPr>
          <w:rFonts w:ascii="Times New Roman" w:hAnsi="Times New Roman"/>
          <w:b/>
          <w:i w:val="0"/>
          <w:sz w:val="28"/>
          <w:rFonts w:ascii="Times New Roman" w:hAnsi="Times New Roman" w:cs="Times New Roman"/>
        </w:rPr>
        <w:t>CHAPTER 9 - CONCLUSION</w:t>
      </w:r>
    </w:p>
    <w:p>
      <w:pPr>
        <w:spacing w:after="120" w:before="0" w:line="360" w:lineRule="auto"/>
        <w:jc w:val="both"/>
      </w:pPr>
      <w:r>
        <w:rPr>
          <w:rFonts w:ascii="Times New Roman" w:hAnsi="Times New Roman"/>
          <w:b w:val="0"/>
          <w:i w:val="0"/>
          <w:sz w:val="24"/>
          <w:rFonts w:ascii="Times New Roman" w:hAnsi="Times New Roman" w:cs="Times New Roman"/>
        </w:rPr>
        <w:t>The AI Legal Contract Risk Analyzer demonstrates that advanced artificial intelligence can successfully democratize the traditionally inaccessible domain of legal contract review. By uniting document parsing (PDF, DOCX, OCR), dense mathematical embeddings (SentenceTransformer all-MiniLM-L6-v2), sub-millisecond vector indexing (FAISS), and high-parameter Large Language Model reasoning (Groq openai/gpt-oss-120b) governed by strict JSON schemas, the platform transforms intimidating legal contracts into transparent, quantifiable, and actionable intelligence.</w:t>
      </w:r>
    </w:p>
    <w:p>
      <w:pPr>
        <w:spacing w:after="120" w:before="0" w:line="360" w:lineRule="auto"/>
        <w:jc w:val="both"/>
      </w:pPr>
      <w:r>
        <w:rPr>
          <w:rFonts w:ascii="Times New Roman" w:hAnsi="Times New Roman"/>
          <w:b w:val="0"/>
          <w:i w:val="0"/>
          <w:sz w:val="24"/>
          <w:rFonts w:ascii="Times New Roman" w:hAnsi="Times New Roman" w:cs="Times New Roman"/>
        </w:rPr>
        <w:t>Empirical benchmarks confirm the practical power of the system: contracts exceeding 15,000 characters are fully audited in approximately 14 seconds, vector similarity search operates in under 15 milliseconds, and all 16 functional test cases passed with 100% reliability. Beyond passive risk scoring, the inclusion of actionable redline revisions, missing protection audits, grounded RAG Q&amp;A, version diffing, and regional language translations empowers students, freelancers, and small business owners to negotiate agreements with unprecedented confidence and clarity.</w:t>
      </w:r>
    </w:p>
    <w:p>
      <w:r>
        <w:br w:type="page"/>
      </w:r>
    </w:p>
    <w:p>
      <w:pPr>
        <w:spacing w:before="240" w:after="360" w:line="360" w:lineRule="auto"/>
        <w:jc w:val="center"/>
      </w:pPr>
      <w:r>
        <w:rPr>
          <w:rFonts w:ascii="Times New Roman" w:hAnsi="Times New Roman"/>
          <w:b/>
          <w:i w:val="0"/>
          <w:sz w:val="28"/>
          <w:rFonts w:ascii="Times New Roman" w:hAnsi="Times New Roman" w:cs="Times New Roman"/>
        </w:rPr>
        <w:t>CHAPTER 10 - FUTURE ENHANCEMENT</w:t>
      </w:r>
    </w:p>
    <w:p>
      <w:pPr>
        <w:pStyle w:val="ListBullet"/>
        <w:spacing w:after="80" w:before="0" w:line="360" w:lineRule="auto"/>
        <w:jc w:val="both"/>
      </w:pPr>
      <w:r>
        <w:rPr>
          <w:rFonts w:ascii="Times New Roman" w:hAnsi="Times New Roman"/>
          <w:b w:val="0"/>
          <w:i w:val="0"/>
          <w:sz w:val="24"/>
          <w:rFonts w:ascii="Times New Roman" w:hAnsi="Times New Roman" w:cs="Times New Roman"/>
        </w:rPr>
        <w:t>Autonomous Contract Negotiation Agents: Developing multi-turn agentic workflows that automatically draft formal counter-proposals and negotiation letters addressed directly to opposing legal teams;</w:t>
      </w:r>
    </w:p>
    <w:p>
      <w:pPr>
        <w:pStyle w:val="ListBullet"/>
        <w:spacing w:after="80" w:before="0" w:line="360" w:lineRule="auto"/>
        <w:jc w:val="both"/>
      </w:pPr>
      <w:r>
        <w:rPr>
          <w:rFonts w:ascii="Times New Roman" w:hAnsi="Times New Roman"/>
          <w:b w:val="0"/>
          <w:i w:val="0"/>
          <w:sz w:val="24"/>
          <w:rFonts w:ascii="Times New Roman" w:hAnsi="Times New Roman" w:cs="Times New Roman"/>
        </w:rPr>
        <w:t>Jurisdiction-Specific Regulatory Checking: Expanding rule bases to cross-reference agreements against specific national legal statutes (e.g., Indian Contract Act 1872, GDPR, California CCPA, EU AI Act);</w:t>
      </w:r>
    </w:p>
    <w:p>
      <w:pPr>
        <w:pStyle w:val="ListBullet"/>
        <w:spacing w:after="80" w:before="0" w:line="360" w:lineRule="auto"/>
        <w:jc w:val="both"/>
      </w:pPr>
      <w:r>
        <w:rPr>
          <w:rFonts w:ascii="Times New Roman" w:hAnsi="Times New Roman"/>
          <w:b w:val="0"/>
          <w:i w:val="0"/>
          <w:sz w:val="24"/>
          <w:rFonts w:ascii="Times New Roman" w:hAnsi="Times New Roman" w:cs="Times New Roman"/>
        </w:rPr>
        <w:t>Integration with Enterprise Cloud Drives: Adding native connectors for Google Drive, Microsoft OneDrive, and Dropbox to support continuous contract repository monitoring;</w:t>
      </w:r>
    </w:p>
    <w:p>
      <w:pPr>
        <w:pStyle w:val="ListBullet"/>
        <w:spacing w:after="80" w:before="0" w:line="360" w:lineRule="auto"/>
        <w:jc w:val="both"/>
      </w:pPr>
      <w:r>
        <w:rPr>
          <w:rFonts w:ascii="Times New Roman" w:hAnsi="Times New Roman"/>
          <w:b w:val="0"/>
          <w:i w:val="0"/>
          <w:sz w:val="24"/>
          <w:rFonts w:ascii="Times New Roman" w:hAnsi="Times New Roman" w:cs="Times New Roman"/>
        </w:rPr>
        <w:t>Smart Contract &amp; Blockchain Verification: Extending the parser to analyze Ethereum Solidity and Web3 smart contract code for vulnerability audits alongside traditional legal prose;</w:t>
      </w:r>
    </w:p>
    <w:p>
      <w:pPr>
        <w:pStyle w:val="ListBullet"/>
        <w:spacing w:after="80" w:before="0" w:line="360" w:lineRule="auto"/>
        <w:jc w:val="both"/>
      </w:pPr>
      <w:r>
        <w:rPr>
          <w:rFonts w:ascii="Times New Roman" w:hAnsi="Times New Roman"/>
          <w:b w:val="0"/>
          <w:i w:val="0"/>
          <w:sz w:val="24"/>
          <w:rFonts w:ascii="Times New Roman" w:hAnsi="Times New Roman" w:cs="Times New Roman"/>
        </w:rPr>
        <w:t>Mobile Application Development: Building native iOS and Android applications equipped with camera-based instant contract scanning and offline on-device SLM inference;</w:t>
      </w:r>
    </w:p>
    <w:p>
      <w:pPr>
        <w:pStyle w:val="ListBullet"/>
        <w:spacing w:after="80" w:before="0" w:line="360" w:lineRule="auto"/>
        <w:jc w:val="both"/>
      </w:pPr>
      <w:r>
        <w:rPr>
          <w:rFonts w:ascii="Times New Roman" w:hAnsi="Times New Roman"/>
          <w:b w:val="0"/>
          <w:i w:val="0"/>
          <w:sz w:val="24"/>
          <w:rFonts w:ascii="Times New Roman" w:hAnsi="Times New Roman" w:cs="Times New Roman"/>
        </w:rPr>
        <w:t>Collaborative Multi-User Redlining: Supporting real-time Google Docs-style simultaneous commenting and collaborative revision workflows for legal teams.</w:t>
      </w:r>
    </w:p>
    <w:p>
      <w:r>
        <w:br w:type="page"/>
      </w:r>
    </w:p>
    <w:p>
      <w:pPr>
        <w:spacing w:before="240" w:after="360" w:line="360" w:lineRule="auto"/>
        <w:jc w:val="center"/>
      </w:pPr>
      <w:r>
        <w:rPr>
          <w:rFonts w:ascii="Times New Roman" w:hAnsi="Times New Roman"/>
          <w:b/>
          <w:i w:val="0"/>
          <w:sz w:val="28"/>
          <w:rFonts w:ascii="Times New Roman" w:hAnsi="Times New Roman" w:cs="Times New Roman"/>
        </w:rPr>
        <w:t>CHAPTER 11 - BIBLIOGRAPHY</w:t>
      </w:r>
    </w:p>
    <w:p>
      <w:pPr>
        <w:spacing w:after="120" w:before="0" w:line="360" w:lineRule="auto"/>
        <w:jc w:val="both"/>
      </w:pPr>
      <w:r>
        <w:rPr>
          <w:rFonts w:ascii="Times New Roman" w:hAnsi="Times New Roman"/>
          <w:b w:val="0"/>
          <w:i w:val="0"/>
          <w:sz w:val="24"/>
          <w:rFonts w:ascii="Times New Roman" w:hAnsi="Times New Roman" w:cs="Times New Roman"/>
        </w:rPr>
        <w:t>References follow standard IEEE formatting style and correspond to numerical citations in Chapter 2:</w:t>
      </w:r>
    </w:p>
    <w:p>
      <w:pPr>
        <w:spacing w:after="120" w:before="0" w:line="276" w:lineRule="auto"/>
        <w:jc w:val="both"/>
      </w:pPr>
      <w:r>
        <w:rPr>
          <w:rFonts w:ascii="Times New Roman" w:hAnsi="Times New Roman"/>
          <w:b w:val="0"/>
          <w:i w:val="0"/>
          <w:sz w:val="20"/>
          <w:rFonts w:ascii="Times New Roman" w:hAnsi="Times New Roman" w:cs="Times New Roman"/>
        </w:rPr>
        <w:t>[1]. P. Lewis, E. Perez, A. Piktus, F. Petroni, V. Karpukhin, N. Goyal, H. Küttler, M. Lewis, W. Yih, T. Rocktäschel, S. Riedel, and D. Kiela – 'Retrieval-Augmented Generation for Knowledge-Intensive NLP Tasks' – Advances in Neural Information Processing Systems (NeurIPS), Publisher: Curran Associates, Inc., Vol. 33, pp. 9459-9474, 2020.</w:t>
      </w:r>
    </w:p>
    <w:p>
      <w:pPr>
        <w:spacing w:after="120" w:before="0" w:line="276" w:lineRule="auto"/>
        <w:jc w:val="both"/>
      </w:pPr>
      <w:r>
        <w:rPr>
          <w:rFonts w:ascii="Times New Roman" w:hAnsi="Times New Roman"/>
          <w:b w:val="0"/>
          <w:i w:val="0"/>
          <w:sz w:val="20"/>
          <w:rFonts w:ascii="Times New Roman" w:hAnsi="Times New Roman" w:cs="Times New Roman"/>
        </w:rPr>
        <w:t>[2]. Y. Gao, Y. Xiong, X. Gao, K. Jia, J. Pan, Y. Bi, Y. Dai, J. Sun, and H. Wang – 'Modular RAG: Transforming Retrieval-Augmented Generation into Practical Software Engineering Patterns' – arXiv preprint arXiv:2312.10997, 2023.</w:t>
      </w:r>
    </w:p>
    <w:p>
      <w:pPr>
        <w:spacing w:after="120" w:before="0" w:line="276" w:lineRule="auto"/>
        <w:jc w:val="both"/>
      </w:pPr>
      <w:r>
        <w:rPr>
          <w:rFonts w:ascii="Times New Roman" w:hAnsi="Times New Roman"/>
          <w:b w:val="0"/>
          <w:i w:val="0"/>
          <w:sz w:val="20"/>
          <w:rFonts w:ascii="Times New Roman" w:hAnsi="Times New Roman" w:cs="Times New Roman"/>
        </w:rPr>
        <w:t>[3]. K. Guu, K. Lee, Z. Tung, P. Pasupat, and M. Chang – 'REALM: Retrieval-Guided Language Model Pre-Training' – Proceedings of the 37th International Conference on Machine Learning (ICML), PMLR, Vol. 119, pp. 3929-3938, 2020.</w:t>
      </w:r>
    </w:p>
    <w:p>
      <w:pPr>
        <w:spacing w:after="120" w:before="0" w:line="276" w:lineRule="auto"/>
        <w:jc w:val="both"/>
      </w:pPr>
      <w:r>
        <w:rPr>
          <w:rFonts w:ascii="Times New Roman" w:hAnsi="Times New Roman"/>
          <w:b w:val="0"/>
          <w:i w:val="0"/>
          <w:sz w:val="20"/>
          <w:rFonts w:ascii="Times New Roman" w:hAnsi="Times New Roman" w:cs="Times New Roman"/>
        </w:rPr>
        <w:t>[4]. I. Chalkidis, M. Fergadiotis, P. Malakasiotis, N. Aletras, and I. Androutsopoulos – 'LEGAL-BERT: The Muppets straight out of Law School' – Findings of the Association for Computational Linguistics (EMNLP), Publisher: ACL, pp. 2898-2904, 2020.</w:t>
      </w:r>
    </w:p>
    <w:p>
      <w:pPr>
        <w:spacing w:after="120" w:before="0" w:line="276" w:lineRule="auto"/>
        <w:jc w:val="both"/>
      </w:pPr>
      <w:r>
        <w:rPr>
          <w:rFonts w:ascii="Times New Roman" w:hAnsi="Times New Roman"/>
          <w:b w:val="0"/>
          <w:i w:val="0"/>
          <w:sz w:val="20"/>
          <w:rFonts w:ascii="Times New Roman" w:hAnsi="Times New Roman" w:cs="Times New Roman"/>
        </w:rPr>
        <w:t>[5]. L. Zheng, N. Guha, B. R. Anderson, P. R. Henderson, and D. E. Ho – 'When Does Pretraining Help? Assessing Domain-Specific Representations for Law' – Proceedings of the 38th International Conference on Machine Learning (ICML), PMLR, Vol. 139, pp. 12609-12619, 2021.</w:t>
      </w:r>
    </w:p>
    <w:p>
      <w:pPr>
        <w:spacing w:after="120" w:before="0" w:line="276" w:lineRule="auto"/>
        <w:jc w:val="both"/>
      </w:pPr>
      <w:r>
        <w:rPr>
          <w:rFonts w:ascii="Times New Roman" w:hAnsi="Times New Roman"/>
          <w:b w:val="0"/>
          <w:i w:val="0"/>
          <w:sz w:val="20"/>
          <w:rFonts w:ascii="Times New Roman" w:hAnsi="Times New Roman" w:cs="Times New Roman"/>
        </w:rPr>
        <w:t>[6]. D. Hendrycks, C. Burns, A. Chen, and S. Ball – 'CUAD: An Expert-Annotated NLP Dataset for Legal Contract Review' – Advances in Neural Information Processing Systems (NeurIPS Datasets and Benchmarks), Vol. 34, pp. 1-14, 2021.</w:t>
      </w:r>
    </w:p>
    <w:p>
      <w:pPr>
        <w:spacing w:after="120" w:before="0" w:line="276" w:lineRule="auto"/>
        <w:jc w:val="both"/>
      </w:pPr>
      <w:r>
        <w:rPr>
          <w:rFonts w:ascii="Times New Roman" w:hAnsi="Times New Roman"/>
          <w:b w:val="0"/>
          <w:i w:val="0"/>
          <w:sz w:val="20"/>
          <w:rFonts w:ascii="Times New Roman" w:hAnsi="Times New Roman" w:cs="Times New Roman"/>
        </w:rPr>
        <w:t>[7]. M. Bommarito, D. M. Katz, and E. M. Detterman – 'LexNLP: Natural language processing and information extraction for legal and regulatory texts' – Research in Computer Science and Law, Publisher: LegalTech Open Source, Vol. 1, pp. 1-18, 2021.</w:t>
      </w:r>
    </w:p>
    <w:p>
      <w:pPr>
        <w:spacing w:after="120" w:before="0" w:line="276" w:lineRule="auto"/>
        <w:jc w:val="both"/>
      </w:pPr>
      <w:r>
        <w:rPr>
          <w:rFonts w:ascii="Times New Roman" w:hAnsi="Times New Roman"/>
          <w:b w:val="0"/>
          <w:i w:val="0"/>
          <w:sz w:val="20"/>
          <w:rFonts w:ascii="Times New Roman" w:hAnsi="Times New Roman" w:cs="Times New Roman"/>
        </w:rPr>
        <w:t>[8]. OpenAI – 'GPT-4 Technical Report' – arXiv preprint arXiv:2303.08774, pp. 1-100, 2023.</w:t>
      </w:r>
    </w:p>
    <w:p>
      <w:pPr>
        <w:spacing w:after="120" w:before="0" w:line="276" w:lineRule="auto"/>
        <w:jc w:val="both"/>
      </w:pPr>
      <w:r>
        <w:rPr>
          <w:rFonts w:ascii="Times New Roman" w:hAnsi="Times New Roman"/>
          <w:b w:val="0"/>
          <w:i w:val="0"/>
          <w:sz w:val="20"/>
          <w:rFonts w:ascii="Times New Roman" w:hAnsi="Times New Roman" w:cs="Times New Roman"/>
        </w:rPr>
        <w:t>[9]. Gemini Team, Google – 'Gemini: A Family of Highly Capable Multimodal Models' – arXiv preprint arXiv:2312.11805, 2024.</w:t>
      </w:r>
    </w:p>
    <w:p>
      <w:pPr>
        <w:spacing w:after="120" w:before="0" w:line="276" w:lineRule="auto"/>
        <w:jc w:val="both"/>
      </w:pPr>
      <w:r>
        <w:rPr>
          <w:rFonts w:ascii="Times New Roman" w:hAnsi="Times New Roman"/>
          <w:b w:val="0"/>
          <w:i w:val="0"/>
          <w:sz w:val="20"/>
          <w:rFonts w:ascii="Times New Roman" w:hAnsi="Times New Roman" w:cs="Times New Roman"/>
        </w:rPr>
        <w:t>[10]. D. M. Katz, M. J. Bommarito, S. Gao, and P. Arredondo – 'GPT-4 Passes the Bar Exam' – Philosophical Transactions of the Royal Society A, Publisher: The Royal Society, Vol. 382, Iss. 2270, pp. 1-12, 2024.</w:t>
      </w:r>
    </w:p>
    <w:p>
      <w:pPr>
        <w:spacing w:after="120" w:before="0" w:line="276" w:lineRule="auto"/>
        <w:jc w:val="both"/>
      </w:pPr>
      <w:r>
        <w:rPr>
          <w:rFonts w:ascii="Times New Roman" w:hAnsi="Times New Roman"/>
          <w:b w:val="0"/>
          <w:i w:val="0"/>
          <w:sz w:val="20"/>
          <w:rFonts w:ascii="Times New Roman" w:hAnsi="Times New Roman" w:cs="Times New Roman"/>
        </w:rPr>
        <w:t>[11]. H. Chase et al. – 'LangChain: Building context-aware reasoning applications with composable abstractions' – Documentation and Architecture Guide, 2024. [Online]. Available: https://python.langchain.com/</w:t>
      </w:r>
    </w:p>
    <w:p>
      <w:pPr>
        <w:spacing w:after="120" w:before="0" w:line="276" w:lineRule="auto"/>
        <w:jc w:val="both"/>
      </w:pPr>
      <w:r>
        <w:rPr>
          <w:rFonts w:ascii="Times New Roman" w:hAnsi="Times New Roman"/>
          <w:b w:val="0"/>
          <w:i w:val="0"/>
          <w:sz w:val="20"/>
          <w:rFonts w:ascii="Times New Roman" w:hAnsi="Times New Roman" w:cs="Times New Roman"/>
        </w:rPr>
        <w:t>[12]. J. Johnson, M. Douze, and H. Jégou – 'Billion-scale similarity search with GPUs' – IEEE Transactions on Big Data, Publisher: IEEE, Vol. 7, Iss. 3, pp. 535-547, 2019.</w:t>
      </w:r>
    </w:p>
    <w:p>
      <w:pPr>
        <w:spacing w:after="120" w:before="0" w:line="276" w:lineRule="auto"/>
        <w:jc w:val="both"/>
      </w:pPr>
      <w:r>
        <w:rPr>
          <w:rFonts w:ascii="Times New Roman" w:hAnsi="Times New Roman"/>
          <w:b w:val="0"/>
          <w:i w:val="0"/>
          <w:sz w:val="20"/>
          <w:rFonts w:ascii="Times New Roman" w:hAnsi="Times New Roman" w:cs="Times New Roman"/>
        </w:rPr>
        <w:t>[13]. N. Reimers and I. Gurevych – 'Sentence-BERT: Sentence Embeddings using Siamese BERT-Networks' – Proceedings of the 2019 Conference on Empirical Methods in Natural Language Processing (EMNLP-IJCNLP), Publisher: ACL, pp. 3982-3992, 2019.</w:t>
      </w:r>
    </w:p>
    <w:p>
      <w:pPr>
        <w:spacing w:after="120" w:before="0" w:line="276" w:lineRule="auto"/>
        <w:jc w:val="both"/>
      </w:pPr>
      <w:r>
        <w:rPr>
          <w:rFonts w:ascii="Times New Roman" w:hAnsi="Times New Roman"/>
          <w:b w:val="0"/>
          <w:i w:val="0"/>
          <w:sz w:val="20"/>
          <w:rFonts w:ascii="Times New Roman" w:hAnsi="Times New Roman" w:cs="Times New Roman"/>
        </w:rPr>
        <w:t>[14]. S. Tiangolo – 'FastAPI: Modern, fast (high-performance), web framework for building APIs with Python' – 2024. [Online]. Available: https://fastapi.tiangolo.com/</w:t>
      </w:r>
    </w:p>
    <w:p>
      <w:pPr>
        <w:spacing w:after="120" w:before="0" w:line="276" w:lineRule="auto"/>
        <w:jc w:val="both"/>
      </w:pPr>
      <w:r>
        <w:rPr>
          <w:rFonts w:ascii="Times New Roman" w:hAnsi="Times New Roman"/>
          <w:b w:val="0"/>
          <w:i w:val="0"/>
          <w:sz w:val="20"/>
          <w:rFonts w:ascii="Times New Roman" w:hAnsi="Times New Roman" w:cs="Times New Roman"/>
        </w:rPr>
        <w:t>[15]. React Core Team – 'React: The library for web and native user interfaces' – 2024. [Online]. Available: https://react.dev/</w:t>
      </w:r>
    </w:p>
    <w:p>
      <w:pPr>
        <w:spacing w:after="120" w:before="0" w:line="276" w:lineRule="auto"/>
        <w:jc w:val="both"/>
      </w:pPr>
      <w:r>
        <w:rPr>
          <w:rFonts w:ascii="Times New Roman" w:hAnsi="Times New Roman"/>
          <w:b w:val="0"/>
          <w:i w:val="0"/>
          <w:sz w:val="20"/>
          <w:rFonts w:ascii="Times New Roman" w:hAnsi="Times New Roman" w:cs="Times New Roman"/>
        </w:rPr>
        <w:t>[16]. Groq Inc. – 'Groq LPU Inference Engine Documentation and API Reference' – 2024. [Online]. Available: https://console.groq.com/docs</w:t>
      </w:r>
    </w:p>
    <w:p>
      <w:pPr>
        <w:spacing w:after="120" w:before="0" w:line="276" w:lineRule="auto"/>
        <w:jc w:val="both"/>
      </w:pPr>
      <w:r>
        <w:rPr>
          <w:rFonts w:ascii="Times New Roman" w:hAnsi="Times New Roman"/>
          <w:b w:val="0"/>
          <w:i w:val="0"/>
          <w:sz w:val="20"/>
          <w:rFonts w:ascii="Times New Roman" w:hAnsi="Times New Roman" w:cs="Times New Roman"/>
        </w:rPr>
        <w:t>[17]. ISO/IEC 25010:2011 – 'Systems and software engineering - Systems and software Quality Requirements and Evaluation (SQuaRE) - System and software quality models' – International Organization for Standardization, 2011.</w:t>
      </w:r>
    </w:p>
    <w:p>
      <w:pPr>
        <w:spacing w:after="120" w:before="0" w:line="276" w:lineRule="auto"/>
        <w:jc w:val="both"/>
      </w:pPr>
      <w:r>
        <w:rPr>
          <w:rFonts w:ascii="Times New Roman" w:hAnsi="Times New Roman"/>
          <w:b w:val="0"/>
          <w:i w:val="0"/>
          <w:sz w:val="20"/>
          <w:rFonts w:ascii="Times New Roman" w:hAnsi="Times New Roman" w:cs="Times New Roman"/>
        </w:rPr>
        <w:t>[18]. M. Fowler – 'Refactoring: Improving the Design of Existing Code', 2nd ed. – Addison-Wesley Professional, Boston, MA, USA, 2018.</w:t>
      </w:r>
    </w:p>
    <w:p>
      <w:pPr>
        <w:spacing w:after="120" w:before="0" w:line="276" w:lineRule="auto"/>
        <w:jc w:val="both"/>
      </w:pPr>
      <w:r>
        <w:rPr>
          <w:rFonts w:ascii="Times New Roman" w:hAnsi="Times New Roman"/>
          <w:b w:val="0"/>
          <w:i w:val="0"/>
          <w:sz w:val="20"/>
          <w:rFonts w:ascii="Times New Roman" w:hAnsi="Times New Roman" w:cs="Times New Roman"/>
        </w:rPr>
        <w:t>[19]. A. Cockburn – 'Writing Effective Use Cases' – Addison-Wesley Professional, 2001.</w:t>
      </w:r>
    </w:p>
    <w:p>
      <w:pPr>
        <w:spacing w:after="120" w:before="0" w:line="276" w:lineRule="auto"/>
        <w:jc w:val="both"/>
      </w:pPr>
      <w:r>
        <w:rPr>
          <w:rFonts w:ascii="Times New Roman" w:hAnsi="Times New Roman"/>
          <w:b w:val="0"/>
          <w:i w:val="0"/>
          <w:sz w:val="20"/>
          <w:rFonts w:ascii="Times New Roman" w:hAnsi="Times New Roman" w:cs="Times New Roman"/>
        </w:rPr>
        <w:t>[20]. S. McConnell – 'Code Complete: A Practical Handbook of Software Construction', 2nd ed. – Microsoft Press, Redmond, WA, USA, 2004.</w:t>
      </w:r>
    </w:p>
    <w:p>
      <w:pPr>
        <w:spacing w:after="120" w:before="0" w:line="276" w:lineRule="auto"/>
        <w:jc w:val="both"/>
      </w:pPr>
      <w:r>
        <w:rPr>
          <w:rFonts w:ascii="Times New Roman" w:hAnsi="Times New Roman"/>
          <w:b w:val="0"/>
          <w:i w:val="0"/>
          <w:sz w:val="20"/>
          <w:rFonts w:ascii="Times New Roman" w:hAnsi="Times New Roman" w:cs="Times New Roman"/>
        </w:rPr>
        <w:t>[21]. PyPDF2 Development Team – 'PyPDF2 Documentation: A Pure-Python PDF Library' – 2023. [Online]. Available: https://pypdf2.readthedocs.io/</w:t>
      </w:r>
    </w:p>
    <w:p>
      <w:pPr>
        <w:spacing w:after="120" w:before="0" w:line="276" w:lineRule="auto"/>
        <w:jc w:val="both"/>
      </w:pPr>
      <w:r>
        <w:rPr>
          <w:rFonts w:ascii="Times New Roman" w:hAnsi="Times New Roman"/>
          <w:b w:val="0"/>
          <w:i w:val="0"/>
          <w:sz w:val="20"/>
          <w:rFonts w:ascii="Times New Roman" w:hAnsi="Times New Roman" w:cs="Times New Roman"/>
        </w:rPr>
        <w:t>[22]. ReportLab Europe Ltd. – 'ReportLab: Open-Source PDF Generation Engine for Python' – 2024. [Online]. Available: https://www.reportlab.com/docs/</w:t>
      </w:r>
    </w:p>
    <w:p>
      <w:r>
        <w:br w:type="page"/>
      </w:r>
    </w:p>
    <w:p>
      <w:pPr>
        <w:spacing w:before="240" w:after="360" w:line="360" w:lineRule="auto"/>
        <w:jc w:val="center"/>
      </w:pPr>
      <w:r>
        <w:rPr>
          <w:rFonts w:ascii="Times New Roman" w:hAnsi="Times New Roman"/>
          <w:b/>
          <w:i w:val="0"/>
          <w:sz w:val="28"/>
          <w:rFonts w:ascii="Times New Roman" w:hAnsi="Times New Roman" w:cs="Times New Roman"/>
        </w:rPr>
        <w:t>CHAPTER 12 - APPENDICES</w:t>
      </w:r>
    </w:p>
    <w:p>
      <w:pPr>
        <w:spacing w:before="240" w:after="120" w:line="360" w:lineRule="auto"/>
        <w:jc w:val="left"/>
      </w:pPr>
      <w:r>
        <w:rPr>
          <w:rFonts w:ascii="Times New Roman" w:hAnsi="Times New Roman"/>
          <w:b/>
          <w:i w:val="0"/>
          <w:sz w:val="24"/>
          <w:rFonts w:ascii="Times New Roman" w:hAnsi="Times New Roman" w:cs="Times New Roman"/>
        </w:rPr>
        <w:t>APPENDIX A: SOURCE CODE REPOSITORY STRUCTURE</w:t>
      </w:r>
    </w:p>
    <w:p>
      <w:pPr>
        <w:spacing w:after="120" w:before="0" w:line="276" w:lineRule="auto"/>
        <w:jc w:val="left"/>
      </w:pPr>
      <w:r>
        <w:rPr>
          <w:rFonts w:ascii="Times New Roman" w:hAnsi="Times New Roman"/>
          <w:b w:val="0"/>
          <w:i w:val="0"/>
          <w:sz w:val="18"/>
          <w:rFonts w:ascii="Times New Roman" w:hAnsi="Times New Roman" w:cs="Times New Roman"/>
        </w:rPr>
        <w:t>AI-Legal-Contract-Risk-Analyzer/</w:t>
        <w:br/>
        <w:t>├── backend/</w:t>
        <w:br/>
        <w:t>│   ├── api/</w:t>
        <w:br/>
        <w:t>│   │   └── routes/</w:t>
        <w:br/>
        <w:t>│   │       ├── analysis.py           # Contract risk analysis triggering &amp; results</w:t>
        <w:br/>
        <w:t>│   │       ├── audit.py              # Audit log retrieval &amp; queries</w:t>
        <w:br/>
        <w:t>│   │       ├── auth.py               # Registration, JWT login, authentication</w:t>
        <w:br/>
        <w:t>│   │       ├── clause_comparison.py  # Side-by-side clause comparison tool</w:t>
        <w:br/>
        <w:t>│   │       ├── contracts.py          # Contract upload, text storage &amp; listing</w:t>
        <w:br/>
        <w:t>│   │       ├── document_generator.py # Template &amp; AI-based contract generation</w:t>
        <w:br/>
        <w:t>│   │       ├── evidence_sources.py   # Citation and source chunk tracing</w:t>
        <w:br/>
        <w:t>│   │       ├── language.py           # Multilingual legal translation &amp; export</w:t>
        <w:br/>
        <w:t>│   │       ├── obligations.py        # Date, deadline &amp; financial obligations tracker</w:t>
        <w:br/>
        <w:t>│   │       ├── password_reset.py     # Password recovery &amp; reset code hashing</w:t>
        <w:br/>
        <w:t>│   │       ├── qa.py                 # RAG contextual contract question answering</w:t>
        <w:br/>
        <w:t>│   │       ├── reports.py            # PDF &amp; Markdown report export generation</w:t>
        <w:br/>
        <w:t>│   │       ├── scan.py               # Scanned contract OCR upload &amp; extraction</w:t>
        <w:br/>
        <w:t>│   │       └── version_diff.py       # Contract version diff &amp; risk-shift calculator</w:t>
        <w:br/>
        <w:t>│   ├── database/</w:t>
        <w:br/>
        <w:t>│   │   └── connection.py             # SQLAlchemy engine &amp; session management</w:t>
        <w:br/>
        <w:t>│   ├── models/</w:t>
        <w:br/>
        <w:t>│   │   ├── analysis.py               # Analysis entity schema</w:t>
        <w:br/>
        <w:t>│   │   ├── audit_log.py              # Cryptographic audit log model</w:t>
        <w:br/>
        <w:t>│   │   ├── clause.py                 # Flagged clause entity</w:t>
        <w:br/>
        <w:t>│   │   ├── contract.py               # Contract metadata &amp; raw text model</w:t>
        <w:br/>
        <w:t>│   │   ├── qa.py                     # Question &amp; answer storage model</w:t>
        <w:br/>
        <w:t>│   │   ├── recommendation.py         # Recommendation &amp; missing protection model</w:t>
        <w:br/>
        <w:t>│   │   └── user.py                   # User account &amp; credential hash model</w:t>
        <w:br/>
        <w:t>│   ├── schemas/                      # Pydantic v2 validation models</w:t>
        <w:br/>
        <w:t>│   ├── services/</w:t>
        <w:br/>
        <w:t>│   │   ├── analysis_service.py       # Contract analysis orchestration</w:t>
        <w:br/>
        <w:t>│   │   ├── auth_service.py           # Passlib / JWT authentication logic</w:t>
        <w:br/>
        <w:t>│   │   ├── document_parser.py        # PyPDF2, python-docx &amp; OCR parsers</w:t>
        <w:br/>
        <w:t>│   │   ├── gemini_service.py         # Groq LLM client &amp; schema validation</w:t>
        <w:br/>
        <w:t>│   │   └── rag_service.py            # Chunking, SentenceTransformers &amp; FAISS</w:t>
        <w:br/>
        <w:t>│   ├── main.py                       # FastAPI entrypoint, middleware, CORS</w:t>
        <w:br/>
        <w:t>│   └── requirements.txt              # Backend Python dependencies</w:t>
        <w:br/>
        <w:t>├── frontend/</w:t>
        <w:br/>
        <w:t>│   ├── src/</w:t>
        <w:br/>
        <w:t>│   │   ├── assets/                   # Brand assets &amp; logos</w:t>
        <w:br/>
        <w:t>│   │   ├── App.jsx                   # Master React single-page application (4700+ lines)</w:t>
        <w:br/>
        <w:t>│   │   ├── App.css                   # Global styling</w:t>
        <w:br/>
        <w:t>│   │   └── main.jsx                  # React DOM mount point</w:t>
        <w:br/>
        <w:t>│   ├── package.json                  # Frontend npm dependencies</w:t>
        <w:br/>
        <w:t>│   └── vite.config.js                # Vite build configuration</w:t>
        <w:br/>
        <w:t>└── sample_contracts/                 # Tested benchmark contracts</w:t>
      </w:r>
    </w:p>
    <w:p>
      <w:pPr>
        <w:spacing w:before="240" w:after="120" w:line="360" w:lineRule="auto"/>
        <w:jc w:val="left"/>
      </w:pPr>
      <w:r>
        <w:rPr>
          <w:rFonts w:ascii="Times New Roman" w:hAnsi="Times New Roman"/>
          <w:b/>
          <w:i w:val="0"/>
          <w:sz w:val="24"/>
          <w:rFonts w:ascii="Times New Roman" w:hAnsi="Times New Roman" w:cs="Times New Roman"/>
        </w:rPr>
        <w:t>APPENDIX B: COMPLETE REST API ENDPOINT SPECIFICATION</w:t>
      </w:r>
    </w:p>
    <w:p>
      <w:pPr>
        <w:spacing w:after="120" w:before="0" w:line="360" w:lineRule="auto"/>
        <w:jc w:val="both"/>
      </w:pPr>
      <w:r>
        <w:rPr>
          <w:rFonts w:ascii="Times New Roman" w:hAnsi="Times New Roman"/>
          <w:b w:val="0"/>
          <w:i w:val="0"/>
          <w:sz w:val="24"/>
          <w:rFonts w:ascii="Times New Roman" w:hAnsi="Times New Roman" w:cs="Times New Roman"/>
        </w:rPr>
        <w:t>The FastAPI backend exposes versioned RESTful endpoints documented automatically via OpenAPI at /docs:</w:t>
      </w:r>
    </w:p>
    <w:p>
      <w:pPr>
        <w:spacing w:before="160" w:after="80"/>
        <w:jc w:val="center"/>
      </w:pPr>
      <w:r>
        <w:rPr>
          <w:rFonts w:ascii="Times New Roman" w:hAnsi="Times New Roman"/>
          <w:b/>
          <w:i w:val="0"/>
          <w:sz w:val="22"/>
          <w:rFonts w:ascii="Times New Roman" w:hAnsi="Times New Roman" w:cs="Times New Roman"/>
        </w:rPr>
        <w:t>Table 12.1: REST API endpoints specification</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2077"/>
        <w:gridCol w:w="2077"/>
        <w:gridCol w:w="2077"/>
        <w:gridCol w:w="2077"/>
      </w:tblGrid>
      <w:tr>
        <w:tc>
          <w:tcPr>
            <w:tcW w:type="dxa" w:w="288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Endpoint Path</w:t>
            </w:r>
          </w:p>
        </w:tc>
        <w:tc>
          <w:tcPr>
            <w:tcW w:type="dxa" w:w="1296"/>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HTTP Method</w:t>
            </w:r>
          </w:p>
        </w:tc>
        <w:tc>
          <w:tcPr>
            <w:tcW w:type="dxa" w:w="1584"/>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Authentication</w:t>
            </w:r>
          </w:p>
        </w:tc>
        <w:tc>
          <w:tcPr>
            <w:tcW w:type="dxa" w:w="432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Functional Description</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/api/auth/register</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Public</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Registers a new user account with Argon2/bcrypt password hashing</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/api/auth/login</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Public</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Validates user credentials and issues stateless JWT bearer token</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/api/contracts</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Bearer JWT</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Uploads and parses a contract document (PDF/DOCX/OCR)</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/api/contracts/text</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Bearer JWT</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Creates a new contract directly from plaintext content</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/api/contracts/{id}</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GET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Bearer JWT</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Retrieves contract metadata and raw text preview</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/api/analysis/{id}</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Bearer JWT</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Executes full Groq LLM risk analysis and persists results</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/api/qa</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Bearer JWT</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Performs semantic RAG retrieval and answers user questions</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/api/clause-comparison/compare</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Bearer JWT</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Performs side-by-side comparison between two legal clauses</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/api/version-diff/compare</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Bearer JWT</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Computes redline diff and risk shift between contract versions</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/api/obligations/extract</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Bearer JWT</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Extracts structured dates, deadlines, and financial commitments</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/api/language/translate</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POST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Bearer JWT</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Translates contract clauses into regional languages</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/api/reports/{id}/pdf</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GET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Bearer JWT</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Generates and streams formal PDF report dossier via ReportLab</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/api/reports/{id}/md</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GET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Bearer JWT</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Exports comprehensive analysis report in Markdown format</w:t>
            </w:r>
          </w:p>
        </w:tc>
      </w:tr>
      <w:tr>
        <w:tc>
          <w:tcPr>
            <w:tcW w:type="dxa" w:w="2880"/>
            <w:vAlign w:val="center"/>
          </w:tcPr>
          <w:p>
            <w:pPr>
              <w:spacing w:before="60" w:after="60" w:line="276" w:lineRule="auto"/>
              <w:jc w:val="center"/>
            </w:pPr>
            <w:r>
              <w:rPr>
                <w:rFonts w:ascii="Times New Roman" w:hAnsi="Times New Roman"/>
                <w:b w:val="0"/>
                <w:i w:val="0"/>
                <w:sz w:val="19"/>
                <w:rFonts w:ascii="Times New Roman" w:hAnsi="Times New Roman" w:cs="Times New Roman"/>
              </w:rPr>
              <w:t>/api/audit/logs</w:t>
            </w:r>
          </w:p>
        </w:tc>
        <w:tc>
          <w:tcPr>
            <w:tcW w:type="dxa" w:w="1296"/>
            <w:vAlign w:val="center"/>
          </w:tcPr>
          <w:p>
            <w:pPr>
              <w:spacing w:before="60" w:after="60" w:line="276" w:lineRule="auto"/>
              <w:jc w:val="left"/>
            </w:pPr>
            <w:r>
              <w:rPr>
                <w:rFonts w:ascii="Times New Roman" w:hAnsi="Times New Roman"/>
                <w:b w:val="0"/>
                <w:i w:val="0"/>
                <w:sz w:val="19"/>
                <w:rFonts w:ascii="Times New Roman" w:hAnsi="Times New Roman" w:cs="Times New Roman"/>
              </w:rPr>
              <w:t>GET</w:t>
            </w:r>
          </w:p>
        </w:tc>
        <w:tc>
          <w:tcPr>
            <w:tcW w:type="dxa" w:w="1584"/>
            <w:vAlign w:val="center"/>
          </w:tcPr>
          <w:p>
            <w:pPr>
              <w:spacing w:before="60" w:after="60" w:line="276" w:lineRule="auto"/>
              <w:jc w:val="left"/>
            </w:pPr>
            <w:r>
              <w:rPr>
                <w:rFonts w:ascii="Times New Roman" w:hAnsi="Times New Roman"/>
                <w:b w:val="0"/>
                <w:i w:val="0"/>
                <w:sz w:val="19"/>
                <w:rFonts w:ascii="Times New Roman" w:hAnsi="Times New Roman" w:cs="Times New Roman"/>
              </w:rPr>
              <w:t>Bearer JWT</w:t>
            </w:r>
          </w:p>
        </w:tc>
        <w:tc>
          <w:tcPr>
            <w:tcW w:type="dxa" w:w="4320"/>
            <w:vAlign w:val="center"/>
          </w:tcPr>
          <w:p>
            <w:pPr>
              <w:spacing w:before="60" w:after="60" w:line="276" w:lineRule="auto"/>
              <w:jc w:val="left"/>
            </w:pPr>
            <w:r>
              <w:rPr>
                <w:rFonts w:ascii="Times New Roman" w:hAnsi="Times New Roman"/>
                <w:b w:val="0"/>
                <w:i w:val="0"/>
                <w:sz w:val="19"/>
                <w:rFonts w:ascii="Times New Roman" w:hAnsi="Times New Roman" w:cs="Times New Roman"/>
              </w:rPr>
              <w:t>Retrieves immutable user activity audit log records</w:t>
            </w:r>
          </w:p>
        </w:tc>
      </w:tr>
    </w:tbl>
    <w:p>
      <w:pPr>
        <w:spacing w:after="160"/>
      </w:pPr>
    </w:p>
    <w:p>
      <w:pPr>
        <w:spacing w:before="240" w:after="120" w:line="360" w:lineRule="auto"/>
        <w:jc w:val="left"/>
      </w:pPr>
      <w:r>
        <w:rPr>
          <w:rFonts w:ascii="Times New Roman" w:hAnsi="Times New Roman"/>
          <w:b/>
          <w:i w:val="0"/>
          <w:sz w:val="24"/>
          <w:rFonts w:ascii="Times New Roman" w:hAnsi="Times New Roman" w:cs="Times New Roman"/>
        </w:rPr>
        <w:t>APPENDIX C: SAMPLE COMPLETE GENERATED CONTRACT RISK REPORT (MARKDOWN EXCERPT)</w:t>
      </w:r>
    </w:p>
    <w:p>
      <w:pPr>
        <w:spacing w:after="120" w:before="0" w:line="276" w:lineRule="auto"/>
        <w:jc w:val="left"/>
      </w:pPr>
      <w:r>
        <w:rPr>
          <w:rFonts w:ascii="Times New Roman" w:hAnsi="Times New Roman"/>
          <w:b w:val="0"/>
          <w:i w:val="0"/>
          <w:sz w:val="18"/>
          <w:rFonts w:ascii="Times New Roman" w:hAnsi="Times New Roman" w:cs="Times New Roman"/>
        </w:rPr>
        <w:t># AI Legal Contract Risk Analysis Report</w:t>
        <w:br/>
        <w:t>## Contract: Commercial Vendor Agreement (Contract ID: 12)</w:t>
        <w:br/>
        <w:t>**Risk Score:** 78/100 | **Risk Level:** High Risk</w:t>
        <w:br/>
        <w:br/>
        <w:t>### Executive Summary</w:t>
        <w:br/>
        <w:t>The agreement heavily favors the Provider with one-sided IP ownership, disproportionately low</w:t>
        <w:br/>
        <w:t>liability caps (INR 50,000), unilateral scope change rights, aggressive payment penalties (3%/month),</w:t>
        <w:br/>
        <w:t>and broad audit rights. Key missing protections such as SLA uptime guarantees, 72-hour data-breach</w:t>
        <w:br/>
        <w:t>notice, and force majeure increase uncertainty for the Client.</w:t>
        <w:br/>
        <w:br/>
        <w:t>### Flagged Clauses &amp; Redlines</w:t>
        <w:br/>
        <w:t>- **Clause 1: Scope of Services [Severity: High]**</w:t>
        <w:br/>
        <w:t xml:space="preserve">  - *Original:* "Provider may modify service specifications at any time without prior written approval..."</w:t>
        <w:br/>
        <w:t xml:space="preserve">  - *Revision:* "Require bilateral written agreement signed by both parties for specification changes."</w:t>
        <w:br/>
        <w:t>- **Clause 2: Fees and Payment [Severity: High]**</w:t>
        <w:br/>
        <w:t xml:space="preserve">  - *Original:* "Overdue amounts incur interest at 3% per month, compounded monthly. Suspension after 10 days."</w:t>
        <w:br/>
        <w:t xml:space="preserve">  - *Revision:* "Cap late interest at statutory 1% simple interest and extend cure window to 30 days."</w:t>
        <w:br/>
        <w:t>- **Clause 3: Intellectual Property [Severity: High]**</w:t>
        <w:br/>
        <w:t xml:space="preserve">  - *Original:* "All IP created by Provider shall be owned exclusively by Provider."</w:t>
        <w:br/>
        <w:t xml:space="preserve">  - *Revision:* "Client shall retain exclusive ownership of all commissioned deliverables paid for."</w:t>
        <w:br/>
        <w:t>- **Clause 5: Limitation of Liability [Severity: High]**</w:t>
        <w:br/>
        <w:t xml:space="preserve">  - *Original:* "Provider's aggregate liability shall not exceed INR 50,000."</w:t>
        <w:br/>
        <w:t xml:space="preserve">  - *Revision:* "Increase liability cap to 2x trailing twelve months contract fees."</w:t>
        <w:br/>
        <w:br/>
        <w:t>### Missing Standard Protections</w:t>
        <w:br/>
        <w:t>1. Service Level Agreement (SLA) with uptime guarantees (99.9%) and service credits.</w:t>
        <w:br/>
        <w:t>2. Mandatory 72-Hour Data Breach Notification obligation.</w:t>
        <w:br/>
        <w:t>3. Bilateral Force Majeure relief provision.</w:t>
      </w:r>
    </w:p>
    <w:p>
      <w:pPr>
        <w:spacing w:before="240" w:after="120" w:line="360" w:lineRule="auto"/>
        <w:jc w:val="left"/>
      </w:pPr>
      <w:r>
        <w:rPr>
          <w:rFonts w:ascii="Times New Roman" w:hAnsi="Times New Roman"/>
          <w:b/>
          <w:i w:val="0"/>
          <w:sz w:val="24"/>
          <w:rFonts w:ascii="Times New Roman" w:hAnsi="Times New Roman" w:cs="Times New Roman"/>
        </w:rPr>
        <w:t>APPENDIX D: BENCHMARK AND TEST EVALUATION SUMMARY</w:t>
      </w:r>
    </w:p>
    <w:p>
      <w:pPr>
        <w:spacing w:before="160" w:after="80"/>
        <w:jc w:val="center"/>
      </w:pPr>
      <w:r>
        <w:rPr>
          <w:rFonts w:ascii="Times New Roman" w:hAnsi="Times New Roman"/>
          <w:b/>
          <w:i w:val="0"/>
          <w:sz w:val="22"/>
          <w:rFonts w:ascii="Times New Roman" w:hAnsi="Times New Roman" w:cs="Times New Roman"/>
        </w:rPr>
        <w:t>Table 12.2: Benchmark and evaluation artifacts</w:t>
      </w:r>
    </w:p>
    <w:tbl>
      <w:tblPr>
        <w:tblW w:type="auto" w:w="0"/>
        <w:jc w:val="center"/>
        <w:tblLook w:firstColumn="1" w:firstRow="1" w:lastColumn="0" w:lastRow="0" w:noHBand="0" w:noVBand="1" w:val="04A0"/>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Pr>
      <w:tblGrid>
        <w:gridCol w:w="2770"/>
        <w:gridCol w:w="2770"/>
        <w:gridCol w:w="2770"/>
      </w:tblGrid>
      <w:tr>
        <w:tc>
          <w:tcPr>
            <w:tcW w:type="dxa" w:w="2592"/>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Evaluation Artifact</w:t>
            </w:r>
          </w:p>
        </w:tc>
        <w:tc>
          <w:tcPr>
            <w:tcW w:type="dxa" w:w="3888"/>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Location in Workspace</w:t>
            </w:r>
          </w:p>
        </w:tc>
        <w:tc>
          <w:tcPr>
            <w:tcW w:type="dxa" w:w="3600"/>
            <w:vAlign w:val="center"/>
            <w:shd w:fill="EBF5FB"/>
          </w:tcPr>
          <w:p>
            <w:pPr>
              <w:spacing w:before="80" w:after="80" w:line="276" w:lineRule="auto"/>
              <w:jc w:val="center"/>
            </w:pPr>
            <w:r>
              <w:rPr>
                <w:rFonts w:ascii="Times New Roman" w:hAnsi="Times New Roman"/>
                <w:b/>
                <w:i w:val="0"/>
                <w:sz w:val="20"/>
                <w:rFonts w:ascii="Times New Roman" w:hAnsi="Times New Roman" w:cs="Times New Roman"/>
              </w:rPr>
              <w:t>Verification Outcome</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Database State File</w:t>
            </w:r>
          </w:p>
        </w:tc>
        <w:tc>
          <w:tcPr>
            <w:tcW w:type="dxa" w:w="3888"/>
            <w:vAlign w:val="center"/>
          </w:tcPr>
          <w:p>
            <w:pPr>
              <w:spacing w:before="60" w:after="60" w:line="276" w:lineRule="auto"/>
              <w:jc w:val="left"/>
            </w:pPr>
            <w:r>
              <w:rPr>
                <w:rFonts w:ascii="Times New Roman" w:hAnsi="Times New Roman"/>
                <w:b w:val="0"/>
                <w:i w:val="0"/>
                <w:sz w:val="19"/>
                <w:rFonts w:ascii="Times New Roman" w:hAnsi="Times New Roman" w:cs="Times New Roman"/>
              </w:rPr>
              <w:t>backend/legal_analyzer.db</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Verified: users, contracts, analyses, clauses, recommendations tables</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Sample Markdown Report</w:t>
            </w:r>
          </w:p>
        </w:tc>
        <w:tc>
          <w:tcPr>
            <w:tcW w:type="dxa" w:w="3888"/>
            <w:vAlign w:val="center"/>
          </w:tcPr>
          <w:p>
            <w:pPr>
              <w:spacing w:before="60" w:after="60" w:line="276" w:lineRule="auto"/>
              <w:jc w:val="left"/>
            </w:pPr>
            <w:r>
              <w:rPr>
                <w:rFonts w:ascii="Times New Roman" w:hAnsi="Times New Roman"/>
                <w:b w:val="0"/>
                <w:i w:val="0"/>
                <w:sz w:val="19"/>
                <w:rFonts w:ascii="Times New Roman" w:hAnsi="Times New Roman" w:cs="Times New Roman"/>
              </w:rPr>
              <w:t>backend/reports/contract_12_report.md</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Verified: 172-line comprehensive risk report output</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Sample PDF Report</w:t>
            </w:r>
          </w:p>
        </w:tc>
        <w:tc>
          <w:tcPr>
            <w:tcW w:type="dxa" w:w="3888"/>
            <w:vAlign w:val="center"/>
          </w:tcPr>
          <w:p>
            <w:pPr>
              <w:spacing w:before="60" w:after="60" w:line="276" w:lineRule="auto"/>
              <w:jc w:val="left"/>
            </w:pPr>
            <w:r>
              <w:rPr>
                <w:rFonts w:ascii="Times New Roman" w:hAnsi="Times New Roman"/>
                <w:b w:val="0"/>
                <w:i w:val="0"/>
                <w:sz w:val="19"/>
                <w:rFonts w:ascii="Times New Roman" w:hAnsi="Times New Roman" w:cs="Times New Roman"/>
              </w:rPr>
              <w:t>backend/reports/contract_12_report.pdf</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Verified: 10,336 bytes binary ReportLab PDF dossier</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Sample Test Contracts</w:t>
            </w:r>
          </w:p>
        </w:tc>
        <w:tc>
          <w:tcPr>
            <w:tcW w:type="dxa" w:w="3888"/>
            <w:vAlign w:val="center"/>
          </w:tcPr>
          <w:p>
            <w:pPr>
              <w:spacing w:before="60" w:after="60" w:line="276" w:lineRule="auto"/>
              <w:jc w:val="left"/>
            </w:pPr>
            <w:r>
              <w:rPr>
                <w:rFonts w:ascii="Times New Roman" w:hAnsi="Times New Roman"/>
                <w:b w:val="0"/>
                <w:i w:val="0"/>
                <w:sz w:val="19"/>
                <w:rFonts w:ascii="Times New Roman" w:hAnsi="Times New Roman" w:cs="Times New Roman"/>
              </w:rPr>
              <w:t>backend/uploads/3_sample_risky_vendor_contract.pdf</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Verified: 29 KB realistic commercial agreement parsed</w:t>
            </w:r>
          </w:p>
        </w:tc>
      </w:tr>
      <w:tr>
        <w:tc>
          <w:tcPr>
            <w:tcW w:type="dxa" w:w="2592"/>
            <w:vAlign w:val="center"/>
          </w:tcPr>
          <w:p>
            <w:pPr>
              <w:spacing w:before="60" w:after="60" w:line="276" w:lineRule="auto"/>
              <w:jc w:val="center"/>
            </w:pPr>
            <w:r>
              <w:rPr>
                <w:rFonts w:ascii="Times New Roman" w:hAnsi="Times New Roman"/>
                <w:b w:val="0"/>
                <w:i w:val="0"/>
                <w:sz w:val="19"/>
                <w:rFonts w:ascii="Times New Roman" w:hAnsi="Times New Roman" w:cs="Times New Roman"/>
              </w:rPr>
              <w:t>Application Screenshot Set</w:t>
            </w:r>
          </w:p>
        </w:tc>
        <w:tc>
          <w:tcPr>
            <w:tcW w:type="dxa" w:w="3888"/>
            <w:vAlign w:val="center"/>
          </w:tcPr>
          <w:p>
            <w:pPr>
              <w:spacing w:before="60" w:after="60" w:line="276" w:lineRule="auto"/>
              <w:jc w:val="left"/>
            </w:pPr>
            <w:r>
              <w:rPr>
                <w:rFonts w:ascii="Times New Roman" w:hAnsi="Times New Roman"/>
                <w:b w:val="0"/>
                <w:i w:val="0"/>
                <w:sz w:val="19"/>
                <w:rFonts w:ascii="Times New Roman" w:hAnsi="Times New Roman" w:cs="Times New Roman"/>
              </w:rPr>
              <w:t>assets/fig_8_1_landing.png to fig_8_16_report_export.png</w:t>
            </w:r>
          </w:p>
        </w:tc>
        <w:tc>
          <w:tcPr>
            <w:tcW w:type="dxa" w:w="3600"/>
            <w:vAlign w:val="center"/>
          </w:tcPr>
          <w:p>
            <w:pPr>
              <w:spacing w:before="60" w:after="60" w:line="276" w:lineRule="auto"/>
              <w:jc w:val="left"/>
            </w:pPr>
            <w:r>
              <w:rPr>
                <w:rFonts w:ascii="Times New Roman" w:hAnsi="Times New Roman"/>
                <w:b w:val="0"/>
                <w:i w:val="0"/>
                <w:sz w:val="19"/>
                <w:rFonts w:ascii="Times New Roman" w:hAnsi="Times New Roman" w:cs="Times New Roman"/>
              </w:rPr>
              <w:t>Verified: 16 high-resolution screenshots generated for Chapter 8</w:t>
            </w:r>
          </w:p>
        </w:tc>
      </w:tr>
    </w:tbl>
    <w:p>
      <w:pPr>
        <w:spacing w:after="160"/>
      </w:pPr>
    </w:p>
    <w:sectPr w:rsidR="00FC693F" w:rsidRPr="0006063C" w:rsidSect="00034616">
      <w:pgSz w:w="11909" w:h="16834"/>
      <w:pgMar w:top="1440" w:right="1440" w:bottom="1440" w:left="216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2"/>
        <w:rFonts w:ascii="Times New Roman" w:hAnsi="Times New Roman" w:cs="Times New Roman"/>
      </w:rPr>
      <w:fldChar w:fldCharType="begin"/>
      <w:instrText xml:space="preserve"> PAGE </w:instrText>
      <w:fldChar w:fldCharType="separate"/>
      <w:fldChar w:fldCharType="end"/>
    </w:r>
    <w:r>
      <w:rPr>
        <w:rFonts w:ascii="Times New Roman" w:hAnsi="Times New Roman"/>
        <w:b w:val="0"/>
        <w:i w:val="0"/>
        <w:sz w:val="22"/>
        <w:rFonts w:ascii="Times New Roman" w:hAnsi="Times New Roman" w:cs="Times New Roman"/>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