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Annexure-1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ELEVATE Nxt (Deeptech) 2026 — Detailed Tranche Plan &amp; Project Milestones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DataFrontier Innovations Private Limited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Title of the Project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UPII — Unified Personal Intelligence Interface: A Local-First, Privacy-Preserving Sovereign-Memory Substrate for Knowledge Workers.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Description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DataFrontier Innovations Private Limited is developing UPII, a local-first artificial-intelligence memory substrate that captures a knowledge worker’s digital footprint — documents, notes, calendar and mail — and turns it into an addressable, queryable and reasoning-capable extension of their own recall. The entire memory loop (capture, embedding, retrieval and reasoning) runs on the user’s own machine: embeddings are computed locally with sentence-transformer (MiniLM-class) models, vectors are stored on-disk in LanceDB, and a local SQLite store is the metadata source of truth. A cloud large-language model is treated as an optional, swappable accelerator rather than a dependency, so the system delivers cloud-grade recall and synthesis while no corpus byte is required to leave the device.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Problem Statement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 make today’s AI genuinely useful, individuals and enterprises are forced into a damaging trade-off — upload their entire digital brain (emails, contracts, strategy) to a third-party cloud, or settle for generic, context-blind AI. For regulated industries, technology leaders handling sensitive partner data, and privacy-conscious users, ‘uploading everything’ is simply not an option. This is the Context Gap: the friction between data sovereignty and AI utility. Mainstream ‘second-brain’ and RAG products externalise the corpus to a provider, embed it remotely, and rent the reasoning back to the user — surrendering privacy, incurring latency, and creating vendor lock-in.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Product / Solution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UPII inverts the prevailing model and asks: what is the minimum architecture that delivers cloud-grade recall and synthesis while the data substrate never leaves the edge? It is built on three properties: (1) Sovereignty by construction — local embeddings, on-disk vectors and a local metadata source of truth, so no corpus byte must leave the device for the system to function; (2) Verifiable memory — every answer is traceable to its source chunks via content-addressed identifiers, so retrieval is attributed, not merely plausible; and (3) Graceful degradation — reasoning is pluggable between a local model (Ollama) and an optional remote model (Gemini), and the retrieval substrate still answers even when inference is unavailable. The core innovation is the multi-signal Context Rehydrator, which fuses semantic (dense vector similarity), temporal (recency- and calendar-aware) and relational (a lightweight on-device knowledge graph) signals into a single ranked context window — treating recall as a sensor-fusion problem rather than cosine distance alone. Ambient, consent-gated capture keeps the substrate current, and attributed synthesis answers in the user’s own voice while citing its sources.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Company Details &amp; Grant Summary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760"/>
      </w:tblGrid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Company</w:t>
            </w:r>
          </w:p>
        </w:tc>
        <w:tc>
          <w:tcPr>
            <w:tcW w:type="dxa" w:w="9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DataFrontier Innovations Private Limited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9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L-148, Bhive Workspace, 5th Main Road, Sector 6, Bengaluru, Bengaluru Urban, Karnataka – 560102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Grant Sanctioned</w:t>
            </w:r>
          </w:p>
        </w:tc>
        <w:tc>
          <w:tcPr>
            <w:tcW w:type="dxa" w:w="9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₹ 95,00,000/- (Rupees Ninety-Five Lakhs only)</w:t>
            </w:r>
          </w:p>
        </w:tc>
      </w:tr>
      <w:tr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Duration</w:t>
            </w:r>
          </w:p>
        </w:tc>
        <w:tc>
          <w:tcPr>
            <w:tcW w:type="dxa" w:w="97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months from date of MoA signing (Tranche-1: 6 months; Tranche-2: 6 months)</w:t>
            </w:r>
          </w:p>
        </w:tc>
      </w:tr>
    </w:tbl>
    <w:p>
      <w:pPr>
        <w:pageBreakBefore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Milestones with Timelines (Tranche Plan)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Milestones are measurable, demonstrable and time-bound; the Completion Demonstration column states the concrete evidence (reports, demos, invoices, filing numbers) produced for each. Where a fixed quantitative target would otherwise be pre-committed, the plan instead establishes a baseline on a defined dataset and demonstrates a measurable improvement — keeping each milestone objective and verifiable without over-committing to specific figures. Total project duration is 12 months, split into two equal-value tranches.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2560"/>
        <w:gridCol w:w="520"/>
        <w:gridCol w:w="3200"/>
        <w:gridCol w:w="2960"/>
      </w:tblGrid>
      <w:tr>
        <w:trPr>
          <w:tblHeader/>
        </w:trPr>
        <w:tc>
          <w:tcPr>
            <w:tcW w:type="dxa" w:w="6280"/>
            <w:gridSpan w:val="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TRANCHE-1  (Duration: 6 months)</w:t>
            </w:r>
          </w:p>
        </w:tc>
        <w:tc>
          <w:tcPr>
            <w:tcW w:type="dxa" w:w="6680"/>
            <w:gridSpan w:val="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TRANCHE-2  (Duration: 6 months)</w:t>
            </w:r>
          </w:p>
        </w:tc>
      </w:tr>
      <w:tr>
        <w:trPr>
          <w:tblHeader/>
        </w:trP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Milestone(s)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Demonstration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Milestone(s)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Demonstration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R&amp;D / test infrastructure and establish performance baselines — procure and commission the Mac Studio (M3 Ultra) inference rig, developer workstations, cross-platform &amp; mobile test fleet and storage; stand up the local embedding, vector-store and retrieval pipeline.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invoices in the name of the startup; a baseline benchmark report recording ingestion throughput and median retrieval latency on a representative corpus (baselines established, not pre-committed to fixed figures).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 connectors — consent-gated mail and/or calendar capture routed through an approval inbox before entering durable memory; at least one connector live (target: both).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ingestion of a mail or calendar source with a consent-and-approval walkthrough; demonstration of the approval inbox gating ambient events before they reach durable memory.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Harden content-addressed ingestion and deterministic chunking — deduplication, chunk-level edit diffing and delete-handling, with reproducible chunk hashes on re-ingestion.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 test report demonstrating identical chunk hashes when the same inputs are re-ingested, and a recorded CLI demonstration (upii ingest) re-running identical inputs to an identical memory state.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Attributed synthesis and answer verification — citation-grounded answers with a guardrail that abstains when retrieval confidence is low; reasoning pluggable between local (Ollama) and optional remote models.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report that establishes a citation-accuracy baseline and demonstrates measurable improvement, plus a side-by-side demonstration of local vs optional-remote reasoning on identical queries.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Rehydrator v2 — fuse semantic, temporal and relational signals into a single ranked context window; establish a retrieval-quality baseline on an internal labelled evaluation set.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report that establishes a retrieval-quality baseline and demonstrates a measurable improvement from multi-signal fusion over a semantic-only baseline, plus a live upii ask demonstration of fused ranking.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packaged release v1.0 — signed installers for desktop operating systems, with doctor and metrics observability commands.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Clean-machine installation demonstrated on at least two desktop operating systems (target: macOS, Windows and Linux); tagged v1.0 release notes and a successful upii doctor health check.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knowledge-graph extraction — rule-based entity and relation extraction for projects, people and organisations, built entirely on-device.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report that establishes an entity-extraction quality baseline on a labelled set and demonstrates measurable improvement, plus a knowledge-graph visualisation of extracted entities and relations.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Multi-device sync architecture — single-user sync across the user's own devices over the local network (no cloud, no data leaving the user's devices), with on-device retrieval on mobile; on-device generative inference on mobile as a stretch goal.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demonstration of a memory captured on the laptop being retrieved on at least one other device (phone or iPad) over the local network with nothing leaving the user's devices; on-device mobile retrieval demonstrated (on-device generative inference shown as a stretch goal).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a provisional patent application covering UPII's novel methods (sovereign multi-signal context rehydration and attributed on-device memory).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Filed provisional patent application bearing the official application / receipt number. Filing cost is met from the startup's own funds (not the grant) and is separately claimable under Karnataka Startup Policy incentives.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Design-partner pilot — deploy UPII to a small cohort of pilot users and collect usage and reliability metrics over a multi-week window.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Pilot report with anonymised usage metrics (active users, queries served, retrieval latency) and user testimonials.</w:t>
            </w:r>
          </w:p>
        </w:tc>
      </w:tr>
      <w:tr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Tranche-1 review and reporting — consolidate Tranche-1 technical deliverables and financials for milestone verification.</w:t>
            </w:r>
          </w:p>
        </w:tc>
        <w:tc>
          <w:tcPr>
            <w:tcW w:type="dxa" w:w="25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Tranche-1 completion report and demo video; CA-attested Utilisation Certificate, audited statement of expenditure and No-Lien account statement for Tranche-1.</w:t>
            </w:r>
          </w:p>
        </w:tc>
        <w:tc>
          <w:tcPr>
            <w:tcW w:type="dxa" w:w="52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closure — final completion report, financial closure and incubation engagement with the K-tech Implementation Partner.</w:t>
            </w:r>
          </w:p>
        </w:tc>
        <w:tc>
          <w:tcPr>
            <w:tcW w:type="dxa" w:w="2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project completion package: completion report, CA-attested UC and audited statement of expenditure; evidence of ₹1,00,000 own-funds expenditure through the No-Lien account and ₹25,000 earmarked to the K-tech Innovation Hub.</w:t>
            </w:r>
          </w:p>
        </w:tc>
      </w:tr>
    </w:tbl>
    <w:p>
      <w:pPr>
        <w:pageBreakBefore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Expenditure Details (In INR Lakhs)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Total grant of ₹95.00 lakhs is split into two equal tranches of ₹47.50 lakhs each. All cost-head allocations are within the prescribed caps, with Product Development / R&amp;D deliberately weighted above the 40% minimum to reflect the deeptech nature of the build.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 1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 2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Grant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Development / R&amp;D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(Minimum 40% of grant)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53.00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55.8%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Outsourcing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(Not exceeding 20%)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Salaries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(Not exceeding 20%)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18.9%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(Not exceeding 10%)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8.4%</w:t>
            </w:r>
          </w:p>
        </w:tc>
      </w:tr>
      <w:tr>
        <w:tc>
          <w:tcPr>
            <w:tcW w:type="dxa" w:w="3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(Not exceeding 10%)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6.50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7.4%</w:t>
            </w:r>
          </w:p>
        </w:tc>
      </w:tr>
      <w:tr>
        <w:tc>
          <w:tcPr>
            <w:tcW w:type="dxa" w:w="6000"/>
            <w:gridSpan w:val="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(In INR Lakhs)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47.50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47.50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95.00</w:t>
            </w:r>
          </w:p>
        </w:tc>
        <w:tc>
          <w:tcPr>
            <w:tcW w:type="dxa" w:w="174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Hardware Procurement List (under Product Development / R&amp;D)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Per the ELEVATE Nxt Grant Utilization Guidelines, the following hardware is required to develop and test the product. Hardware is funded under the Product Development / R&amp;D head and totals ₹20.00 lakhs — 37.7% of the ₹53.00 lakh R&amp;D capex, comfortably within the 60%-of-capex hardware cap. The primary inference rig is a Mac Studio (M3 Ultra) rather than a discrete-GPU PC: UPII is a local-first product whose reasoning runs on-device, and Apple-Silicon unified memory (96 GB at 819 GB/s) loads large models locally while matching the macOS/Apple-Silicon deployment target, making the benchmark numbers representative of real users. The core rig (₹18.00 lakhs) is procured up-front in Tranche-1; the mobile &amp; multi-device fleet (₹2.00 lakhs) is procured in Tranche-2 when the on-device mobile inference and multi-device sync milestones begin. All equipment will be procured by the startup, with original invoices and payment receipts in the company’s name furnished as proof.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  <w:gridCol w:w="14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/ Equipment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(Product Development / R&amp;D)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Tranche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 Lakhs)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× Mac Studio (M3 Ultra — 32-core CPU, 80-core GPU, 96 GB unified memory, 1 TB SSD) + Studio Display, keyboard &amp; mouse + AppleCare+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local LLM-inference &amp; embedding R&amp;D rig; 819 GB/s unified-memory bandwidth runs large models fully on-device (UPII’s core thesis) and matches the macOS/Apple-Silicon deployment target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9.00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× Developer workstations (high-core CPU, 64–128 GB RAM)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Ingestion, indexing and deterministic-chunking pipeline development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test device fleet (macOS, Windows, Linux mini-PCs / laptops)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Local-first compatibility and packaged-release testing across desktop operating systems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Network-attached storage + high-speed SSDs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test corpora, vector store and reproducible backups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UPS, networking and peripherals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Reliable, uninterrupted R&amp;D test environment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4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&amp; multi-device test fleet (iPhone, Android phone, iPad)</w:t>
            </w:r>
          </w:p>
        </w:tc>
        <w:tc>
          <w:tcPr>
            <w:tcW w:type="dxa" w:w="5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On-device mobile inference and single-user multi-device (laptop + phone + iPad) sync testing; procured in Tranche-2 when the sync/mobile milestones begin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2.00</w:t>
            </w:r>
          </w:p>
        </w:tc>
      </w:tr>
      <w:tr>
        <w:tc>
          <w:tcPr>
            <w:tcW w:type="dxa" w:w="11000"/>
            <w:gridSpan w:val="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hardware (37.7% of R&amp;D capex — within the 60% cap; Tranche-1 ₹18.00L + Tranche-2 ₹2.00L)</w:t>
            </w:r>
          </w:p>
        </w:tc>
        <w:tc>
          <w:tcPr>
            <w:tcW w:type="dxa" w:w="196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20.00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Compliance Notes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All grant funds will be received into and spent exclusively from the dedicated No-Lien account opened for ELEVATE Nxt (Grant-in-Aid).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Cost-head caps are respected: R&amp;D 55.8% (≥40% min), Outsourcing 9.5%, Salaries 18.9%, Admin 8.4%, Marketing 7.4% (each ≤ its cap). Hardware is ≤ 60% of the R&amp;D capex.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Salaries are budgeted for personnel recruited for product development/R&amp;D; no single Director/Founder/Partner heading the project will be paid more than ₹50,000 per month from the grant.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The startup will expend ₹1,00,000 of its own funds through the No-Lien account in the final milestone for project closure, and will earmark ₹25,000 (₹15,000 mentoring/incubation + ₹10,000 document verification) to the K-tech Innovation Hub.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No grant funds will be used for vehicles, furniture, civil/construction/repair work, rental advances/deposits, food/beverages, local travel, international trips/visa, or patent filing (claimable separately under Karnataka Startup Policy incentives).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The project will be completed within 12 months of MoA execution; any deviation in the approved Tranche Plan will be submitted to the ELEVATE Nxt Review Committee for written approval before being acted upon.</w:t>
      </w:r>
    </w:p>
    <w:p>
      <w:pPr>
        <w:spacing w:before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DataFrontier Innovations Private Limited</w:t>
      </w:r>
    </w:p>
    <w:p>
      <w:pPr>
        <w:spacing w:before="200"/>
      </w:pPr>
      <w:r>
        <w:rPr>
          <w:rFonts w:ascii="Arial" w:cs="Arial" w:eastAsia="Arial" w:hAnsi="Arial"/>
          <w:sz w:val="19"/>
          <w:szCs w:val="19"/>
        </w:rPr>
        <w:t xml:space="preserve">Authorized Signatory: __________________________     Name &amp; Designation: __________________________     Date: ____________     (Company Seal)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2026-07-01T06:15:34.054Z</dcterms:created>
  <dcterms:modified xsi:type="dcterms:W3CDTF">2026-07-01T06:15:34.057Z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