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3240000" cy="1071225"/>
            <wp:docPr id="1" name="Picture 1"/>
            <wp:cNvGraphicFramePr>
              <a:graphicFrameLocks noChangeAspect="1"/>
            </wp:cNvGraphicFramePr>
            <a:graphic>
              <a:graphicData uri="http://schemas.openxmlformats.org/drawingml/2006/picture">
                <pic:pic>
                  <pic:nvPicPr>
                    <pic:cNvPr id="0" name="medbury-logo.png"/>
                    <pic:cNvPicPr/>
                  </pic:nvPicPr>
                  <pic:blipFill>
                    <a:blip r:embed="rId12"/>
                    <a:stretch>
                      <a:fillRect/>
                    </a:stretch>
                  </pic:blipFill>
                  <pic:spPr>
                    <a:xfrm>
                      <a:off x="0" y="0"/>
                      <a:ext cx="3240000" cy="1071225"/>
                    </a:xfrm>
                    <a:prstGeom prst="rect"/>
                  </pic:spPr>
                </pic:pic>
              </a:graphicData>
            </a:graphic>
          </wp:inline>
        </w:drawing>
      </w:r>
    </w:p>
    <w:p/>
    <w:p/>
    <w:p/>
    <w:p/>
    <w:p>
      <w:pPr>
        <w:jc w:val="center"/>
        <w:pBdr>
          <w:bottom w:val="single" w:sz="24" w:space="4" w:color="E31E24"/>
        </w:pBdr>
      </w:pPr>
      <w:r>
        <w:rPr>
          <w:b/>
          <w:sz w:val="60"/>
        </w:rPr>
        <w:t>CLINICAL SERVICES PROPOSAL</w:t>
      </w:r>
    </w:p>
    <w:p>
      <w:pPr>
        <w:spacing w:before="240"/>
        <w:jc w:val="center"/>
      </w:pPr>
      <w:r>
        <w:rPr>
          <w:color w:val="666666"/>
          <w:sz w:val="28"/>
        </w:rPr>
        <w:t>GetSlim to deliver metabolic and weight management services</w:t>
        <w:br/>
        <w:t>at Medlyfe, The Lyfe Place, Lekki Phase 1</w:t>
      </w:r>
    </w:p>
    <w:p/>
    <w:p/>
    <w:p/>
    <w:p/>
    <w:p/>
    <w:p/>
    <w:p/>
    <w:p>
      <w:pPr>
        <w:spacing w:after="80"/>
        <w:jc w:val="center"/>
      </w:pPr>
      <w:r>
        <w:rPr>
          <w:b/>
          <w:color w:val="E31E24"/>
        </w:rPr>
        <w:t>Prepared By:</w:t>
      </w:r>
    </w:p>
    <w:p>
      <w:pPr>
        <w:spacing w:after="80"/>
        <w:jc w:val="center"/>
      </w:pPr>
      <w:r>
        <w:rPr>
          <w:b/>
          <w:color w:val="222222"/>
        </w:rPr>
        <w:t>Medbury Healthcare Group</w:t>
      </w:r>
    </w:p>
    <w:p>
      <w:pPr>
        <w:spacing w:after="80"/>
        <w:jc w:val="center"/>
      </w:pPr>
      <w:r>
        <w:rPr>
          <w:b/>
          <w:color w:val="222222"/>
        </w:rPr>
        <w:t>9 October 2026</w:t>
      </w:r>
    </w:p>
    <w:p>
      <w:r>
        <w:br w:type="page"/>
      </w:r>
    </w:p>
    <w:p>
      <w:pPr>
        <w:pStyle w:val="Heading1"/>
        <w:pBdr>
          <w:bottom w:val="single" w:sz="12" w:space="4" w:color="E31E24"/>
        </w:pBdr>
      </w:pPr>
      <w:r>
        <w:t>The Proposal</w:t>
      </w:r>
    </w:p>
    <w:p>
      <w:r>
        <w:rPr/>
        <w:t>Medbury Healthcare Group proposes that Medlyfe offers metabolic and weight management services to its clients at The Lyfe Place, Admiralty Way, Lekki Phase 1, and that GetSlim delivers those services under a service level agreement.</w:t>
      </w:r>
    </w:p>
    <w:p>
      <w:r>
        <w:rPr/>
        <w:t>Medlyfe provides the premises, the fit-out and the equipment, sells the service under its brand and markets it. GetSlim provides the clinicians and the clinical standard, and is paid a share of every naira collected for the services it delivers. GetSlim pays no rent and invests no capital.</w:t>
      </w:r>
    </w:p>
    <w:p>
      <w:r>
        <w:rPr/>
        <w:t>The Lyfe Place is a premium lifestyle destination built around six pillars: Fitness, Health and Wellness, Aesthetics, Retail, Community and Relaxation. Weight and metabolic health sit naturally beside the Fitness and Health and Wellness pillars, among people already spending on their health every week.</w:t>
      </w:r>
    </w:p>
    <w:p>
      <w:pPr>
        <w:pStyle w:val="Heading2"/>
      </w:pPr>
      <w:r>
        <w:t>A partnership across Lagos</w:t>
      </w:r>
    </w:p>
    <w:p>
      <w:r>
        <w:rPr/>
        <w:t>Medbury would like the partnership to cover GetSlim's whole Lagos practice, not only the service at The Lyfe Place. GetSlim and Medlyfe would then work as one weight and metabolic service for Lagos, with The Lyfe Place as its first shared site.</w:t>
      </w:r>
    </w:p>
    <w:p>
      <w:r>
        <w:rPr/>
        <w:t>We would like to agree the shape of that wider partnership together, including how GetSlim's existing Lagos clinic takes part.</w:t>
      </w:r>
    </w:p>
    <w:p>
      <w:pPr>
        <w:pStyle w:val="Heading2"/>
      </w:pPr>
      <w:r>
        <w:t>What each party brings</w:t>
      </w:r>
    </w:p>
    <w:tbl>
      <w:tblPr>
        <w:tblStyle w:val="TableGrid"/>
        <w:tblW w:type="auto" w:w="0"/>
        <w:jc w:val="center"/>
        <w:tblLook w:firstColumn="1" w:firstRow="1" w:lastColumn="0" w:lastRow="0" w:noHBand="0" w:noVBand="1" w:val="04A0"/>
      </w:tblPr>
      <w:tblGrid>
        <w:gridCol w:w="4536"/>
        <w:gridCol w:w="4536"/>
      </w:tblGrid>
      <w:tr>
        <w:tc>
          <w:tcPr>
            <w:tcW w:type="dxa" w:w="4535"/>
            <w:shd w:val="clear" w:color="auto" w:fill="E31E24"/>
          </w:tcPr>
          <w:p>
            <w:pPr>
              <w:spacing w:after="60"/>
            </w:pPr>
            <w:r>
              <w:rPr>
                <w:b/>
                <w:color w:val="FFFFFF"/>
                <w:sz w:val="20"/>
              </w:rPr>
              <w:t>Medlyfe (Medbury Healthcare Group)</w:t>
            </w:r>
          </w:p>
        </w:tc>
        <w:tc>
          <w:tcPr>
            <w:tcW w:type="dxa" w:w="4535"/>
            <w:shd w:val="clear" w:color="auto" w:fill="E31E24"/>
          </w:tcPr>
          <w:p>
            <w:pPr>
              <w:spacing w:after="60"/>
            </w:pPr>
            <w:r>
              <w:rPr>
                <w:b/>
                <w:color w:val="FFFFFF"/>
                <w:sz w:val="20"/>
              </w:rPr>
              <w:t>GetSlim</w:t>
            </w:r>
          </w:p>
        </w:tc>
      </w:tr>
      <w:tr>
        <w:tc>
          <w:tcPr>
            <w:tcW w:type="dxa" w:w="4535"/>
          </w:tcPr>
          <w:p>
            <w:pPr>
              <w:spacing w:after="60"/>
            </w:pPr>
            <w:r>
              <w:rPr>
                <w:b w:val="0"/>
                <w:sz w:val="20"/>
              </w:rPr>
              <w:t>Dedicated clinical space at The Lyfe Place</w:t>
            </w:r>
          </w:p>
          <w:p>
            <w:pPr>
              <w:spacing w:after="60"/>
            </w:pPr>
            <w:r>
              <w:rPr>
                <w:sz w:val="20"/>
              </w:rPr>
              <w:t>Fit-out and all clinical equipment (capital expenditure)</w:t>
            </w:r>
          </w:p>
          <w:p>
            <w:pPr>
              <w:spacing w:after="60"/>
            </w:pPr>
            <w:r>
              <w:rPr>
                <w:sz w:val="20"/>
              </w:rPr>
              <w:t>Facility registration and licensing</w:t>
            </w:r>
          </w:p>
          <w:p>
            <w:pPr>
              <w:spacing w:after="60"/>
            </w:pPr>
            <w:r>
              <w:rPr>
                <w:sz w:val="20"/>
              </w:rPr>
              <w:t>Brand, marketing and client acquisition</w:t>
            </w:r>
          </w:p>
          <w:p>
            <w:pPr>
              <w:spacing w:after="60"/>
            </w:pPr>
            <w:r>
              <w:rPr>
                <w:sz w:val="20"/>
              </w:rPr>
              <w:t>Reception, booking, billing and collections</w:t>
            </w:r>
          </w:p>
          <w:p>
            <w:pPr>
              <w:spacing w:after="60"/>
            </w:pPr>
            <w:r>
              <w:rPr>
                <w:sz w:val="20"/>
              </w:rPr>
              <w:t>Consumables and clinical supplies</w:t>
            </w:r>
          </w:p>
          <w:p>
            <w:pPr>
              <w:spacing w:after="60"/>
            </w:pPr>
            <w:r>
              <w:rPr>
                <w:sz w:val="20"/>
              </w:rPr>
              <w:t>Patient records system</w:t>
            </w:r>
          </w:p>
          <w:p>
            <w:pPr>
              <w:spacing w:after="60"/>
            </w:pPr>
            <w:r>
              <w:rPr>
                <w:sz w:val="20"/>
              </w:rPr>
              <w:t>Corporate clients and Medbury Group referrals</w:t>
            </w:r>
          </w:p>
        </w:tc>
        <w:tc>
          <w:tcPr>
            <w:tcW w:type="dxa" w:w="4535"/>
          </w:tcPr>
          <w:p>
            <w:pPr>
              <w:spacing w:after="60"/>
            </w:pPr>
            <w:r>
              <w:rPr>
                <w:b w:val="0"/>
                <w:sz w:val="20"/>
              </w:rPr>
              <w:t>A named lead bariatric surgeon and the clinical team</w:t>
            </w:r>
          </w:p>
          <w:p>
            <w:pPr>
              <w:spacing w:after="60"/>
            </w:pPr>
            <w:r>
              <w:rPr>
                <w:sz w:val="20"/>
              </w:rPr>
              <w:t>Clinical protocols and standards</w:t>
            </w:r>
          </w:p>
          <w:p>
            <w:pPr>
              <w:spacing w:after="60"/>
            </w:pPr>
            <w:r>
              <w:rPr>
                <w:sz w:val="20"/>
              </w:rPr>
              <w:t>Clinical governance and quality assurance</w:t>
            </w:r>
          </w:p>
          <w:p>
            <w:pPr>
              <w:spacing w:after="60"/>
            </w:pPr>
            <w:r>
              <w:rPr>
                <w:sz w:val="20"/>
              </w:rPr>
              <w:t>Professional registration and indemnity for every clinician</w:t>
            </w:r>
          </w:p>
          <w:p>
            <w:pPr>
              <w:spacing w:after="60"/>
            </w:pPr>
            <w:r>
              <w:rPr>
                <w:sz w:val="20"/>
              </w:rPr>
              <w:t>Clinical input into the service menu and pricing</w:t>
            </w:r>
          </w:p>
          <w:p>
            <w:pPr>
              <w:spacing w:after="60"/>
            </w:pPr>
            <w:r>
              <w:rPr>
                <w:sz w:val="20"/>
              </w:rPr>
              <w:t>Training of Medlyfe support staff</w:t>
            </w:r>
          </w:p>
        </w:tc>
      </w:tr>
    </w:tbl>
    <w:p/>
    <w:p>
      <w:r>
        <w:br w:type="page"/>
      </w:r>
    </w:p>
    <w:p>
      <w:pPr>
        <w:pStyle w:val="Heading1"/>
        <w:pBdr>
          <w:bottom w:val="single" w:sz="12" w:space="4" w:color="E31E24"/>
        </w:pBdr>
      </w:pPr>
      <w:r>
        <w:t>The Service</w:t>
      </w:r>
    </w:p>
    <w:p>
      <w:r>
        <w:rPr/>
        <w:t>Medlyfe will fit out consultation rooms, a body composition and nutrition suite and a treatment room for injectable therapy, with reception and waiting shared across the Lyfe Place clinical floor. The service menu will include:</w:t>
      </w:r>
    </w:p>
    <w:p>
      <w:pPr>
        <w:pStyle w:val="ListBullet"/>
        <w:spacing w:after="40"/>
      </w:pPr>
      <w:r>
        <w:rPr/>
        <w:t>Medical weight management, including GLP-1 programmes</w:t>
      </w:r>
    </w:p>
    <w:p>
      <w:pPr>
        <w:pStyle w:val="ListBullet"/>
        <w:spacing w:after="40"/>
      </w:pPr>
      <w:r>
        <w:rPr/>
        <w:t>Bariatric surgery assessment and preparation</w:t>
      </w:r>
    </w:p>
    <w:p>
      <w:pPr>
        <w:pStyle w:val="ListBullet"/>
        <w:spacing w:after="40"/>
      </w:pPr>
      <w:r>
        <w:rPr/>
        <w:t>Post-operative bariatric follow-up</w:t>
      </w:r>
    </w:p>
    <w:p>
      <w:pPr>
        <w:pStyle w:val="ListBullet"/>
        <w:spacing w:after="40"/>
      </w:pPr>
      <w:r>
        <w:rPr/>
        <w:t>Metabolic and diabetes risk assessment</w:t>
      </w:r>
    </w:p>
    <w:p>
      <w:pPr>
        <w:pStyle w:val="ListBullet"/>
        <w:spacing w:after="40"/>
      </w:pPr>
      <w:r>
        <w:rPr/>
        <w:t>Nutrition and dietetic counselling</w:t>
      </w:r>
    </w:p>
    <w:p>
      <w:pPr>
        <w:pStyle w:val="ListBullet"/>
        <w:spacing w:after="40"/>
      </w:pPr>
      <w:r>
        <w:rPr/>
        <w:t>Body composition analysis</w:t>
      </w:r>
    </w:p>
    <w:p>
      <w:pPr>
        <w:pStyle w:val="ListBullet"/>
        <w:spacing w:after="160"/>
      </w:pPr>
      <w:r>
        <w:rPr/>
        <w:t>Corporate weight and metabolic health programmes</w:t>
      </w:r>
    </w:p>
    <w:p>
      <w:r>
        <w:rPr/>
        <w:t>Bariatric and endoscopic procedures are performed at an accredited partner hospital and sold by Medlyfe as an all-inclusive package. Assessment, preparation and follow-up happen at The Lyfe Place.</w:t>
      </w:r>
    </w:p>
    <w:p>
      <w:pPr>
        <w:pStyle w:val="Heading2"/>
      </w:pPr>
      <w:r>
        <w:t>How it works for a client</w:t>
      </w:r>
    </w:p>
    <w:p>
      <w:pPr>
        <w:pStyle w:val="ListBullet"/>
        <w:spacing w:after="40"/>
      </w:pPr>
      <w:r>
        <w:rPr/>
        <w:t>The client books and pays Medlyfe.</w:t>
      </w:r>
    </w:p>
    <w:p>
      <w:pPr>
        <w:pStyle w:val="ListBullet"/>
        <w:spacing w:after="40"/>
      </w:pPr>
      <w:r>
        <w:rPr/>
        <w:t>A GetSlim clinician sees the client in Medlyfe rooms, to GetSlim's protocols.</w:t>
      </w:r>
    </w:p>
    <w:p>
      <w:pPr>
        <w:pStyle w:val="ListBullet"/>
        <w:spacing w:after="40"/>
      </w:pPr>
      <w:r>
        <w:rPr/>
        <w:t>Notes are written into Medlyfe's records system on the day.</w:t>
      </w:r>
    </w:p>
    <w:p>
      <w:pPr>
        <w:pStyle w:val="ListBullet"/>
        <w:spacing w:after="160"/>
      </w:pPr>
      <w:r>
        <w:rPr/>
        <w:t>Medlyfe handles follow-up, recall and client care.</w:t>
      </w:r>
    </w:p>
    <w:p>
      <w:r>
        <w:br w:type="page"/>
      </w:r>
    </w:p>
    <w:p>
      <w:pPr>
        <w:pStyle w:val="Heading1"/>
        <w:pBdr>
          <w:bottom w:val="single" w:sz="12" w:space="4" w:color="E31E24"/>
        </w:pBdr>
      </w:pPr>
      <w:r>
        <w:t>How We Would Work Together</w:t>
      </w:r>
    </w:p>
    <w:p>
      <w:pPr>
        <w:pStyle w:val="ListBullet"/>
        <w:spacing w:after="40"/>
      </w:pPr>
      <w:r>
        <w:rPr/>
        <w:t>Medlyfe sells the service, sets prices with GetSlim's clinical input, and collects all revenue.</w:t>
      </w:r>
    </w:p>
    <w:p>
      <w:pPr>
        <w:pStyle w:val="ListBullet"/>
        <w:spacing w:after="40"/>
      </w:pPr>
      <w:r>
        <w:rPr/>
        <w:t>GetSlim is paid a share of what is collected for the services it delivers.</w:t>
      </w:r>
    </w:p>
    <w:p>
      <w:pPr>
        <w:pStyle w:val="ListBullet"/>
        <w:spacing w:after="40"/>
      </w:pPr>
      <w:r>
        <w:rPr/>
        <w:t>GetSlim employs its own clinicians. Medlyfe employs front-of-house staff.</w:t>
      </w:r>
    </w:p>
    <w:p>
      <w:pPr>
        <w:pStyle w:val="ListBullet"/>
        <w:spacing w:after="40"/>
      </w:pPr>
      <w:r>
        <w:rPr/>
        <w:t>An agreement sets service levels on sessions, access, records and client experience, reviewed jointly.</w:t>
      </w:r>
    </w:p>
    <w:p>
      <w:pPr>
        <w:pStyle w:val="ListBullet"/>
        <w:spacing w:after="40"/>
      </w:pPr>
      <w:r>
        <w:rPr/>
        <w:t>Clients who come through Medlyfe are Medlyfe clients. GetSlim's existing patients remain its own, although we hope Medlyfe at The Lyfe Place becomes GetSlim's destination in Lagos.</w:t>
      </w:r>
    </w:p>
    <w:p>
      <w:pPr>
        <w:pStyle w:val="ListBullet"/>
        <w:spacing w:after="160"/>
      </w:pPr>
      <w:r>
        <w:rPr/>
        <w:t>While GetSlim meets the service levels, Medlyfe will not appoint another provider of metabolic and weight management services at The Lyfe Place.</w:t>
      </w:r>
    </w:p>
    <w:p>
      <w:pPr>
        <w:pStyle w:val="Heading1"/>
        <w:pBdr>
          <w:bottom w:val="single" w:sz="12" w:space="4" w:color="E31E24"/>
        </w:pBdr>
      </w:pPr>
      <w:r>
        <w:t>Next Steps</w:t>
      </w:r>
    </w:p>
    <w:p>
      <w:r>
        <w:rPr/>
        <w:t>If the model suits GetSlim, we would like to meet in the next two weeks to agree the details together: the shape of the wider Lagos partnership, the service menu and prices, the fee, session commitments and service levels, and the term.</w:t>
      </w:r>
    </w:p>
    <w:p>
      <w:r>
        <w:rPr/>
        <w:t>We look forward to your response and to building this service together.</w:t>
      </w:r>
    </w:p>
    <w:p/>
    <w:p/>
    <w:p/>
    <w:p>
      <w:pPr>
        <w:spacing w:after="0"/>
      </w:pPr>
      <w:r>
        <w:rPr>
          <w:b/>
        </w:rPr>
        <w:t>Dr Itunu Akinware</w:t>
      </w:r>
    </w:p>
    <w:p>
      <w:pPr>
        <w:spacing w:after="0"/>
      </w:pPr>
      <w:r>
        <w:rPr>
          <w:b w:val="0"/>
        </w:rPr>
        <w:t>Managing Director</w:t>
      </w:r>
    </w:p>
    <w:p>
      <w:pPr>
        <w:spacing w:after="0"/>
      </w:pPr>
      <w:r>
        <w:rPr>
          <w:b w:val="0"/>
        </w:rPr>
        <w:t>Medbury Healthcare Group</w:t>
      </w:r>
    </w:p>
    <w:sectPr w:rsidR="00FC693F" w:rsidRPr="0006063C" w:rsidSect="00034616">
      <w:headerReference w:type="default" r:id="rId9"/>
      <w:footerReference w:type="default" r:id="rId10"/>
      <w:footerReference w:type="first" r:id="rId11"/>
      <w:pgSz w:w="11906" w:h="16838"/>
      <w:pgMar w:top="1814"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Medbury Healthcare Group  |  Clinical Services Proposal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Medbury Healthcare Group  |  Clinical Services Proposal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31E24"/>
      </w:pBdr>
    </w:pPr>
    <w:r>
      <w:drawing>
        <wp:inline xmlns:a="http://schemas.openxmlformats.org/drawingml/2006/main" xmlns:pic="http://schemas.openxmlformats.org/drawingml/2006/picture">
          <wp:extent cx="1512000" cy="499905"/>
          <wp:docPr id="1" name="Picture 1"/>
          <wp:cNvGraphicFramePr>
            <a:graphicFrameLocks noChangeAspect="1"/>
          </wp:cNvGraphicFramePr>
          <a:graphic>
            <a:graphicData uri="http://schemas.openxmlformats.org/drawingml/2006/picture">
              <pic:pic>
                <pic:nvPicPr>
                  <pic:cNvPr id="0" name="medbury-logo.png"/>
                  <pic:cNvPicPr/>
                </pic:nvPicPr>
                <pic:blipFill>
                  <a:blip r:embed="rId1"/>
                  <a:stretch>
                    <a:fillRect/>
                  </a:stretch>
                </pic:blipFill>
                <pic:spPr>
                  <a:xfrm>
                    <a:off x="0" y="0"/>
                    <a:ext cx="1512000" cy="49990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E31E2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