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0"/>
      </w:pPr>
      <w:r>
        <w:rPr>
          <w:b/>
          <w:bCs/>
          <w:color w:val="1F3864"/>
          <w:sz w:val="52"/>
          <w:szCs w:val="52"/>
        </w:rPr>
        <w:t xml:space="preserve">Systems Intelligenz HRIS</w:t>
      </w:r>
    </w:p>
    <w:p>
      <w:pPr>
        <w:spacing w:after="400"/>
      </w:pPr>
      <w:r>
        <w:rPr>
          <w:b/>
          <w:bCs/>
          <w:color w:val="2E5395"/>
          <w:sz w:val="32"/>
          <w:szCs w:val="32"/>
        </w:rPr>
        <w:t xml:space="preserve">Roadmap &amp; Technical Specification</w:t>
      </w:r>
    </w:p>
    <w:p>
      <w:pPr>
        <w:spacing w:after="60"/>
      </w:pPr>
      <w:r>
        <w:t xml:space="preserve">Prepared for: Systems Intelligenz — HRA (Human Resources &amp; Admin)</w:t>
      </w:r>
    </w:p>
    <w:p>
      <w:pPr>
        <w:spacing w:after="60"/>
      </w:pPr>
      <w:r>
        <w:t xml:space="preserve">Basis of evaluation: HRM_6.0 reference system (OrangeHRM-derived, extended with Systems Intelligenz custom modules)</w:t>
      </w:r>
    </w:p>
    <w:p>
      <w:pPr>
        <w:spacing w:after="60"/>
      </w:pPr>
      <w:r>
        <w:t xml:space="preserve">Originally issued: 28 August 2026</w:t>
      </w:r>
    </w:p>
    <w:p>
      <w:pPr>
        <w:spacing w:after="60"/>
      </w:pPr>
      <w:r>
        <w:t>Last revised: 1 October 2026 (v9.2 — adds Section 10.4, a broad HRIS backlog review: self-service/workspace fixes, employee-record refinements (Department Code, Qualifications and Career Development added to self-service, Preferred Name removed), editable onboarding/offboarding templates with task duration, leave-type visibility rules, a navigation and page-text-size restructuring (superseding 3.4’s nav description) plus two mobile-layout defects fixed, chart-based reporting across Leave/Timesheet/Attendance/Employee reports and the dashboard, a Pulse Survey question-bank redesign extending F8, and Admin Settings reorganized into tabs. v9.1’s post-launch requests, v9.0’s build-completion note, v8.2’s e-signature legal-framework note, v8.1’s Leave Management policy defaults, v7’s two-stage approval confirmation, and v6’s technology-stack/UI-UX-adoption changes all carry forward unchanged)</w:t>
      </w:r>
    </w:p>
    <w:p>
      <w:r>
        <w:br w:type="page"/>
      </w:r>
    </w:p>
    <w:p>
      <w:pPr>
        <w:spacing w:after="200"/>
      </w:pPr>
      <w:r>
        <w:rPr>
          <w:b/>
          <w:bCs/>
          <w:color w:val="1F3864"/>
          <w:sz w:val="32"/>
          <w:szCs w:val="32"/>
        </w:rPr>
        <w:t xml:space="preserve">Table of Contents</w:t>
      </w:r>
    </w:p>
    <w:p>
      <w:pPr>
        <w:spacing w:after="200"/>
      </w:pPr>
      <w:r>
        <w:rPr>
          <w:i/>
          <w:iCs/>
          <w:color w:val="808080"/>
          <w:sz w:val="18"/>
          <w:szCs w:val="18"/>
        </w:rPr>
        <w:t xml:space="preserve">(Right-click and choose "Update Field", or press F9, to populate page numbers.)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280"/>
      </w:pPr>
      <w:r>
        <w:t xml:space="preserve">1. Introduction</w:t>
      </w:r>
    </w:p>
    <w:p>
      <w:pPr>
        <w:pStyle w:val="Heading2"/>
        <w:spacing w:after="160" w:before="280"/>
      </w:pPr>
      <w:r>
        <w:t xml:space="preserve">1.1 Purpose and Scope</w:t>
      </w:r>
    </w:p>
    <w:p>
      <w:pPr>
        <w:spacing w:after="160"/>
        <w:jc w:val="both"/>
      </w:pPr>
      <w:r>
        <w:t xml:space="preserve">This document specifies the functional and technical requirements for a new Human Resource Information System (HRIS) to be built for Systems Intelligenz. It is derived from a thorough code-level evaluation of the organization's current HRM_6.0 platform, a fork of OrangeHRM 6.0 extended with several Systems-Intelligenz-authored modules (Employee Relations/Discipline, Policy Management, Asset Management, Vehicle Fleet Management, Helpdesk, Workspace Notifications, 360-Degree Feedback, and a Requisition-to-Vacancy approval step ahead of Recruitment).</w:t>
      </w:r>
    </w:p>
    <w:p>
      <w:pPr>
        <w:spacing w:after="160"/>
        <w:jc w:val="both"/>
      </w:pPr>
      <w:r>
        <w:t xml:space="preserve">The new system is to be </w:t>
      </w:r>
      <w:r>
        <w:rPr>
          <w:b/>
          <w:bCs/>
        </w:rPr>
        <w:t xml:space="preserve">built from scratch</w:t>
      </w:r>
      <w:r>
        <w:t xml:space="preserve"> — no OrangeHRM source code, libraries, or database schema will be reused. This specification captures the *feature set, data model, workflows, and business rules* the reference system implements, expressed as requirements for an independent implementation, together with architectural recommendations drawn from what works well (and what should be improved) in the reference codebase.</w:t>
      </w:r>
    </w:p>
    <w:p>
      <w:pPr>
        <w:spacing w:after="160"/>
        <w:jc w:val="both"/>
      </w:pPr>
      <w:r>
        <w:t xml:space="preserve">Every module present in the reference system is treated as in-scope and important, consistent with the instruction that all modules matter. The specification is organized so that it can be read module-by-module by the team ultimately responsible for each area, while Section 7 sequences the build into layered phases so that foundational capabilities are always in place before the modules that depend on them.</w:t>
      </w:r>
    </w:p>
    <w:p>
      <w:pPr>
        <w:pStyle w:val="Heading2"/>
        <w:spacing w:after="160" w:before="280"/>
      </w:pPr>
      <w:r>
        <w:t xml:space="preserve">1.2 Methodology</w:t>
      </w:r>
    </w:p>
    <w:p>
      <w:pPr>
        <w:spacing w:after="160"/>
        <w:jc w:val="both"/>
      </w:pPr>
      <w:r>
        <w:t xml:space="preserve">The evaluation was performed by directly reading the HRM_6.0 source tree (PHP/Symfony-style application with Doctrine ORM, 27 plugin modules under `src/plugins/`), extracting: the Doctrine entity definitions (the de facto database schema), the REST API route tables (`config/routes.yaml` per module), the service-layer business logic governing workflows and validation, and the shared framework code in `orangehrmCorePlugin` that every module builds on. Six parallel research passes each covered a cluster of related modules; findings were cross-checked against the shared workflow-state-machine and permission tables that many modules depend on, then consolidated here.</w:t>
      </w:r>
    </w:p>
    <w:p>
      <w:pPr>
        <w:pStyle w:val="Heading2"/>
        <w:spacing w:after="160" w:before="280"/>
      </w:pPr>
      <w:r>
        <w:t xml:space="preserve">1.3 Guiding Principles for the New Build</w:t>
      </w:r>
    </w:p>
    <w:p>
      <w:pPr>
        <w:spacing w:after="160"/>
        <w:jc w:val="both"/>
      </w:pPr>
      <w:r>
        <w:t xml:space="preserve">1. </w:t>
      </w:r>
      <w:r>
        <w:rPr>
          <w:b/>
          <w:bCs/>
        </w:rPr>
        <w:t xml:space="preserve">Feature parity first, then improvement.</w:t>
      </w:r>
      <w:r>
        <w:t xml:space="preserve"> Every capability catalogued below should exist in the new system unless explicitly called out as a gap to close or a decision to make differently. 2. </w:t>
      </w:r>
      <w:r>
        <w:rPr>
          <w:b/>
          <w:bCs/>
        </w:rPr>
        <w:t xml:space="preserve">Preserve the architectural patterns that generalize well</w:t>
      </w:r>
      <w:r>
        <w:t xml:space="preserve"> — a three-tier permission model, a data-driven workflow engine, event-driven audit logging, a pluggable notification framework — even though the underlying code will not be reused. These patterns are what let the reference system add entire new modules (Discipline, Policy, Asset, Vehicle, Helpdesk, Workspace Notifications) without touching the platform core, and the new build should have the same extensibility. 3. </w:t>
      </w:r>
      <w:r>
        <w:rPr>
          <w:b/>
          <w:bCs/>
        </w:rPr>
        <w:t xml:space="preserve">Close known gaps deliberately.</w:t>
      </w:r>
      <w:r>
        <w:t xml:space="preserve"> The reference system has some inconsistencies (e.g., Asset lacks assignment history that Vehicle has; sensitive fields are stored as oversized strings implying encryption-at-rest was intended but never made explicit; permission visibility rules differ between similar modules). These are flagged in-line and should be resolved consciously in the new design, not inherited by accident. 4. </w:t>
      </w:r>
      <w:r>
        <w:rPr>
          <w:b/>
          <w:bCs/>
        </w:rPr>
        <w:t xml:space="preserve">Design for the data, not the UI.</w:t>
      </w:r>
      <w:r>
        <w:t xml:space="preserve"> The reference system's screens are a reasonable starting UX reference, but the specification below is UI-agnostic; the new system's UI should be designed fresh against the functional requirements.</w:t>
      </w:r>
    </w:p>
    <w:p>
      <w:r>
        <w:br w:type="page"/>
      </w:r>
    </w:p>
    <w:p>
      <w:pPr>
        <w:pStyle w:val="Heading1"/>
        <w:spacing w:after="160" w:before="280"/>
      </w:pPr>
      <w:r>
        <w:t xml:space="preserve">2. Reference System Overview</w:t>
      </w:r>
    </w:p>
    <w:p>
      <w:pPr>
        <w:spacing w:after="160"/>
        <w:jc w:val="both"/>
      </w:pPr>
      <w:r>
        <w:t xml:space="preserve">The reference platform is organized as 27 independent modules sharing one framework core. Functionally they cluster into six domains, which this specification (Section 4) and the development schedule (Section 7) both follow:</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rPr>
          <w:tblHeader/>
        </w:trPr>
        <w:tc>
          <w:tcPr>
            <w:tcW w:type="dxa" w:w="5040"/>
            <w:shd w:fill="1F3864" w:val="clear"/>
            <w:tcMar>
              <w:top w:type="dxa" w:w="60"/>
              <w:left w:type="dxa" w:w="100"/>
              <w:bottom w:type="dxa" w:w="60"/>
              <w:right w:type="dxa" w:w="100"/>
            </w:tcMar>
            <w:vAlign w:val="center"/>
          </w:tcPr>
          <w:p>
            <w:r>
              <w:rPr>
                <w:b/>
                <w:bCs/>
                <w:color w:val="FFFFFF"/>
                <w:sz w:val="18"/>
                <w:szCs w:val="18"/>
              </w:rPr>
              <w:t xml:space="preserve">Domain</w:t>
            </w:r>
          </w:p>
        </w:tc>
        <w:tc>
          <w:tcPr>
            <w:tcW w:type="dxa" w:w="5040"/>
            <w:shd w:fill="1F3864" w:val="clear"/>
            <w:tcMar>
              <w:top w:type="dxa" w:w="60"/>
              <w:left w:type="dxa" w:w="100"/>
              <w:bottom w:type="dxa" w:w="60"/>
              <w:right w:type="dxa" w:w="100"/>
            </w:tcMar>
            <w:vAlign w:val="center"/>
          </w:tcPr>
          <w:p>
            <w:r>
              <w:rPr>
                <w:b/>
                <w:bCs/>
                <w:color w:val="FFFFFF"/>
                <w:sz w:val="18"/>
                <w:szCs w:val="18"/>
              </w:rPr>
              <w:t xml:space="preserve">Modules</w:t>
            </w:r>
          </w:p>
        </w:tc>
      </w:tr>
      <w:tr>
        <w:trPr>
          <w:tblHeader w:val="false"/>
        </w:trPr>
        <w:tc>
          <w:tcPr>
            <w:tcW w:type="dxa" w:w="5040"/>
            <w:tcMar>
              <w:top w:type="dxa" w:w="60"/>
              <w:left w:type="dxa" w:w="100"/>
              <w:bottom w:type="dxa" w:w="60"/>
              <w:right w:type="dxa" w:w="100"/>
            </w:tcMar>
            <w:vAlign w:val="center"/>
          </w:tcPr>
          <w:p>
            <w:r>
              <w:rPr>
                <w:b/>
                <w:bCs/>
                <w:sz w:val="18"/>
                <w:szCs w:val="18"/>
              </w:rPr>
              <w:t xml:space="preserve">A. Platform &amp; Identity</w:t>
            </w:r>
          </w:p>
        </w:tc>
        <w:tc>
          <w:tcPr>
            <w:tcW w:type="dxa" w:w="5040"/>
            <w:tcMar>
              <w:top w:type="dxa" w:w="60"/>
              <w:left w:type="dxa" w:w="100"/>
              <w:bottom w:type="dxa" w:w="60"/>
              <w:right w:type="dxa" w:w="100"/>
            </w:tcMar>
            <w:vAlign w:val="center"/>
          </w:tcPr>
          <w:p>
            <w:r>
              <w:rPr>
                <w:sz w:val="18"/>
                <w:szCs w:val="18"/>
              </w:rPr>
              <w:t xml:space="preserve">Authentication, RBAC/Users, LDAP, OpenID Connect, OAuth2 (API/mobile), Internationalization, System Branding, System Health Check, GDPR/Data Lifecycle (Maintenance)</w:t>
            </w:r>
          </w:p>
        </w:tc>
      </w:tr>
      <w:tr>
        <w:trPr>
          <w:tblHeader w:val="false"/>
        </w:trPr>
        <w:tc>
          <w:tcPr>
            <w:tcW w:type="dxa" w:w="5040"/>
            <w:tcMar>
              <w:top w:type="dxa" w:w="60"/>
              <w:left w:type="dxa" w:w="100"/>
              <w:bottom w:type="dxa" w:w="60"/>
              <w:right w:type="dxa" w:w="100"/>
            </w:tcMar>
            <w:vAlign w:val="center"/>
          </w:tcPr>
          <w:p>
            <w:r>
              <w:rPr>
                <w:b/>
                <w:bCs/>
                <w:sz w:val="18"/>
                <w:szCs w:val="18"/>
              </w:rPr>
              <w:t xml:space="preserve">B. Organization &amp; Employee Master Data</w:t>
            </w:r>
          </w:p>
        </w:tc>
        <w:tc>
          <w:tcPr>
            <w:tcW w:type="dxa" w:w="5040"/>
            <w:tcMar>
              <w:top w:type="dxa" w:w="60"/>
              <w:left w:type="dxa" w:w="100"/>
              <w:bottom w:type="dxa" w:w="60"/>
              <w:right w:type="dxa" w:w="100"/>
            </w:tcMar>
            <w:vAlign w:val="center"/>
          </w:tcPr>
          <w:p>
            <w:r>
              <w:rPr>
                <w:sz w:val="18"/>
                <w:szCs w:val="18"/>
              </w:rPr>
              <w:t xml:space="preserve">Admin (org/master data), PIM (Employee Information Management), Onboarding/Offboarding &amp; Career Development</w:t>
            </w:r>
          </w:p>
        </w:tc>
      </w:tr>
      <w:tr>
        <w:trPr>
          <w:tblHeader w:val="false"/>
        </w:trPr>
        <w:tc>
          <w:tcPr>
            <w:tcW w:type="dxa" w:w="5040"/>
            <w:tcMar>
              <w:top w:type="dxa" w:w="60"/>
              <w:left w:type="dxa" w:w="100"/>
              <w:bottom w:type="dxa" w:w="60"/>
              <w:right w:type="dxa" w:w="100"/>
            </w:tcMar>
            <w:vAlign w:val="center"/>
          </w:tcPr>
          <w:p>
            <w:r>
              <w:rPr>
                <w:b/>
                <w:bCs/>
                <w:sz w:val="18"/>
                <w:szCs w:val="18"/>
              </w:rPr>
              <w:t xml:space="preserve">C. Core HR Operations</w:t>
            </w:r>
          </w:p>
        </w:tc>
        <w:tc>
          <w:tcPr>
            <w:tcW w:type="dxa" w:w="5040"/>
            <w:tcMar>
              <w:top w:type="dxa" w:w="60"/>
              <w:left w:type="dxa" w:w="100"/>
              <w:bottom w:type="dxa" w:w="60"/>
              <w:right w:type="dxa" w:w="100"/>
            </w:tcMar>
            <w:vAlign w:val="center"/>
          </w:tcPr>
          <w:p>
            <w:r>
              <w:rPr>
                <w:sz w:val="18"/>
                <w:szCs w:val="18"/>
              </w:rPr>
              <w:t xml:space="preserve">Leave Management, Time &amp; Project Tracking, Attendance</w:t>
            </w:r>
          </w:p>
        </w:tc>
      </w:tr>
      <w:tr>
        <w:trPr>
          <w:tblHeader w:val="false"/>
        </w:trPr>
        <w:tc>
          <w:tcPr>
            <w:tcW w:type="dxa" w:w="5040"/>
            <w:tcMar>
              <w:top w:type="dxa" w:w="60"/>
              <w:left w:type="dxa" w:w="100"/>
              <w:bottom w:type="dxa" w:w="60"/>
              <w:right w:type="dxa" w:w="100"/>
            </w:tcMar>
            <w:vAlign w:val="center"/>
          </w:tcPr>
          <w:p>
            <w:r>
              <w:rPr>
                <w:b/>
                <w:bCs/>
                <w:sz w:val="18"/>
                <w:szCs w:val="18"/>
              </w:rPr>
              <w:t xml:space="preserve">D. Talent Management</w:t>
            </w:r>
          </w:p>
        </w:tc>
        <w:tc>
          <w:tcPr>
            <w:tcW w:type="dxa" w:w="5040"/>
            <w:tcMar>
              <w:top w:type="dxa" w:w="60"/>
              <w:left w:type="dxa" w:w="100"/>
              <w:bottom w:type="dxa" w:w="60"/>
              <w:right w:type="dxa" w:w="100"/>
            </w:tcMar>
            <w:vAlign w:val="center"/>
          </w:tcPr>
          <w:p>
            <w:r>
              <w:rPr>
                <w:sz w:val="18"/>
                <w:szCs w:val="18"/>
              </w:rPr>
              <w:t xml:space="preserve">Recruitment, Performance Management (incl. 360° Feedback), Employee Relations/Discipline</w:t>
            </w:r>
          </w:p>
        </w:tc>
      </w:tr>
      <w:tr>
        <w:trPr>
          <w:tblHeader w:val="false"/>
        </w:trPr>
        <w:tc>
          <w:tcPr>
            <w:tcW w:type="dxa" w:w="5040"/>
            <w:tcMar>
              <w:top w:type="dxa" w:w="60"/>
              <w:left w:type="dxa" w:w="100"/>
              <w:bottom w:type="dxa" w:w="60"/>
              <w:right w:type="dxa" w:w="100"/>
            </w:tcMar>
            <w:vAlign w:val="center"/>
          </w:tcPr>
          <w:p>
            <w:r>
              <w:rPr>
                <w:b/>
                <w:bCs/>
                <w:sz w:val="18"/>
                <w:szCs w:val="18"/>
              </w:rPr>
              <w:t xml:space="preserve">E. Operational &amp; Financial Extensions</w:t>
            </w:r>
          </w:p>
        </w:tc>
        <w:tc>
          <w:tcPr>
            <w:tcW w:type="dxa" w:w="5040"/>
            <w:tcMar>
              <w:top w:type="dxa" w:w="60"/>
              <w:left w:type="dxa" w:w="100"/>
              <w:bottom w:type="dxa" w:w="60"/>
              <w:right w:type="dxa" w:w="100"/>
            </w:tcMar>
            <w:vAlign w:val="center"/>
          </w:tcPr>
          <w:p>
            <w:r>
              <w:rPr>
                <w:sz w:val="18"/>
                <w:szCs w:val="18"/>
              </w:rPr>
              <w:t xml:space="preserve">Expense Claims, Asset Management, Vehicle Fleet Management, Policy Document Management</w:t>
            </w:r>
          </w:p>
        </w:tc>
      </w:tr>
      <w:tr>
        <w:trPr>
          <w:tblHeader w:val="false"/>
        </w:trPr>
        <w:tc>
          <w:tcPr>
            <w:tcW w:type="dxa" w:w="5040"/>
            <w:tcMar>
              <w:top w:type="dxa" w:w="60"/>
              <w:left w:type="dxa" w:w="100"/>
              <w:bottom w:type="dxa" w:w="60"/>
              <w:right w:type="dxa" w:w="100"/>
            </w:tcMar>
            <w:vAlign w:val="center"/>
          </w:tcPr>
          <w:p>
            <w:r>
              <w:rPr>
                <w:b/>
                <w:bCs/>
                <w:sz w:val="18"/>
                <w:szCs w:val="18"/>
              </w:rPr>
              <w:t xml:space="preserve">F. Engagement, Analytics &amp; Auxiliary Services</w:t>
            </w:r>
          </w:p>
        </w:tc>
        <w:tc>
          <w:tcPr>
            <w:tcW w:type="dxa" w:w="5040"/>
            <w:tcMar>
              <w:top w:type="dxa" w:w="60"/>
              <w:left w:type="dxa" w:w="100"/>
              <w:bottom w:type="dxa" w:w="60"/>
              <w:right w:type="dxa" w:w="100"/>
            </w:tcMar>
            <w:vAlign w:val="center"/>
          </w:tcPr>
          <w:p>
            <w:r>
              <w:rPr>
                <w:sz w:val="18"/>
                <w:szCs w:val="18"/>
              </w:rPr>
              <w:t xml:space="preserve">Buzz (social feed), Dashboard &amp; HR Analytics, Corporate Directory, Helpdesk, Help/Support Integration, Mobile Access, Workspace Notifications</w:t>
            </w:r>
          </w:p>
        </w:tc>
      </w:tr>
    </w:tbl>
    <w:p>
      <w:pPr>
        <w:spacing w:after="120"/>
      </w:pPr>
    </w:p>
    <w:p>
      <w:pPr>
        <w:spacing w:after="160"/>
        <w:jc w:val="both"/>
      </w:pPr>
      <w:r>
        <w:t xml:space="preserve">A single generic mechanism underlies most of the reference system's approval processes: one </w:t>
      </w:r>
      <w:r>
        <w:rPr>
          <w:b/>
          <w:bCs/>
        </w:rPr>
        <w:t xml:space="preserve">workflow-state-machine table</w:t>
      </w:r>
      <w:r>
        <w:t xml:space="preserve"> stores every legal `(module, current state, acting role, action) → resulting state` transition, and a </w:t>
      </w:r>
      <w:r>
        <w:rPr>
          <w:b/>
          <w:bCs/>
        </w:rPr>
        <w:t xml:space="preserve">role-resolution service</w:t>
      </w:r>
      <w:r>
        <w:t xml:space="preserve"> determines a user's applicable roles for a given record at request time (their base role, plus situational roles such as "supervisor of this employee," "reviewer of this candidate," "hiring manager of this vacancy," computed live from the data rather than assigned permanently). This single mechanism drives Leave, Timesheet, Attendance, Recruitment, and Performance approvals. It is the most important architectural pattern to replicate faithfully (see Section 3.2).</w:t>
      </w:r>
    </w:p>
    <w:p>
      <w:r>
        <w:br w:type="page"/>
      </w:r>
    </w:p>
    <w:p>
      <w:pPr>
        <w:pStyle w:val="Heading1"/>
        <w:spacing w:after="160" w:before="280"/>
      </w:pPr>
      <w:r>
        <w:t xml:space="preserve">3. Proposed System Architecture</w:t>
      </w:r>
    </w:p>
    <w:p>
      <w:pPr>
        <w:pStyle w:val="Heading2"/>
        <w:spacing w:after="160" w:before="280"/>
      </w:pPr>
      <w:r>
        <w:t xml:space="preserve">3.1 Architectural Principles</w:t>
      </w:r>
    </w:p>
    <w:p>
      <w:pPr>
        <w:pStyle w:val="ListParagraph"/>
        <w:numPr>
          <w:ilvl w:val="0"/>
          <w:numId w:val="1"/>
        </w:numPr>
        <w:spacing w:after="60"/>
      </w:pPr>
      <w:r>
        <w:rPr>
          <w:b/>
          <w:bCs/>
        </w:rPr>
        <w:t xml:space="preserve">Modular monolith or service-oriented, module boundaries mirror the domains in Section 2.</w:t>
      </w:r>
      <w:r>
        <w:t xml:space="preserve"> Each module owns its own data and exposes it only through its API; cross-module reads (e.g., Corporate Directory reading Employee data) go through defined service interfaces, not direct table access.</w:t>
      </w:r>
    </w:p>
    <w:p>
      <w:pPr>
        <w:pStyle w:val="ListParagraph"/>
        <w:numPr>
          <w:ilvl w:val="0"/>
          <w:numId w:val="1"/>
        </w:numPr>
        <w:spacing w:after="60"/>
      </w:pPr>
      <w:r>
        <w:rPr>
          <w:b/>
          <w:bCs/>
        </w:rPr>
        <w:t xml:space="preserve">API-first, every module, no exceptions — with the web UI as a direct server-side consumer.</w:t>
      </w:r>
      <w:r>
        <w:t xml:space="preserve"> Every capability in every module in Section 4 (Domains A–F) is exposed through the same versioned REST API described in Section 3.2 — not a subset chosen for "the mobile-relevant modules." A future mobile client, integration, or automation reaches every module exclusively through that API, with no privileged access it doesn't expose. The web application (Section 3.5, Laravel + Livewire) is the one exception to "reaches the module through the API," and deliberately so: because Livewire components render server-side in the same PHP process, they call the same underlying Application/Service layer each module's API controller calls, directly and in-process, rather than round-tripping over HTTP to their own API. Business logic therefore lives once, in that per-module service layer — API controllers and Livewire components are both thin callers of it, never a second implementation of it — so "does this module have an API" stays a meaningful, always-yes question for every *external* client, even though the first-party web UI itself does not need to hop through HTTP to reach its own backend.</w:t>
      </w:r>
    </w:p>
    <w:p>
      <w:pPr>
        <w:pStyle w:val="ListParagraph"/>
        <w:numPr>
          <w:ilvl w:val="0"/>
          <w:numId w:val="1"/>
        </w:numPr>
        <w:spacing w:after="60"/>
      </w:pPr>
      <w:r>
        <w:rPr>
          <w:b/>
          <w:bCs/>
        </w:rPr>
        <w:t xml:space="preserve">Declarative over imperative for cross-cutting rules.</w:t>
      </w:r>
      <w:r>
        <w:t xml:space="preserve"> Permissions, GDPR redaction rules, and approval workflows should be configuration/data, not hardcoded conditionals scattered through business logic — this is what lets the reference system's GDPR purge rules and workflow transitions be edited without a code deployment.</w:t>
      </w:r>
    </w:p>
    <w:p>
      <w:pPr>
        <w:pStyle w:val="ListParagraph"/>
        <w:numPr>
          <w:ilvl w:val="0"/>
          <w:numId w:val="1"/>
        </w:numPr>
        <w:spacing w:after="60"/>
      </w:pPr>
      <w:r>
        <w:rPr>
          <w:b/>
          <w:bCs/>
        </w:rPr>
        <w:t xml:space="preserve">Every write is attributable and auditable</w:t>
      </w:r>
      <w:r>
        <w:t xml:space="preserve"> by default, not opt-in per module.</w:t>
      </w:r>
    </w:p>
    <w:p>
      <w:pPr>
        <w:pStyle w:val="Heading2"/>
        <w:spacing w:after="160" w:before="280"/>
      </w:pPr>
      <w:r>
        <w:t xml:space="preserve">3.2 Platform Services (Cross-Cutting)</w:t>
      </w:r>
    </w:p>
    <w:p>
      <w:pPr>
        <w:spacing w:after="160"/>
        <w:jc w:val="both"/>
      </w:pPr>
      <w:r>
        <w:t xml:space="preserve">These are shared services every functional module depends on. They must be built first (Phase 0 of the schedule).</w:t>
      </w:r>
    </w:p>
    <w:p>
      <w:pPr>
        <w:spacing w:after="160"/>
        <w:jc w:val="both"/>
      </w:pPr>
      <w:r>
        <w:rPr>
          <w:b/>
          <w:bCs/>
        </w:rPr>
        <w:t xml:space="preserve">Identity &amp; Access Control (three-tier RBAC).</w:t>
      </w:r>
      <w:r>
        <w:t xml:space="preserve"> The reference system's most important architectural decision is separating permission into three independent layers, all keyed off a `UserRole`: (1) </w:t>
      </w:r>
      <w:r>
        <w:rPr>
          <w:b/>
          <w:bCs/>
        </w:rPr>
        <w:t xml:space="preserve">screen/page permissions</w:t>
      </w:r>
      <w:r>
        <w:t xml:space="preserve"> — which menu items and pages a role can see; (2) </w:t>
      </w:r>
      <w:r>
        <w:rPr>
          <w:b/>
          <w:bCs/>
        </w:rPr>
        <w:t xml:space="preserve">data-group permissions</w:t>
      </w:r>
      <w:r>
        <w:t xml:space="preserve"> — CRUD grants on a named logical resource (e.g., "employee personal details," "buzz post"), each grant optionally scoped to `self` (own records only, used heavily by the Supervisor role acting only on direct reports); (3) </w:t>
      </w:r>
      <w:r>
        <w:rPr>
          <w:b/>
          <w:bCs/>
        </w:rPr>
        <w:t xml:space="preserve">API permissions</w:t>
      </w:r>
      <w:r>
        <w:t xml:space="preserve"> — each API endpoint is mapped to a data group, so the same permission grant governs both UI visibility and API access, enforced centrally rather than per-endpoint. Roles are not static: a user's *effective* roles for a given record are computed at request time — everyone with an employee record gets an "ESS" (self-service) role for their own data, and situational roles (Supervisor, Project Admin, Hiring Manager, Interviewer, Reviewer) apply only when the live data supports them (e.g., "Supervisor" only applies to employees this user actually supervises via the reporting-line graph). The new system should implement this as a first-class capability rather than a flat role→permission map. Section 4, A2 below defines Systems Intelligenz's concrete starting role catalog (Admin, HR Admin, HR Officer, Supervisor, ESS) on top of this model, plus a role-builder feature so new custom roles can be composed from the same permission primitives without a code change.</w:t>
      </w:r>
    </w:p>
    <w:p>
      <w:pPr>
        <w:spacing w:after="160"/>
        <w:jc w:val="both"/>
      </w:pPr>
      <w:r>
        <w:rPr>
          <w:b/>
          <w:bCs/>
        </w:rPr>
        <w:t xml:space="preserve">Two-Factor Authentication &amp; Trusted Devices.</w:t>
      </w:r>
      <w:r>
        <w:t xml:space="preserve"> Login is a two-step check: password, then a second factor the user chooses at enrollment — a time-based one-time code (TOTP, RFC 6238) from an authenticator app, or a one-time code emailed to them, since SI does not want an authenticator app to be compulsory. Full design in Section 4, A1.</w:t>
      </w:r>
    </w:p>
    <w:p>
      <w:pPr>
        <w:spacing w:after="160"/>
        <w:jc w:val="both"/>
      </w:pPr>
      <w:r>
        <w:rPr>
          <w:b/>
          <w:bCs/>
        </w:rPr>
        <w:t xml:space="preserve">In-App Notification Center.</w:t>
      </w:r>
      <w:r>
        <w:t xml:space="preserve"> Every event the Notification &amp; Messaging Framework below fires also lands in a per-user, persistent notification inbox — not email alone. Full design in Section 4, A7.</w:t>
      </w:r>
    </w:p>
    <w:p>
      <w:pPr>
        <w:spacing w:after="160"/>
        <w:jc w:val="both"/>
      </w:pPr>
      <w:r>
        <w:rPr>
          <w:b/>
          <w:bCs/>
        </w:rPr>
        <w:t xml:space="preserve">E-Signature &amp; Digital Consent Service.</w:t>
      </w:r>
      <w:r>
        <w:t xml:space="preserve"> A shared capability other modules call to capture a legally attributable "yes, I agree/sign" moment — used by Recruitment offer letters, Policy acknowledgement, Performance sign-off, and anywhere else a module needs one. Full design in Section 4, A8.</w:t>
      </w:r>
    </w:p>
    <w:p>
      <w:pPr>
        <w:spacing w:after="160"/>
        <w:jc w:val="both"/>
      </w:pPr>
      <w:r>
        <w:rPr>
          <w:b/>
          <w:bCs/>
        </w:rPr>
        <w:t xml:space="preserve">Renewal &amp; Compliance Reminder Engine.</w:t>
      </w:r>
      <w:r>
        <w:t xml:space="preserve"> New shared platform service, factored out once it became clear the same shape of problem — "this thing has an expiry date; remind the right people at configurable intervals beforehand; keep reminding if it lapses" — was about to be built three separate times: Vehicle Renewals (Section 4, E3), Asset warranty/service-contract tracking (Section 4, E2), and Company Registration Documents (Section 4, E5). Rather than three independent implementations, one generic engine is configured per renewable-entity type: a renewable record (with issue/expiry dates), an Admin-configurable set of reminder tiers (how many, and how many days before expiry each fires), and a notify list (roles and/or named individuals). It fires through the Notification &amp; Messaging Framework below (email + in-app + browser push, one event), tracks which tiers have already fired per renewal cycle so they never repeat, resets that state automatically when the underlying record is renewed, and — unlike a one-shot reminder — keeps surfacing an unrenewed, now-expired item as a persistent alert rather than going silent once the last configured tier has passed. Each consuming module (E2, E3, E5) only needs to register its entity type against this engine, not reimplement the scheduling/notification logic.</w:t>
      </w:r>
    </w:p>
    <w:p>
      <w:pPr>
        <w:spacing w:after="160"/>
        <w:jc w:val="both"/>
      </w:pPr>
      <w:r>
        <w:rPr>
          <w:b/>
          <w:bCs/>
        </w:rPr>
        <w:t xml:space="preserve">Generic Workflow / State-Machine Engine.</w:t>
      </w:r>
      <w:r>
        <w:t xml:space="preserve"> A single reusable engine of the shape `(workflow, state, role, action) → resulting state [+ roles to notify]` should back every approval process (Leave, Timesheets, Attendance edit permissions, Recruitment pipeline, Performance review lifecycle, and any future workflow such as Asset requests). Configuration changes (e.g., toggling whether employees may self-edit attendance) should be expressible as adding/removing rows in this table rather than new code. "What can this user do right now" is answered by resolving the record's current state and the caller's applicable role(s) against this table.</w:t>
      </w:r>
    </w:p>
    <w:p>
      <w:pPr>
        <w:spacing w:after="160"/>
        <w:jc w:val="both"/>
      </w:pPr>
      <w:r>
        <w:rPr>
          <w:b/>
          <w:bCs/>
        </w:rPr>
        <w:t xml:space="preserve">REST API Framework.</w:t>
      </w:r>
      <w:r>
        <w:t xml:space="preserve"> A consistent request/response contract across all modules: typed, declarative parameter validation (not scattered ad hoc checks); a resource/collection endpoint convention (`GET` list with pagination/sort/filter, `GET/{id}`, `POST` create, `PUT/{id}` update, `DELETE` bulk-by-id-array); a `model=default|detailed` (or equivalent) convention for lean-vs-joined response shapes so clients avoid N+1 calls; consistent error envelopes (400 validation, 403 authorization, 404 not found).</w:t>
      </w:r>
    </w:p>
    <w:p>
      <w:pPr>
        <w:spacing w:after="160"/>
        <w:jc w:val="both"/>
      </w:pPr>
      <w:r>
        <w:rPr>
          <w:b/>
          <w:bCs/>
        </w:rPr>
        <w:t xml:space="preserve">Audit Logging.</w:t>
      </w:r>
      <w:r>
        <w:t xml:space="preserve"> All entity mutations should be captured automatically (e.g., via ORM lifecycle hooks or an equivalent interception layer), not by manual instrumentation in each service — capturing entity type, record, action (create/update/delete), actor, timestamp, and field-level before/after values for updates. This should be a single, well-designed mechanism from day one — the reference system has two overlapping audit mechanisms (a generic one and a PIM-specific employee-event log) that arose from organic growth; the new system should consolidate this into one.</w:t>
      </w:r>
    </w:p>
    <w:p>
      <w:pPr>
        <w:spacing w:after="160"/>
        <w:jc w:val="both"/>
      </w:pPr>
      <w:r>
        <w:rPr>
          <w:b/>
          <w:bCs/>
        </w:rPr>
        <w:t xml:space="preserve">Notification &amp; Messaging Framework.</w:t>
      </w:r>
      <w:r>
        <w:t xml:space="preserve"> A template-driven, role-aware dispatch system: each event type (leave applied/approved/rejected, review activated, ticket raised, etc.) maps to a template with separate bodies for different recipient roles, and is now delivered to </w:t>
      </w:r>
      <w:r>
        <w:rPr>
          <w:b/>
          <w:bCs/>
        </w:rPr>
        <w:t xml:space="preserve">three</w:t>
      </w:r>
      <w:r>
        <w:t xml:space="preserve"> channels from one event, not one: email (as in the reference system), the in-app Notification Center (Section 4, A7), and browser push (Section 4, A7) when the recipient has granted notification permission in their browser. All three are queued for delivery rather than sent synchronously, and — critically — a failure in any one channel (missing address, unreachable SMTP, an expired push subscription) must never block the underlying business action or the other channels; failures are logged and retried/skipped, not thrown as errors.</w:t>
      </w:r>
    </w:p>
    <w:p>
      <w:pPr>
        <w:spacing w:after="160"/>
        <w:jc w:val="both"/>
      </w:pPr>
      <w:r>
        <w:rPr>
          <w:b/>
          <w:bCs/>
        </w:rPr>
        <w:t xml:space="preserve">Localization / Internationalization.</w:t>
      </w:r>
      <w:r>
        <w:t xml:space="preserve"> A key→group→language translation model with a configurable fallback language, admin-editable overrides distinguished from bundled translations, and a resilient language-pack import pipeline that logs per-string errors rather than failing an entire import.</w:t>
      </w:r>
    </w:p>
    <w:p>
      <w:pPr>
        <w:spacing w:after="160"/>
        <w:jc w:val="both"/>
      </w:pPr>
      <w:r>
        <w:rPr>
          <w:b/>
          <w:bCs/>
        </w:rPr>
        <w:t xml:space="preserve">File &amp; Attachment Storage.</w:t>
      </w:r>
      <w:r>
        <w:t xml:space="preserve"> The reference system stores all file attachments (photos, CVs, policy documents, claim receipts, asset/vehicle records) as BLOBs directly in the relational database. </w:t>
      </w:r>
      <w:r>
        <w:rPr>
          <w:b/>
          <w:bCs/>
        </w:rPr>
        <w:t xml:space="preserve">Recommendation: use object storage (e.g., S3-compatible) with the database holding only metadata and a storage key</w:t>
      </w:r>
      <w:r>
        <w:t xml:space="preserve">, for backup/restore efficiency, horizontal scalability, and to avoid bloating database backups — this is a deliberate deviation from the reference system, not a gap in it.</w:t>
      </w:r>
    </w:p>
    <w:p>
      <w:pPr>
        <w:spacing w:after="160"/>
        <w:jc w:val="both"/>
      </w:pPr>
      <w:r>
        <w:rPr>
          <w:b/>
          <w:bCs/>
        </w:rPr>
        <w:t xml:space="preserve">Scheduled Jobs.</w:t>
      </w:r>
      <w:r>
        <w:t xml:space="preserve"> A first-class scheduled-job registry (module-declared cron schedules, e.g., nightly GDPR purge sweeps, the Renewal &amp; Compliance Reminder Engine's daily sweep across vehicle renewals/asset warranties/company registration documents, HR metrics snapshots, the annual leave carry-over run in Section 4 C1, and recurring pulse-survey launches in Section 4 F8) rather than external cron entries maintained outside the codebase.</w:t>
      </w:r>
    </w:p>
    <w:p>
      <w:pPr>
        <w:spacing w:after="160"/>
        <w:jc w:val="both"/>
      </w:pPr>
      <w:r>
        <w:rPr>
          <w:b/>
          <w:bCs/>
        </w:rPr>
        <w:t xml:space="preserve">Data Privacy / GDPR Lifecycle.</w:t>
      </w:r>
      <w:r>
        <w:t xml:space="preserve"> A declarative, per-field redaction strategy (rather than hardcoded purge logic) so that "purge this employee" or "purge this candidate" is driven by a configuration mapping each PII field to a redaction rule (replace with a placeholder, null, zero, or a purge timestamp). A parallel declarative "access strategy" governs which fields of a purge-flagged record remain visible before the purge executes. This pattern — rules as data, not code — should be preserved, since it is what lets new PII fields be added without new purge code.</w:t>
      </w:r>
    </w:p>
    <w:p>
      <w:pPr>
        <w:spacing w:after="160"/>
        <w:jc w:val="both"/>
      </w:pPr>
      <w:r>
        <w:rPr>
          <w:b/>
          <w:bCs/>
        </w:rPr>
        <w:t xml:space="preserve">Encryption at Rest for Sensitive Fields.</w:t>
      </w:r>
      <w:r>
        <w:t xml:space="preserve"> The reference schema stores SSN/SIN and salary amounts as oversized string columns, strongly suggesting field-level encryption was planned but not made explicit. The new system should make this an explicit, first-class design decision: identify all PII/financial fields requiring encryption at rest up front and apply it consistently.</w:t>
      </w:r>
    </w:p>
    <w:p>
      <w:pPr>
        <w:pStyle w:val="Heading2"/>
        <w:spacing w:after="160" w:before="280"/>
      </w:pPr>
      <w:r>
        <w:t xml:space="preserve">3.3 High-Level Domain Model</w:t>
      </w:r>
    </w:p>
    <w:p>
      <w:pPr>
        <w:spacing w:after="160"/>
        <w:jc w:val="both"/>
      </w:pPr>
      <w:r>
        <w:t xml:space="preserve">The employee record is the hub of the system; nearly every other module's data either belongs to an employee or references organizational master data that itself only exists to describe employees:</w:t>
      </w:r>
    </w:p>
    <w:tbl>
      <w:tblPr>
        <w:tblW w:type="dxa" w:w="10080"/>
        <w:tblBorders>
          <w:top w:val="single" w:color="D9D9D9" w:sz="2"/>
          <w:left w:val="single" w:color="D9D9D9" w:sz="2"/>
          <w:bottom w:val="single" w:color="D9D9D9" w:sz="2"/>
          <w:right w:val="single" w:color="D9D9D9" w:sz="2"/>
          <w:insideH w:val="none"/>
          <w:insideV w:val="none"/>
        </w:tblBorders>
      </w:tblPr>
      <w:tblGrid>
        <w:gridCol w:w="10080"/>
      </w:tblGrid>
      <w:tr>
        <w:tc>
          <w:tcPr>
            <w:tcW w:type="dxa" w:w="10080"/>
            <w:shd w:fill="F2F2F2" w:val="clear"/>
            <w:tcMar>
              <w:top w:type="dxa" w:w="120"/>
              <w:left w:type="dxa" w:w="160"/>
              <w:bottom w:type="dxa" w:w="120"/>
              <w:right w:type="dxa" w:w="160"/>
            </w:tcMar>
          </w:tcPr>
          <w:p>
            <w:r>
              <w:rPr>
                <w:rFonts w:ascii="Consolas" w:cs="Consolas" w:eastAsia="Consolas" w:hAnsi="Consolas"/>
                <w:sz w:val="16"/>
                <w:szCs w:val="16"/>
              </w:rPr>
              <w:t xml:space="preserve">                     ┌────────────────────┐</w:t>
            </w:r>
          </w:p>
          <w:p>
            <w:r>
              <w:rPr>
                <w:rFonts w:ascii="Consolas" w:cs="Consolas" w:eastAsia="Consolas" w:hAnsi="Consolas"/>
                <w:sz w:val="16"/>
                <w:szCs w:val="16"/>
              </w:rPr>
              <w:t xml:space="preserve">                     │   Organization /    │</w:t>
            </w:r>
          </w:p>
          <w:p>
            <w:r>
              <w:rPr>
                <w:rFonts w:ascii="Consolas" w:cs="Consolas" w:eastAsia="Consolas" w:hAnsi="Consolas"/>
                <w:sz w:val="16"/>
                <w:szCs w:val="16"/>
              </w:rPr>
              <w:t xml:space="preserve">                     │   Master Data        │  (Job Titles, Categories, Employment</w:t>
            </w:r>
          </w:p>
          <w:p>
            <w:r>
              <w:rPr>
                <w:rFonts w:ascii="Consolas" w:cs="Consolas" w:eastAsia="Consolas" w:hAnsi="Consolas"/>
                <w:sz w:val="16"/>
                <w:szCs w:val="16"/>
              </w:rPr>
              <w:t xml:space="preserve">                     │   (Domain B1)         │   Statuses, Locations, Sub-units/Org</w:t>
            </w:r>
          </w:p>
          <w:p>
            <w:r>
              <w:rPr>
                <w:rFonts w:ascii="Consolas" w:cs="Consolas" w:eastAsia="Consolas" w:hAnsi="Consolas"/>
                <w:sz w:val="16"/>
                <w:szCs w:val="16"/>
              </w:rPr>
              <w:t xml:space="preserve">                     └─────────┬────────────┘   Chart, Pay Grades, Currencies, Skills)</w:t>
            </w:r>
          </w:p>
          <w:p>
            <w:r>
              <w:rPr>
                <w:rFonts w:ascii="Consolas" w:cs="Consolas" w:eastAsia="Consolas" w:hAnsi="Consolas"/>
                <w:sz w:val="16"/>
                <w:szCs w:val="16"/>
              </w:rPr>
              <w:t xml:space="preserve">                               │ referenced by</w:t>
            </w:r>
          </w:p>
          <w:p>
            <w:r>
              <w:rPr>
                <w:rFonts w:ascii="Consolas" w:cs="Consolas" w:eastAsia="Consolas" w:hAnsi="Consolas"/>
                <w:sz w:val="16"/>
                <w:szCs w:val="16"/>
              </w:rPr>
              <w:t xml:space="preserve">                               ▼</w:t>
            </w:r>
          </w:p>
          <w:p>
            <w:r>
              <w:rPr>
                <w:rFonts w:ascii="Consolas" w:cs="Consolas" w:eastAsia="Consolas" w:hAnsi="Consolas"/>
                <w:sz w:val="16"/>
                <w:szCs w:val="16"/>
              </w:rPr>
              <w:t xml:space="preserve">        ┌───────────────────────────────────────────┐</w:t>
            </w:r>
          </w:p>
          <w:p>
            <w:r>
              <w:rPr>
                <w:rFonts w:ascii="Consolas" w:cs="Consolas" w:eastAsia="Consolas" w:hAnsi="Consolas"/>
                <w:sz w:val="16"/>
                <w:szCs w:val="16"/>
              </w:rPr>
              <w:t xml:space="preserve">        │              EMPLOYEE (Domain B2)           │◄──── User Account (RBAC, Domain A)</w:t>
            </w:r>
          </w:p>
          <w:p>
            <w:r>
              <w:rPr>
                <w:rFonts w:ascii="Consolas" w:cs="Consolas" w:eastAsia="Consolas" w:hAnsi="Consolas"/>
                <w:sz w:val="16"/>
                <w:szCs w:val="16"/>
              </w:rPr>
              <w:t xml:space="preserve">        │  personal / contact / job / compensation /   │</w:t>
            </w:r>
          </w:p>
          <w:p>
            <w:r>
              <w:rPr>
                <w:rFonts w:ascii="Consolas" w:cs="Consolas" w:eastAsia="Consolas" w:hAnsi="Consolas"/>
                <w:sz w:val="16"/>
                <w:szCs w:val="16"/>
              </w:rPr>
              <w:t xml:space="preserve">        │  qualifications / dependents / immigration    │</w:t>
            </w:r>
          </w:p>
          <w:p>
            <w:r>
              <w:rPr>
                <w:rFonts w:ascii="Consolas" w:cs="Consolas" w:eastAsia="Consolas" w:hAnsi="Consolas"/>
                <w:sz w:val="16"/>
                <w:szCs w:val="16"/>
              </w:rPr>
              <w:t xml:space="preserve">        └───────┬───────────┬───────────┬─────────────┘</w:t>
            </w:r>
          </w:p>
          <w:p>
            <w:r>
              <w:rPr>
                <w:rFonts w:ascii="Consolas" w:cs="Consolas" w:eastAsia="Consolas" w:hAnsi="Consolas"/>
                <w:sz w:val="16"/>
                <w:szCs w:val="16"/>
              </w:rPr>
              <w:t xml:space="preserve">                │           │           │</w:t>
            </w:r>
          </w:p>
          <w:p>
            <w:r>
              <w:rPr>
                <w:rFonts w:ascii="Consolas" w:cs="Consolas" w:eastAsia="Consolas" w:hAnsi="Consolas"/>
                <w:sz w:val="16"/>
                <w:szCs w:val="16"/>
              </w:rPr>
              <w:t xml:space="preserve">     ┌──────────▼───┐ ┌─────▼──────┐ ┌──▼─────────────┐        also referenced by:</w:t>
            </w:r>
          </w:p>
          <w:p>
            <w:r>
              <w:rPr>
                <w:rFonts w:ascii="Consolas" w:cs="Consolas" w:eastAsia="Consolas" w:hAnsi="Consolas"/>
                <w:sz w:val="16"/>
                <w:szCs w:val="16"/>
              </w:rPr>
              <w:t xml:space="preserve">     │ Leave / Time /│ │ Recruitment/│ │ Claims / Assets/│        Buzz, Dashboard,</w:t>
            </w:r>
          </w:p>
          <w:p>
            <w:r>
              <w:rPr>
                <w:rFonts w:ascii="Consolas" w:cs="Consolas" w:eastAsia="Consolas" w:hAnsi="Consolas"/>
                <w:sz w:val="16"/>
                <w:szCs w:val="16"/>
              </w:rPr>
              <w:t xml:space="preserve">     │ Attendance    │ │ Performance/│ │ Vehicles /      │        Directory, Helpdesk,</w:t>
            </w:r>
          </w:p>
          <w:p>
            <w:r>
              <w:rPr>
                <w:rFonts w:ascii="Consolas" w:cs="Consolas" w:eastAsia="Consolas" w:hAnsi="Consolas"/>
                <w:sz w:val="16"/>
                <w:szCs w:val="16"/>
              </w:rPr>
              <w:t xml:space="preserve">     │ (Domain C)    │ │ Discipline  │ │ Policy (Domain E)│       Pulse Surveys (Domain F)</w:t>
            </w:r>
          </w:p>
          <w:p>
            <w:r>
              <w:rPr>
                <w:rFonts w:ascii="Consolas" w:cs="Consolas" w:eastAsia="Consolas" w:hAnsi="Consolas"/>
                <w:sz w:val="16"/>
                <w:szCs w:val="16"/>
              </w:rPr>
              <w:t xml:space="preserve">     │               │ │ (Domain D)  │ │                 │</w:t>
            </w:r>
          </w:p>
          <w:p>
            <w:r>
              <w:rPr>
                <w:rFonts w:ascii="Consolas" w:cs="Consolas" w:eastAsia="Consolas" w:hAnsi="Consolas"/>
                <w:sz w:val="16"/>
                <w:szCs w:val="16"/>
              </w:rPr>
              <w:t xml:space="preserve">     └───────────────┘ └────────────┘ └─────────────────┘</w:t>
            </w:r>
          </w:p>
          <w:p>
            <w:r>
              <w:rPr>
                <w:rFonts w:ascii="Consolas" w:cs="Consolas" w:eastAsia="Consolas" w:hAnsi="Consolas"/>
                <w:sz w:val="16"/>
                <w:szCs w:val="16"/>
              </w:rPr>
              <w:t xml:space="preserve">                               ▲</w:t>
            </w:r>
          </w:p>
          <w:p>
            <w:r>
              <w:rPr>
                <w:rFonts w:ascii="Consolas" w:cs="Consolas" w:eastAsia="Consolas" w:hAnsi="Consolas"/>
                <w:sz w:val="16"/>
                <w:szCs w:val="16"/>
              </w:rPr>
              <w:t xml:space="preserve">                 every module above raises events into:</w:t>
            </w:r>
          </w:p>
          <w:p>
            <w:r>
              <w:rPr>
                <w:rFonts w:ascii="Consolas" w:cs="Consolas" w:eastAsia="Consolas" w:hAnsi="Consolas"/>
                <w:sz w:val="16"/>
                <w:szCs w:val="16"/>
              </w:rPr>
              <w:t xml:space="preserve">                     Notification Center (A7) · E-Signature Service (A8)</w:t>
            </w:r>
          </w:p>
        </w:tc>
      </w:tr>
    </w:tbl>
    <w:p/>
    <w:p>
      <w:pPr>
        <w:spacing w:after="160"/>
        <w:jc w:val="both"/>
      </w:pPr>
      <w:r>
        <w:t xml:space="preserve">Two hierarchy concepts must be modeled independently, not conflated: </w:t>
      </w:r>
      <w:r>
        <w:rPr>
          <w:b/>
          <w:bCs/>
        </w:rPr>
        <w:t xml:space="preserve">organizational structure</w:t>
      </w:r>
      <w:r>
        <w:t xml:space="preserve"> (department/sub-unit tree, describing where a role sits) and </w:t>
      </w:r>
      <w:r>
        <w:rPr>
          <w:b/>
          <w:bCs/>
        </w:rPr>
        <w:t xml:space="preserve">reporting lines</w:t>
      </w:r>
      <w:r>
        <w:t xml:space="preserve"> (a many-to-many, typed graph of who supervises whom, which can differ from the org chart and supports multiple simultaneous supervisors per employee with a "reporting method," e.g. direct vs. dotted-line).</w:t>
      </w:r>
    </w:p>
    <w:p>
      <w:pPr>
        <w:pStyle w:val="Heading2"/>
        <w:spacing w:after="160" w:before="280"/>
      </w:pPr>
      <w:r>
        <w:t xml:space="preserve">3.4 UI/UX Design Approach</w:t>
      </w:r>
    </w:p>
    <w:p>
      <w:pPr>
        <w:spacing w:after="160"/>
        <w:jc w:val="both"/>
      </w:pPr>
      <w:r>
        <w:rPr>
          <w:b/>
          <w:bCs/>
        </w:rPr>
        <w:t xml:space="preserve">Adopted this iteration: a purpose-built UI/UX design system for this HRIS, superseding the earlier "defer everything to a Phase 0 build-time pass" position.</w:t>
      </w:r>
      <w:r>
        <w:t xml:space="preserve"> Two prior positions are both now resolved by this: the original Procurement &amp; Inventory Portal reference layout (discarded in an earlier iteration, per SI's direction, as visually unrelated to this application) and the interim position that visual design would be decided from scratch at build time with no reference at all. SI has since produced a working, click-through UI prototype purpose-built for this HRIS — covering Login, 2FA verification, the Employee Home/ESS landing view, Apply for Leave, the HR/Supervisor Approvals queue, and Expense Claim submission — and this specification adopts it as the system's design language. Phase 0's UX work is now "extend this system to the remaining modules," not "invent one from nothing."</w:t>
      </w:r>
    </w:p>
    <w:p>
      <w:pPr>
        <w:spacing w:after="160"/>
        <w:jc w:val="both"/>
      </w:pPr>
      <w:r>
        <w:rPr>
          <w:b/>
          <w:bCs/>
        </w:rPr>
        <w:t xml:space="preserve">Design language, as established by the prototype:</w:t>
      </w:r>
    </w:p>
    <w:p>
      <w:pPr>
        <w:pStyle w:val="ListParagraph"/>
        <w:numPr>
          <w:ilvl w:val="0"/>
          <w:numId w:val="1"/>
        </w:numPr>
        <w:spacing w:after="60"/>
      </w:pPr>
      <w:r>
        <w:rPr>
          <w:b/>
          <w:bCs/>
        </w:rPr>
        <w:t xml:space="preserve">Typography:</w:t>
      </w:r>
      <w:r>
        <w:t xml:space="preserve"> Sora (600/700/800 weight) for headings, display numerals, and the logotype; Inter (400–700) for body text and UI labels; JetBrains Mono (500/600) for anything numeric or code-like — leave-balance figures, currency amounts, OTP digits, claim/reference IDs — so data reads as data, distinct from prose.</w:t>
      </w:r>
    </w:p>
    <w:p>
      <w:pPr>
        <w:pStyle w:val="ListParagraph"/>
        <w:numPr>
          <w:ilvl w:val="0"/>
          <w:numId w:val="1"/>
        </w:numPr>
        <w:spacing w:after="60"/>
      </w:pPr>
      <w:r>
        <w:rPr>
          <w:b/>
          <w:bCs/>
        </w:rPr>
        <w:t xml:space="preserve">Color:</w:t>
      </w:r>
      <w:r>
        <w:t xml:space="preserve"> an ink-black primary (`#14151A`) paired with Systems Intelligenz's brand red (`#D9251E`, hover `#B31C16`, tint `#FBEAE9`) as the single accent used for primary actions, active nav state, and the brand mark; a light neutral surface (`#F5F6F8` page background, `#FFFFFF` card background, `#E7E8EC`/`#D8DAE0` borders) keeps data-dense HR screens calm; status/semantic color is scoped to badges and small indicators only (blue `#2563EB`/`#EAF1FE` for "in progress," green `#1E9E63`/`#E7F7EF` for approved/positive, amber `#B45309`/`#FDF3E0` for pending/attention), never as full-surface color, so color-coding stays legible and doesn't compete with the brand accent.</w:t>
      </w:r>
    </w:p>
    <w:p>
      <w:pPr>
        <w:pStyle w:val="ListParagraph"/>
        <w:numPr>
          <w:ilvl w:val="0"/>
          <w:numId w:val="1"/>
        </w:numPr>
        <w:spacing w:after="60"/>
      </w:pPr>
      <w:r>
        <w:rPr>
          <w:b/>
          <w:bCs/>
        </w:rPr>
        <w:t xml:space="preserve">Layout shell:</w:t>
      </w:r>
      <w:r>
        <w:t xml:space="preserve"> a fixed 240px left sidebar (white, grouped nav: Workspace / My Team / Company, each item an icon + label, active item shown with the tinted-red pill background) plus a 68px top bar (global search, the Notification Center bell with an unread badge, and the signed-in user's avatar/name/role) — used consistently across every authenticated screen, so a user's mental map of "where things are" never resets between modules. Auth screens (Login, 2FA) instead use a full-height split layout: a dark brand panel on the left with the SI mark and a screen-relevant illustration, the form on the right — kept deliberately distinct from the authenticated shell so "you are not yet inside the system" stays visually obvious.</w:t>
      </w:r>
    </w:p>
    <w:p>
      <w:pPr>
        <w:pStyle w:val="ListParagraph"/>
        <w:numPr>
          <w:ilvl w:val="0"/>
          <w:numId w:val="1"/>
        </w:numPr>
        <w:spacing w:after="60"/>
      </w:pPr>
      <w:r>
        <w:rPr>
          <w:b/>
          <w:bCs/>
        </w:rPr>
        <w:t xml:space="preserve">Component patterns:</w:t>
      </w:r>
      <w:r>
        <w:t xml:space="preserve"> rounded-corner cards (14px for content sections, 20px for the dashboard's stat tiles, which carry a floating icon badge and a pill status tag), pill-shaped status badges (999px radius) colour-coded per the semantic palette above, a dark "Quick actions" panel on the home dashboard for the current role's most-used actions, and a consistent list→detail approval pattern (a filterable request list on the left, full case detail with an approval trail/timeline on the right) used for the Approvals queue and extended to every other approval-style screen (Discipline case review, Company Registration Document sign-off, etc.).</w:t>
      </w:r>
    </w:p>
    <w:p>
      <w:pPr>
        <w:pStyle w:val="ListParagraph"/>
        <w:numPr>
          <w:ilvl w:val="0"/>
          <w:numId w:val="1"/>
        </w:numPr>
        <w:spacing w:after="60"/>
      </w:pPr>
      <w:r>
        <w:rPr>
          <w:b/>
          <w:bCs/>
        </w:rPr>
        <w:t xml:space="preserve">Interaction conventions:</w:t>
      </w:r>
      <w:r>
        <w:t xml:space="preserve"> every authenticated screen keeps the same sidebar/top-bar shell; the notification bell always opens the same Notification Center panel from any screen; the 2FA step supports both TOTP and emailed one-time code via an explicit method switch, matching Section A1, with no default assumed; role-aware "Quick actions" surface only what that signed-in role actually does most (Apply for Leave / Submit a Claim / Punch In-Out for ESS; the Approvals queue and Add Employee for Supervisor/HR), directly satisfying SI's original "quick access to features that will mostly be used" requirement.</w:t>
      </w:r>
    </w:p>
    <w:p>
      <w:pPr>
        <w:spacing w:after="160"/>
        <w:jc w:val="both"/>
      </w:pPr>
      <w:r>
        <w:rPr>
          <w:b/>
          <w:bCs/>
        </w:rPr>
        <w:t xml:space="preserve">Functional requirements the design must continue to satisfy, unchanged from the prior iteration:</w:t>
      </w:r>
      <w:r>
        <w:t xml:space="preserve"> quick, role-aware access to each role's most-used actions from the landing screen; a persistent, always-reachable notification entry point; a role-aware landing/home view rather than one generic dashboard; a 2FA step that accommodates either second factor without favoring one in the interface; and consistent SI branding throughout. The prototype already satisfies all five; Phase 0's job is to carry this same shell, type system, and component set through every module in Section 4 that the prototype doesn't yet cover (Notification Center panel, Asset/Vehicle views, Company Registration Documents, Discipline case review, the Admin role/permission builder, and the rest), rather than re-deriving a new visual language for each one.</w:t>
      </w:r>
    </w:p>
    <w:p>
      <w:pPr>
        <w:spacing w:after="160"/>
        <w:jc w:val="both"/>
      </w:pPr>
      <w:r>
        <w:rPr>
          <w:b/>
          <w:bCs/>
        </w:rPr>
        <w:t xml:space="preserve">Frontend implementation note (see Section 3.5):</w:t>
      </w:r>
      <w:r>
        <w:t xml:space="preserve"> because the web application is built with Laravel + Livewire — server-rendered Blade components, not a client-side SPA — this design system is implemented as a small library of reusable Blade/Livewire components (nav shell, stat tile, status pill, data table, approval list/detail pattern) styled with Tailwind CSS utility classes matching the tokens above, rather than as a separate design-system package consumed over an API. This keeps one visual source of truth without introducing a second frontend build pipeline.</w:t>
      </w:r>
    </w:p>
    <w:p>
      <w:pPr>
        <w:spacing w:after="160"/>
        <w:jc w:val="both"/>
      </w:pPr>
      <w:r>
        <w:t xml:space="preserve">If Systems Intelligenz later revises this prototype or commissions a further design pass, that direction supersedes this section; absent that, the prototype and the design language above are what Phase 0 build-out and every subsequent module's UI are evaluated against.</w:t>
      </w:r>
    </w:p>
    <w:p>
      <w:pPr>
        <w:pStyle w:val="Heading2"/>
        <w:spacing w:after="160" w:before="280"/>
      </w:pPr>
      <w:r>
        <w:t xml:space="preserve">3.5 Recommended Technology Stack</w:t>
      </w:r>
    </w:p>
    <w:p>
      <w:pPr>
        <w:spacing w:after="160"/>
        <w:jc w:val="both"/>
      </w:pPr>
      <w:r>
        <w:rPr>
          <w:b/>
          <w:bCs/>
        </w:rPr>
        <w:t xml:space="preserve">Changed this iteration, per SI's explicit direction: Laravel 11 (PHP 8.3) + Livewire 3, replacing the earlier Node.js/NestJS/React recommendation.</w:t>
      </w:r>
      <w:r>
        <w:t xml:space="preserve"> SI already has this stack running on a development server and it matches the team's existing skill set — both are decisive, practical reasons to standardize on it, and neither the module boundaries (Section 2), the RBAC model (Section 3.2), nor any domain specification in Section 4 depends on which backend framework or frontend rendering approach implements them. This is a like-for-like substitution of the implementation layer, not a re-architecture: every principle in Section 3.1 (API-first, modular boundaries, declarative cross-cutting rules, universal audit trail) holds exactly as written, just realized in Laravel idioms below instead of Node/NestJS ones.</w:t>
      </w:r>
    </w:p>
    <w:p>
      <w:pPr>
        <w:spacing w:after="160"/>
        <w:jc w:val="both"/>
      </w:pPr>
      <w:r>
        <w:rPr>
          <w:b/>
          <w:bCs/>
        </w:rPr>
        <w:t xml:space="preserve">Scope, unchanged from the prior iteration:</w:t>
      </w:r>
      <w:r>
        <w:t xml:space="preserve"> this is a single responsive web application, not a two-stage PWA build. Installability (home-screen icon, offline shell) stays out of scope; browser push notifications are retained regardless (see "Real-time delivery" below), since that capability doesn't depend on installability.</w:t>
      </w:r>
    </w:p>
    <w:p>
      <w:pPr>
        <w:spacing w:after="160"/>
        <w:jc w:val="both"/>
      </w:pPr>
      <w:r>
        <w:rPr>
          <w:b/>
          <w:bCs/>
        </w:rPr>
        <w:t xml:space="preserve">Backend — Laravel 11, PHP 8.3.</w:t>
      </w:r>
      <w:r>
        <w:t xml:space="preserve"> Laravel's own conventions map cleanly onto this specification's structure: each Domain A–F module (Section 2) is a Laravel package-style module (routes, models, Livewire components, Policies, and Action/Service classes grouped together) rather than a flat MVC dump, keeping the same module boundaries the architecture calls for. Business logic lives in per-module Action/Service classes, called identically by thin API Controllers (for the versioned REST API, Section 3.1) and by Livewire components (for the web UI) — so the two never diverge, per the updated principle in Section 3.1. Laravel's native migration system, Form Request validation, and Policy classes are used as-is rather than adding external equivalents (no separate migration tool or validation library needed, unlike the Node stack's Prisma).</w:t>
      </w:r>
    </w:p>
    <w:p>
      <w:pPr>
        <w:spacing w:after="160"/>
        <w:jc w:val="both"/>
      </w:pPr>
      <w:r>
        <w:rPr>
          <w:b/>
          <w:bCs/>
        </w:rPr>
        <w:t xml:space="preserve">Frontend — Livewire 3 + Alpine.js, Blade components, Tailwind CSS.</w:t>
      </w:r>
      <w:r>
        <w:t xml:space="preserve"> Livewire 3 renders the UI server-side as reactive Blade components — updating the page over AJAX/WebSocket-style partial diffs without hand-written JavaScript for most interactions — which is a strong fit for a data-grid- and form-heavy HR system and avoids standing up a separate SPA build/deploy pipeline. Alpine.js supplies lightweight client-side interactivity (dropdowns, tabs, modals) where a full server round-trip isn't warranted. Tailwind CSS implements the design system adopted in Section 3.4 (the color, spacing, and radius tokens map directly onto Tailwind utility classes and a small `tailwind.config` theme extension) as a shared component library of Blade/Livewire components — nav shell, stat tile, status pill, data table, list/detail approval pattern — built once in Phase 0 and reused by every module. Vite (Laravel's default asset bundler since Laravel 9) compiles Tailwind and the small amount of Alpine/JS needed.</w:t>
      </w:r>
    </w:p>
    <w:p>
      <w:pPr>
        <w:spacing w:after="160"/>
        <w:jc w:val="both"/>
      </w:pPr>
      <w:r>
        <w:rPr>
          <w:b/>
          <w:bCs/>
        </w:rPr>
        <w:t xml:space="preserve">Database — MySQL 8 / MariaDB, Eloquent ORM.</w:t>
      </w:r>
      <w:r>
        <w:t xml:space="preserve"> MySQL 8 (or MariaDB) is assumed as the default, matching the most common Laravel hosting baseline and what is typically already available on shared/VPS hosting in both SI's Nigerian and UK contexts; </w:t>
      </w:r>
      <w:r>
        <w:rPr>
          <w:b/>
          <w:bCs/>
        </w:rPr>
        <w:t xml:space="preserve">this is a flagged assumption, not a confirmed fact</w:t>
      </w:r>
      <w:r>
        <w:t xml:space="preserve"> — if the development server already mentioned runs PostgreSQL instead, Eloquent supports it with no architectural change, only a config swap, so this should simply be confirmed against whatever the existing dev server already uses rather than re-decided from scratch. Eloquent's native JSON column casting covers the flexible custom-field pattern in Section 4 B2 the same way Prisma's JSON columns did in the prior recommendation.</w:t>
      </w:r>
    </w:p>
    <w:p>
      <w:pPr>
        <w:spacing w:after="160"/>
        <w:jc w:val="both"/>
      </w:pPr>
      <w:r>
        <w:rPr>
          <w:b/>
          <w:bCs/>
        </w:rPr>
        <w:t xml:space="preserve">File storage.</w:t>
      </w:r>
      <w:r>
        <w:t xml:space="preserve"> Laravel's `Storage` filesystem abstraction with an S3-compatible driver (AWS S3, or a lower-cost S3-compatible alternative) for every file attachment across every module (Section 3.2), keeping only metadata and a storage key in the database — unchanged in substance from the prior recommendation, just via Laravel's native filesystem layer instead of a hand-wired SDK. `spatie/laravel-medialibrary` is recommended on top of it for modules with versioned or conversioned attachments specifically (Company Registration Documents' full version history in Section 4 E5, Policy Document versions in E4), since it already models "one entity, many file versions" directly.</w:t>
      </w:r>
    </w:p>
    <w:p>
      <w:pPr>
        <w:spacing w:after="160"/>
        <w:jc w:val="both"/>
      </w:pPr>
      <w:r>
        <w:rPr>
          <w:b/>
          <w:bCs/>
        </w:rPr>
        <w:t xml:space="preserve">Authentication, 2FA, and OAuth2.</w:t>
      </w:r>
      <w:r>
        <w:t xml:space="preserve"> Laravel's built-in authentication for local login; `directorytree/ldaprecord-laravel` for LDAP and Laravel Socialite for OpenID Connect (Section 4 A1/A3), behind the same priority-ordered provider chain described there. `pragmarx/google2fa-laravel` (or equivalent) for TOTP generation/verification and backup codes, and the existing transactional-email pipeline (below) reused for the emailed one-time-code 2FA alternative — both still offered as user-selectable second factors (Section 4 A1), unchanged from the prior iteration. Laravel Sanctum issues revocable, database-backed API tokens for the first-party mobile client and any SPA-style consumer (Section 4 A3) — opaque and immediately revocable, not self-contained JWTs, matching the same principle the prior recommendation stated; Laravel Passport is the fallback if SI later needs a full standards-based OAuth2/OIDC authorization server for genuine third-party API clients, which Sanctum alone does not provide.</w:t>
      </w:r>
    </w:p>
    <w:p>
      <w:pPr>
        <w:spacing w:after="160"/>
        <w:jc w:val="both"/>
      </w:pPr>
      <w:r>
        <w:rPr>
          <w:b/>
          <w:bCs/>
        </w:rPr>
        <w:t xml:space="preserve">Background jobs &amp; scheduling.</w:t>
      </w:r>
      <w:r>
        <w:t xml:space="preserve"> Laravel's Queue system (Redis-backed) for asynchronous work (notification/push fan-out, document processing), and Laravel's built-in </w:t>
      </w:r>
      <w:r>
        <w:rPr>
          <w:b/>
          <w:bCs/>
        </w:rPr>
        <w:t xml:space="preserve">Task Scheduler</w:t>
      </w:r>
      <w:r>
        <w:t xml:space="preserve"> (`Schedule` facade, defined once in code rather than external crontab entries) directly implements the scheduled-job registry from Section 3.2 — GDPR purge sweeps, the Renewal &amp; Compliance Reminder Engine's daily sweep, HR metrics snapshots, the leave carry-over run (Section 4 C1), and pulse-survey launches (Section 4 F8). Laravel Horizon provides queue monitoring/dashboarding when Redis-backed queues are in use.</w:t>
      </w:r>
    </w:p>
    <w:p>
      <w:pPr>
        <w:spacing w:after="160"/>
        <w:jc w:val="both"/>
      </w:pPr>
      <w:r>
        <w:rPr>
          <w:b/>
          <w:bCs/>
        </w:rPr>
        <w:t xml:space="preserve">Real-time delivery.</w:t>
      </w:r>
      <w:r>
        <w:t xml:space="preserve"> Laravel Reverb — Laravel's own first-party WebSocket server, paired with Laravel Echo on the frontend — for live updates to the in-app Notification Center (Section 4 A7) while a user has the app open; a hosted Pusher-compatible service is a drop-in alternative if self-hosting Reverb isn't wanted. Browser push notifications (Section 4 A7) go through Laravel Notifications' `webpush` channel (`laravel-notification-channels/webpush`) using the Web Push API (VAPID keys), unchanged in scope from the prior iteration: desktop Chrome/Edge/Firefox and Android Chrome directly from an ordinary browser tab, once notification permission is granted. *Scope boundary, unchanged:* Web Push to iOS Safari still requires home-screen installation, which stays out of scope; iOS Safari users still receive every notification by email and in the in-app Notification Center.</w:t>
      </w:r>
    </w:p>
    <w:p>
      <w:pPr>
        <w:spacing w:after="160"/>
        <w:jc w:val="both"/>
      </w:pPr>
      <w:r>
        <w:rPr>
          <w:b/>
          <w:bCs/>
        </w:rPr>
        <w:t xml:space="preserve">Caching &amp; sessions.</w:t>
      </w:r>
      <w:r>
        <w:t xml:space="preserve"> Redis for cache, session storage, and the queue/Reverb backing store — same role Redis played in the prior recommendation.</w:t>
      </w:r>
    </w:p>
    <w:p>
      <w:pPr>
        <w:spacing w:after="160"/>
        <w:jc w:val="both"/>
      </w:pPr>
      <w:r>
        <w:rPr>
          <w:b/>
          <w:bCs/>
        </w:rPr>
        <w:t xml:space="preserve">Email delivery.</w:t>
      </w:r>
      <w:r>
        <w:t xml:space="preserve"> Laravel's native Mail component with a transactional API driver (Laravel ships first-party or well-supported drivers for Amazon SES, Postmark, and Mailgun) rather than raw SMTP-only, paired with Laravel Notifications for the multi-channel (mail / database / webpush) fan-out the Notification Center needs — while keeping the SMTP-configuration screen from Section 4 A5 for environments that need it.</w:t>
      </w:r>
    </w:p>
    <w:p>
      <w:pPr>
        <w:spacing w:after="160"/>
        <w:jc w:val="both"/>
      </w:pPr>
      <w:r>
        <w:rPr>
          <w:b/>
          <w:bCs/>
        </w:rPr>
        <w:t xml:space="preserve">Infrastructure &amp; DevOps.</w:t>
      </w:r>
      <w:r>
        <w:t xml:space="preserve"> Since Laravel is already running on a development server, the pragmatic default is conventional PHP hosting — Nginx + PHP-FPM (or Laravel Octane for higher-throughput long-running workers) provisioned via Laravel Forge or a comparable managed-server tool, rather than introducing a container platform SI doesn't already have a reason to run; Laravel Sail (Docker) remains available for local development parity regardless of how production is hosted. GitHub Actions for CI/CD (framework-agnostic, unchanged); Composer for PHP dependency management. This is intentionally matched to infrastructure SI can stand up with its current skill set, with a documented path to containerized/managed-platform hosting later if scale warrants it.</w:t>
      </w:r>
    </w:p>
    <w:p>
      <w:pPr>
        <w:spacing w:after="160"/>
        <w:jc w:val="both"/>
      </w:pPr>
      <w:r>
        <w:rPr>
          <w:b/>
          <w:bCs/>
        </w:rPr>
        <w:t xml:space="preserve">Observability.</w:t>
      </w:r>
      <w:r>
        <w:t xml:space="preserve"> Sentry for error tracking (unchanged; has a first-party Laravel SDK); </w:t>
      </w:r>
      <w:r>
        <w:rPr>
          <w:b/>
          <w:bCs/>
        </w:rPr>
        <w:t xml:space="preserve">Laravel Pulse</w:t>
      </w:r>
      <w:r>
        <w:t xml:space="preserve"> (Laravel 11's own lightweight application performance dashboard) for production request/queue/job metrics before reaching for a heavier external APM; </w:t>
      </w:r>
      <w:r>
        <w:rPr>
          <w:b/>
          <w:bCs/>
        </w:rPr>
        <w:t xml:space="preserve">Laravel Telescope</w:t>
      </w:r>
      <w:r>
        <w:t xml:space="preserve"> in local/staging environments for request, query, and job introspection during development.</w:t>
      </w:r>
    </w:p>
    <w:p>
      <w:pPr>
        <w:spacing w:after="160"/>
        <w:jc w:val="both"/>
      </w:pPr>
      <w:r>
        <w:rPr>
          <w:b/>
          <w:bCs/>
        </w:rPr>
        <w:t xml:space="preserve">Search.</w:t>
      </w:r>
      <w:r>
        <w:t xml:space="preserve"> MySQL full-text search (or PostgreSQL's, if that engine is confirmed instead) is sufficient for the employee directory, audit log, and general list-filtering needs in Section 4 at Systems Intelligenz's scale — reached through Laravel Scout's database driver so the abstraction is in place from day one; Scout's Meilisearch driver is the upgrade path if a specific, measured performance need justifies it later, without an application-layer rewrite.</w:t>
      </w:r>
    </w:p>
    <w:p>
      <w:pPr>
        <w:spacing w:after="160"/>
        <w:jc w:val="both"/>
      </w:pPr>
      <w:r>
        <w:rPr>
          <w:b/>
          <w:bCs/>
        </w:rPr>
        <w:t xml:space="preserve">Testing.</w:t>
      </w:r>
      <w:r>
        <w:t xml:space="preserve"> Pest (PHP's behavior-driven testing framework, now the Laravel-ecosystem default) or PHPUnit, using Laravel's built-in testing scaffolding (model factories, database transactions per test, HTTP/Livewire component test helpers) rather than a separately assembled testing stack.</w:t>
      </w:r>
    </w:p>
    <w:p>
      <w:pPr>
        <w:spacing w:after="160"/>
        <w:jc w:val="both"/>
      </w:pPr>
      <w:r>
        <w:rPr>
          <w:b/>
          <w:bCs/>
        </w:rPr>
        <w:t xml:space="preserve">Legal/compliance note relevant to stack and data-residency decisions.</w:t>
      </w:r>
      <w:r>
        <w:t xml:space="preserve"> Unchanged from the prior iteration: because Systems Intelligenz operates across both Nigerian and UK business contexts, hosting-region choice, the e-signature approach (Section 4 A8), and the data-protection design in Section 4 A6 should each be checked against both jurisdictions' frameworks (Nigeria's Data Protection Act 2023 and Evidence Act provisions on electronic records, and UK GDPR/the Electronic Communications Act 2000) — a Phase 0 legal/compliance confirmation, not a purely technical one, and independent of the backend framework choice above.</w:t>
      </w:r>
    </w:p>
    <w:p>
      <w:pPr>
        <w:spacing w:after="160"/>
        <w:jc w:val="both"/>
      </w:pPr>
      <w:r>
        <w:rPr>
          <w:b/>
          <w:bCs/>
        </w:rPr>
        <w:t xml:space="preserve">Summary table: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rPr>
          <w:tblHeader/>
        </w:trPr>
        <w:tc>
          <w:tcPr>
            <w:tcW w:type="dxa" w:w="5040"/>
            <w:shd w:fill="1F3864" w:val="clear"/>
            <w:tcMar>
              <w:top w:type="dxa" w:w="60"/>
              <w:left w:type="dxa" w:w="100"/>
              <w:bottom w:type="dxa" w:w="60"/>
              <w:right w:type="dxa" w:w="100"/>
            </w:tcMar>
            <w:vAlign w:val="center"/>
          </w:tcPr>
          <w:p>
            <w:r>
              <w:rPr>
                <w:b/>
                <w:bCs/>
                <w:color w:val="FFFFFF"/>
                <w:sz w:val="18"/>
                <w:szCs w:val="18"/>
              </w:rPr>
              <w:t xml:space="preserve">Layer</w:t>
            </w:r>
          </w:p>
        </w:tc>
        <w:tc>
          <w:tcPr>
            <w:tcW w:type="dxa" w:w="5040"/>
            <w:shd w:fill="1F3864" w:val="clear"/>
            <w:tcMar>
              <w:top w:type="dxa" w:w="60"/>
              <w:left w:type="dxa" w:w="100"/>
              <w:bottom w:type="dxa" w:w="60"/>
              <w:right w:type="dxa" w:w="100"/>
            </w:tcMar>
            <w:vAlign w:val="center"/>
          </w:tcPr>
          <w:p>
            <w:r>
              <w:rPr>
                <w:b/>
                <w:bCs/>
                <w:color w:val="FFFFFF"/>
                <w:sz w:val="18"/>
                <w:szCs w:val="18"/>
              </w:rPr>
              <w:t xml:space="preserve">Recommendation</w:t>
            </w:r>
          </w:p>
        </w:tc>
      </w:tr>
      <w:tr>
        <w:trPr>
          <w:tblHeader w:val="false"/>
        </w:trPr>
        <w:tc>
          <w:tcPr>
            <w:tcW w:type="dxa" w:w="5040"/>
            <w:tcMar>
              <w:top w:type="dxa" w:w="60"/>
              <w:left w:type="dxa" w:w="100"/>
              <w:bottom w:type="dxa" w:w="60"/>
              <w:right w:type="dxa" w:w="100"/>
            </w:tcMar>
            <w:vAlign w:val="center"/>
          </w:tcPr>
          <w:p>
            <w:r>
              <w:rPr>
                <w:sz w:val="18"/>
                <w:szCs w:val="18"/>
              </w:rPr>
              <w:t xml:space="preserve">Backend</w:t>
            </w:r>
          </w:p>
        </w:tc>
        <w:tc>
          <w:tcPr>
            <w:tcW w:type="dxa" w:w="5040"/>
            <w:tcMar>
              <w:top w:type="dxa" w:w="60"/>
              <w:left w:type="dxa" w:w="100"/>
              <w:bottom w:type="dxa" w:w="60"/>
              <w:right w:type="dxa" w:w="100"/>
            </w:tcMar>
            <w:vAlign w:val="center"/>
          </w:tcPr>
          <w:p>
            <w:r>
              <w:rPr>
                <w:sz w:val="18"/>
                <w:szCs w:val="18"/>
              </w:rPr>
              <w:t xml:space="preserve">Laravel 11, PHP 8.3</w:t>
            </w:r>
          </w:p>
        </w:tc>
      </w:tr>
      <w:tr>
        <w:trPr>
          <w:tblHeader w:val="false"/>
        </w:trPr>
        <w:tc>
          <w:tcPr>
            <w:tcW w:type="dxa" w:w="5040"/>
            <w:tcMar>
              <w:top w:type="dxa" w:w="60"/>
              <w:left w:type="dxa" w:w="100"/>
              <w:bottom w:type="dxa" w:w="60"/>
              <w:right w:type="dxa" w:w="100"/>
            </w:tcMar>
            <w:vAlign w:val="center"/>
          </w:tcPr>
          <w:p>
            <w:r>
              <w:rPr>
                <w:sz w:val="18"/>
                <w:szCs w:val="18"/>
              </w:rPr>
              <w:t xml:space="preserve">Frontend (responsive web)</w:t>
            </w:r>
          </w:p>
        </w:tc>
        <w:tc>
          <w:tcPr>
            <w:tcW w:type="dxa" w:w="5040"/>
            <w:tcMar>
              <w:top w:type="dxa" w:w="60"/>
              <w:left w:type="dxa" w:w="100"/>
              <w:bottom w:type="dxa" w:w="60"/>
              <w:right w:type="dxa" w:w="100"/>
            </w:tcMar>
            <w:vAlign w:val="center"/>
          </w:tcPr>
          <w:p>
            <w:r>
              <w:rPr>
                <w:sz w:val="18"/>
                <w:szCs w:val="18"/>
              </w:rPr>
              <w:t xml:space="preserve">Livewire 3 + Alpine.js, Blade components, Tailwind CSS, Vite</w:t>
            </w:r>
          </w:p>
        </w:tc>
      </w:tr>
      <w:tr>
        <w:trPr>
          <w:tblHeader w:val="false"/>
        </w:trPr>
        <w:tc>
          <w:tcPr>
            <w:tcW w:type="dxa" w:w="5040"/>
            <w:tcMar>
              <w:top w:type="dxa" w:w="60"/>
              <w:left w:type="dxa" w:w="100"/>
              <w:bottom w:type="dxa" w:w="60"/>
              <w:right w:type="dxa" w:w="100"/>
            </w:tcMar>
            <w:vAlign w:val="center"/>
          </w:tcPr>
          <w:p>
            <w:r>
              <w:rPr>
                <w:sz w:val="18"/>
                <w:szCs w:val="18"/>
              </w:rPr>
              <w:t xml:space="preserve">Database / ORM &amp; migrations</w:t>
            </w:r>
          </w:p>
        </w:tc>
        <w:tc>
          <w:tcPr>
            <w:tcW w:type="dxa" w:w="5040"/>
            <w:tcMar>
              <w:top w:type="dxa" w:w="60"/>
              <w:left w:type="dxa" w:w="100"/>
              <w:bottom w:type="dxa" w:w="60"/>
              <w:right w:type="dxa" w:w="100"/>
            </w:tcMar>
            <w:vAlign w:val="center"/>
          </w:tcPr>
          <w:p>
            <w:r>
              <w:rPr>
                <w:sz w:val="18"/>
                <w:szCs w:val="18"/>
              </w:rPr>
              <w:t xml:space="preserve">MySQL 8 / MariaDB (flagged assumption — confirm against the existing dev server; PostgreSQL equally supported via Eloquent), Eloquent</w:t>
            </w:r>
          </w:p>
        </w:tc>
      </w:tr>
      <w:tr>
        <w:trPr>
          <w:tblHeader w:val="false"/>
        </w:trPr>
        <w:tc>
          <w:tcPr>
            <w:tcW w:type="dxa" w:w="5040"/>
            <w:tcMar>
              <w:top w:type="dxa" w:w="60"/>
              <w:left w:type="dxa" w:w="100"/>
              <w:bottom w:type="dxa" w:w="60"/>
              <w:right w:type="dxa" w:w="100"/>
            </w:tcMar>
            <w:vAlign w:val="center"/>
          </w:tcPr>
          <w:p>
            <w:r>
              <w:rPr>
                <w:sz w:val="18"/>
                <w:szCs w:val="18"/>
              </w:rPr>
              <w:t xml:space="preserve">File storage</w:t>
            </w:r>
          </w:p>
        </w:tc>
        <w:tc>
          <w:tcPr>
            <w:tcW w:type="dxa" w:w="5040"/>
            <w:tcMar>
              <w:top w:type="dxa" w:w="60"/>
              <w:left w:type="dxa" w:w="100"/>
              <w:bottom w:type="dxa" w:w="60"/>
              <w:right w:type="dxa" w:w="100"/>
            </w:tcMar>
            <w:vAlign w:val="center"/>
          </w:tcPr>
          <w:p>
            <w:r>
              <w:rPr>
                <w:sz w:val="18"/>
                <w:szCs w:val="18"/>
              </w:rPr>
              <w:t xml:space="preserve">S3-compatible object storage via Laravel `Storage`, `spatie/laravel-medialibrary` for versioned attachments</w:t>
            </w:r>
          </w:p>
        </w:tc>
      </w:tr>
      <w:tr>
        <w:trPr>
          <w:tblHeader w:val="false"/>
        </w:trPr>
        <w:tc>
          <w:tcPr>
            <w:tcW w:type="dxa" w:w="5040"/>
            <w:tcMar>
              <w:top w:type="dxa" w:w="60"/>
              <w:left w:type="dxa" w:w="100"/>
              <w:bottom w:type="dxa" w:w="60"/>
              <w:right w:type="dxa" w:w="100"/>
            </w:tcMar>
            <w:vAlign w:val="center"/>
          </w:tcPr>
          <w:p>
            <w:r>
              <w:rPr>
                <w:sz w:val="18"/>
                <w:szCs w:val="18"/>
              </w:rPr>
              <w:t xml:space="preserve">Auth (local/LDAP/OIDC)</w:t>
            </w:r>
          </w:p>
        </w:tc>
        <w:tc>
          <w:tcPr>
            <w:tcW w:type="dxa" w:w="5040"/>
            <w:tcMar>
              <w:top w:type="dxa" w:w="60"/>
              <w:left w:type="dxa" w:w="100"/>
              <w:bottom w:type="dxa" w:w="60"/>
              <w:right w:type="dxa" w:w="100"/>
            </w:tcMar>
            <w:vAlign w:val="center"/>
          </w:tcPr>
          <w:p>
            <w:r>
              <w:rPr>
                <w:sz w:val="18"/>
                <w:szCs w:val="18"/>
              </w:rPr>
              <w:t xml:space="preserve">Laravel auth + `ldaprecord-laravel` + Laravel Socialite, priority-ordered provider chain</w:t>
            </w:r>
          </w:p>
        </w:tc>
      </w:tr>
      <w:tr>
        <w:trPr>
          <w:tblHeader w:val="false"/>
        </w:trPr>
        <w:tc>
          <w:tcPr>
            <w:tcW w:type="dxa" w:w="5040"/>
            <w:tcMar>
              <w:top w:type="dxa" w:w="60"/>
              <w:left w:type="dxa" w:w="100"/>
              <w:bottom w:type="dxa" w:w="60"/>
              <w:right w:type="dxa" w:w="100"/>
            </w:tcMar>
            <w:vAlign w:val="center"/>
          </w:tcPr>
          <w:p>
            <w:r>
              <w:rPr>
                <w:sz w:val="18"/>
                <w:szCs w:val="18"/>
              </w:rPr>
              <w:t xml:space="preserve">2FA</w:t>
            </w:r>
          </w:p>
        </w:tc>
        <w:tc>
          <w:tcPr>
            <w:tcW w:type="dxa" w:w="5040"/>
            <w:tcMar>
              <w:top w:type="dxa" w:w="60"/>
              <w:left w:type="dxa" w:w="100"/>
              <w:bottom w:type="dxa" w:w="60"/>
              <w:right w:type="dxa" w:w="100"/>
            </w:tcMar>
            <w:vAlign w:val="center"/>
          </w:tcPr>
          <w:p>
            <w:r>
              <w:rPr>
                <w:sz w:val="18"/>
                <w:szCs w:val="18"/>
              </w:rPr>
              <w:t xml:space="preserve">TOTP (`pragmarx/google2fa-laravel`) or emailed one-time code, user's choice, plus backup codes and trusted-device tokens</w:t>
            </w:r>
          </w:p>
        </w:tc>
      </w:tr>
      <w:tr>
        <w:trPr>
          <w:tblHeader w:val="false"/>
        </w:trPr>
        <w:tc>
          <w:tcPr>
            <w:tcW w:type="dxa" w:w="5040"/>
            <w:tcMar>
              <w:top w:type="dxa" w:w="60"/>
              <w:left w:type="dxa" w:w="100"/>
              <w:bottom w:type="dxa" w:w="60"/>
              <w:right w:type="dxa" w:w="100"/>
            </w:tcMar>
            <w:vAlign w:val="center"/>
          </w:tcPr>
          <w:p>
            <w:r>
              <w:rPr>
                <w:sz w:val="18"/>
                <w:szCs w:val="18"/>
              </w:rPr>
              <w:t xml:space="preserve">API tokens / OAuth2 (mobile &amp; integrations)</w:t>
            </w:r>
          </w:p>
        </w:tc>
        <w:tc>
          <w:tcPr>
            <w:tcW w:type="dxa" w:w="5040"/>
            <w:tcMar>
              <w:top w:type="dxa" w:w="60"/>
              <w:left w:type="dxa" w:w="100"/>
              <w:bottom w:type="dxa" w:w="60"/>
              <w:right w:type="dxa" w:w="100"/>
            </w:tcMar>
            <w:vAlign w:val="center"/>
          </w:tcPr>
          <w:p>
            <w:r>
              <w:rPr>
                <w:sz w:val="18"/>
                <w:szCs w:val="18"/>
              </w:rPr>
              <w:t xml:space="preserve">Laravel Sanctum (opaque, revocable tokens); Laravel Passport if a full OAuth2/OIDC server is later needed</w:t>
            </w:r>
          </w:p>
        </w:tc>
      </w:tr>
      <w:tr>
        <w:trPr>
          <w:tblHeader w:val="false"/>
        </w:trPr>
        <w:tc>
          <w:tcPr>
            <w:tcW w:type="dxa" w:w="5040"/>
            <w:tcMar>
              <w:top w:type="dxa" w:w="60"/>
              <w:left w:type="dxa" w:w="100"/>
              <w:bottom w:type="dxa" w:w="60"/>
              <w:right w:type="dxa" w:w="100"/>
            </w:tcMar>
            <w:vAlign w:val="center"/>
          </w:tcPr>
          <w:p>
            <w:r>
              <w:rPr>
                <w:sz w:val="18"/>
                <w:szCs w:val="18"/>
              </w:rPr>
              <w:t xml:space="preserve">Background jobs / scheduling</w:t>
            </w:r>
          </w:p>
        </w:tc>
        <w:tc>
          <w:tcPr>
            <w:tcW w:type="dxa" w:w="5040"/>
            <w:tcMar>
              <w:top w:type="dxa" w:w="60"/>
              <w:left w:type="dxa" w:w="100"/>
              <w:bottom w:type="dxa" w:w="60"/>
              <w:right w:type="dxa" w:w="100"/>
            </w:tcMar>
            <w:vAlign w:val="center"/>
          </w:tcPr>
          <w:p>
            <w:r>
              <w:rPr>
                <w:sz w:val="18"/>
                <w:szCs w:val="18"/>
              </w:rPr>
              <w:t xml:space="preserve">Laravel Queue (Redis) + Laravel Task Scheduler</w:t>
            </w:r>
          </w:p>
        </w:tc>
      </w:tr>
      <w:tr>
        <w:trPr>
          <w:tblHeader w:val="false"/>
        </w:trPr>
        <w:tc>
          <w:tcPr>
            <w:tcW w:type="dxa" w:w="5040"/>
            <w:tcMar>
              <w:top w:type="dxa" w:w="60"/>
              <w:left w:type="dxa" w:w="100"/>
              <w:bottom w:type="dxa" w:w="60"/>
              <w:right w:type="dxa" w:w="100"/>
            </w:tcMar>
            <w:vAlign w:val="center"/>
          </w:tcPr>
          <w:p>
            <w:r>
              <w:rPr>
                <w:sz w:val="18"/>
                <w:szCs w:val="18"/>
              </w:rPr>
              <w:t xml:space="preserve">Real-time (in-app)</w:t>
            </w:r>
          </w:p>
        </w:tc>
        <w:tc>
          <w:tcPr>
            <w:tcW w:type="dxa" w:w="5040"/>
            <w:tcMar>
              <w:top w:type="dxa" w:w="60"/>
              <w:left w:type="dxa" w:w="100"/>
              <w:bottom w:type="dxa" w:w="60"/>
              <w:right w:type="dxa" w:w="100"/>
            </w:tcMar>
            <w:vAlign w:val="center"/>
          </w:tcPr>
          <w:p>
            <w:r>
              <w:rPr>
                <w:sz w:val="18"/>
                <w:szCs w:val="18"/>
              </w:rPr>
              <w:t xml:space="preserve">Laravel Reverb + Laravel Echo (or a hosted Pusher-compatible service)</w:t>
            </w:r>
          </w:p>
        </w:tc>
      </w:tr>
      <w:tr>
        <w:trPr>
          <w:tblHeader w:val="false"/>
        </w:trPr>
        <w:tc>
          <w:tcPr>
            <w:tcW w:type="dxa" w:w="5040"/>
            <w:tcMar>
              <w:top w:type="dxa" w:w="60"/>
              <w:left w:type="dxa" w:w="100"/>
              <w:bottom w:type="dxa" w:w="60"/>
              <w:right w:type="dxa" w:w="100"/>
            </w:tcMar>
            <w:vAlign w:val="center"/>
          </w:tcPr>
          <w:p>
            <w:r>
              <w:rPr>
                <w:sz w:val="18"/>
                <w:szCs w:val="18"/>
              </w:rPr>
              <w:t xml:space="preserve">Push (browser, no install required)</w:t>
            </w:r>
          </w:p>
        </w:tc>
        <w:tc>
          <w:tcPr>
            <w:tcW w:type="dxa" w:w="5040"/>
            <w:tcMar>
              <w:top w:type="dxa" w:w="60"/>
              <w:left w:type="dxa" w:w="100"/>
              <w:bottom w:type="dxa" w:w="60"/>
              <w:right w:type="dxa" w:w="100"/>
            </w:tcMar>
            <w:vAlign w:val="center"/>
          </w:tcPr>
          <w:p>
            <w:r>
              <w:rPr>
                <w:sz w:val="18"/>
                <w:szCs w:val="18"/>
              </w:rPr>
              <w:t xml:space="preserve">Web Push (VAPID) via Laravel Notifications' `webpush` channel — desktop &amp; Android Chrome-family browsers; not available on iOS Safari without installability, which is out of scope</w:t>
            </w:r>
          </w:p>
        </w:tc>
      </w:tr>
      <w:tr>
        <w:trPr>
          <w:tblHeader w:val="false"/>
        </w:trPr>
        <w:tc>
          <w:tcPr>
            <w:tcW w:type="dxa" w:w="5040"/>
            <w:tcMar>
              <w:top w:type="dxa" w:w="60"/>
              <w:left w:type="dxa" w:w="100"/>
              <w:bottom w:type="dxa" w:w="60"/>
              <w:right w:type="dxa" w:w="100"/>
            </w:tcMar>
            <w:vAlign w:val="center"/>
          </w:tcPr>
          <w:p>
            <w:r>
              <w:rPr>
                <w:sz w:val="18"/>
                <w:szCs w:val="18"/>
              </w:rPr>
              <w:t xml:space="preserve">Cache / sessions</w:t>
            </w:r>
          </w:p>
        </w:tc>
        <w:tc>
          <w:tcPr>
            <w:tcW w:type="dxa" w:w="5040"/>
            <w:tcMar>
              <w:top w:type="dxa" w:w="60"/>
              <w:left w:type="dxa" w:w="100"/>
              <w:bottom w:type="dxa" w:w="60"/>
              <w:right w:type="dxa" w:w="100"/>
            </w:tcMar>
            <w:vAlign w:val="center"/>
          </w:tcPr>
          <w:p>
            <w:r>
              <w:rPr>
                <w:sz w:val="18"/>
                <w:szCs w:val="18"/>
              </w:rPr>
              <w:t xml:space="preserve">Redis</w:t>
            </w:r>
          </w:p>
        </w:tc>
      </w:tr>
      <w:tr>
        <w:trPr>
          <w:tblHeader w:val="false"/>
        </w:trPr>
        <w:tc>
          <w:tcPr>
            <w:tcW w:type="dxa" w:w="5040"/>
            <w:tcMar>
              <w:top w:type="dxa" w:w="60"/>
              <w:left w:type="dxa" w:w="100"/>
              <w:bottom w:type="dxa" w:w="60"/>
              <w:right w:type="dxa" w:w="100"/>
            </w:tcMar>
            <w:vAlign w:val="center"/>
          </w:tcPr>
          <w:p>
            <w:r>
              <w:rPr>
                <w:sz w:val="18"/>
                <w:szCs w:val="18"/>
              </w:rPr>
              <w:t xml:space="preserve">Email</w:t>
            </w:r>
          </w:p>
        </w:tc>
        <w:tc>
          <w:tcPr>
            <w:tcW w:type="dxa" w:w="5040"/>
            <w:tcMar>
              <w:top w:type="dxa" w:w="60"/>
              <w:left w:type="dxa" w:w="100"/>
              <w:bottom w:type="dxa" w:w="60"/>
              <w:right w:type="dxa" w:w="100"/>
            </w:tcMar>
            <w:vAlign w:val="center"/>
          </w:tcPr>
          <w:p>
            <w:r>
              <w:rPr>
                <w:sz w:val="18"/>
                <w:szCs w:val="18"/>
              </w:rPr>
              <w:t xml:space="preserve">Laravel Mail + Notifications, transactional API driver (SES/Postmark/Mailgun) + configurable SMTP</w:t>
            </w:r>
          </w:p>
        </w:tc>
      </w:tr>
      <w:tr>
        <w:trPr>
          <w:tblHeader w:val="false"/>
        </w:trPr>
        <w:tc>
          <w:tcPr>
            <w:tcW w:type="dxa" w:w="5040"/>
            <w:tcMar>
              <w:top w:type="dxa" w:w="60"/>
              <w:left w:type="dxa" w:w="100"/>
              <w:bottom w:type="dxa" w:w="60"/>
              <w:right w:type="dxa" w:w="100"/>
            </w:tcMar>
            <w:vAlign w:val="center"/>
          </w:tcPr>
          <w:p>
            <w:r>
              <w:rPr>
                <w:sz w:val="18"/>
                <w:szCs w:val="18"/>
              </w:rPr>
              <w:t xml:space="preserve">Infrastructure</w:t>
            </w:r>
          </w:p>
        </w:tc>
        <w:tc>
          <w:tcPr>
            <w:tcW w:type="dxa" w:w="5040"/>
            <w:tcMar>
              <w:top w:type="dxa" w:w="60"/>
              <w:left w:type="dxa" w:w="100"/>
              <w:bottom w:type="dxa" w:w="60"/>
              <w:right w:type="dxa" w:w="100"/>
            </w:tcMar>
            <w:vAlign w:val="center"/>
          </w:tcPr>
          <w:p>
            <w:r>
              <w:rPr>
                <w:sz w:val="18"/>
                <w:szCs w:val="18"/>
              </w:rPr>
              <w:t xml:space="preserve">Nginx + PHP-FPM (or Laravel Octane), Laravel Forge or equivalent, Laravel Sail for local dev, GitHub Actions</w:t>
            </w:r>
          </w:p>
        </w:tc>
      </w:tr>
      <w:tr>
        <w:trPr>
          <w:tblHeader w:val="false"/>
        </w:trPr>
        <w:tc>
          <w:tcPr>
            <w:tcW w:type="dxa" w:w="5040"/>
            <w:tcMar>
              <w:top w:type="dxa" w:w="60"/>
              <w:left w:type="dxa" w:w="100"/>
              <w:bottom w:type="dxa" w:w="60"/>
              <w:right w:type="dxa" w:w="100"/>
            </w:tcMar>
            <w:vAlign w:val="center"/>
          </w:tcPr>
          <w:p>
            <w:r>
              <w:rPr>
                <w:sz w:val="18"/>
                <w:szCs w:val="18"/>
              </w:rPr>
              <w:t xml:space="preserve">Observability</w:t>
            </w:r>
          </w:p>
        </w:tc>
        <w:tc>
          <w:tcPr>
            <w:tcW w:type="dxa" w:w="5040"/>
            <w:tcMar>
              <w:top w:type="dxa" w:w="60"/>
              <w:left w:type="dxa" w:w="100"/>
              <w:bottom w:type="dxa" w:w="60"/>
              <w:right w:type="dxa" w:w="100"/>
            </w:tcMar>
            <w:vAlign w:val="center"/>
          </w:tcPr>
          <w:p>
            <w:r>
              <w:rPr>
                <w:sz w:val="18"/>
                <w:szCs w:val="18"/>
              </w:rPr>
              <w:t xml:space="preserve">Sentry, Laravel Pulse (production), Laravel Telescope (local/staging)</w:t>
            </w:r>
          </w:p>
        </w:tc>
      </w:tr>
      <w:tr>
        <w:trPr>
          <w:tblHeader w:val="false"/>
        </w:trPr>
        <w:tc>
          <w:tcPr>
            <w:tcW w:type="dxa" w:w="5040"/>
            <w:tcMar>
              <w:top w:type="dxa" w:w="60"/>
              <w:left w:type="dxa" w:w="100"/>
              <w:bottom w:type="dxa" w:w="60"/>
              <w:right w:type="dxa" w:w="100"/>
            </w:tcMar>
            <w:vAlign w:val="center"/>
          </w:tcPr>
          <w:p>
            <w:r>
              <w:rPr>
                <w:sz w:val="18"/>
                <w:szCs w:val="18"/>
              </w:rPr>
              <w:t xml:space="preserve">Search</w:t>
            </w:r>
          </w:p>
        </w:tc>
        <w:tc>
          <w:tcPr>
            <w:tcW w:type="dxa" w:w="5040"/>
            <w:tcMar>
              <w:top w:type="dxa" w:w="60"/>
              <w:left w:type="dxa" w:w="100"/>
              <w:bottom w:type="dxa" w:w="60"/>
              <w:right w:type="dxa" w:w="100"/>
            </w:tcMar>
            <w:vAlign w:val="center"/>
          </w:tcPr>
          <w:p>
            <w:r>
              <w:rPr>
                <w:sz w:val="18"/>
                <w:szCs w:val="18"/>
              </w:rPr>
              <w:t xml:space="preserve">Laravel Scout, database driver initially (Meilisearch upgrade path only if needed)</w:t>
            </w:r>
          </w:p>
        </w:tc>
      </w:tr>
      <w:tr>
        <w:trPr>
          <w:tblHeader w:val="false"/>
        </w:trPr>
        <w:tc>
          <w:tcPr>
            <w:tcW w:type="dxa" w:w="5040"/>
            <w:tcMar>
              <w:top w:type="dxa" w:w="60"/>
              <w:left w:type="dxa" w:w="100"/>
              <w:bottom w:type="dxa" w:w="60"/>
              <w:right w:type="dxa" w:w="100"/>
            </w:tcMar>
            <w:vAlign w:val="center"/>
          </w:tcPr>
          <w:p>
            <w:r>
              <w:rPr>
                <w:sz w:val="18"/>
                <w:szCs w:val="18"/>
              </w:rPr>
              <w:t xml:space="preserve">Testing</w:t>
            </w:r>
          </w:p>
        </w:tc>
        <w:tc>
          <w:tcPr>
            <w:tcW w:type="dxa" w:w="5040"/>
            <w:tcMar>
              <w:top w:type="dxa" w:w="60"/>
              <w:left w:type="dxa" w:w="100"/>
              <w:bottom w:type="dxa" w:w="60"/>
              <w:right w:type="dxa" w:w="100"/>
            </w:tcMar>
            <w:vAlign w:val="center"/>
          </w:tcPr>
          <w:p>
            <w:r>
              <w:rPr>
                <w:sz w:val="18"/>
                <w:szCs w:val="18"/>
              </w:rPr>
              <w:t xml:space="preserve">Pest or PHPUnit, Laravel's native testing scaffolding</w:t>
            </w:r>
          </w:p>
        </w:tc>
      </w:tr>
    </w:tbl>
    <w:p>
      <w:pPr>
        <w:spacing w:after="120"/>
      </w:pPr>
    </w:p>
    <w:p>
      <w:r>
        <w:br w:type="page"/>
      </w:r>
    </w:p>
    <w:p>
      <w:pPr>
        <w:pStyle w:val="Heading1"/>
        <w:spacing w:after="160" w:before="280"/>
      </w:pPr>
      <w:r>
        <w:t xml:space="preserve">4. Functional Module Specifications</w:t>
      </w:r>
    </w:p>
    <w:p>
      <w:pPr>
        <w:pStyle w:val="Heading2"/>
        <w:spacing w:after="160" w:before="280"/>
      </w:pPr>
      <w:r>
        <w:t xml:space="preserve">Domain A — Platform &amp; Identity Services</w:t>
      </w:r>
    </w:p>
    <w:p>
      <w:pPr>
        <w:pStyle w:val="Heading3"/>
        <w:spacing w:after="160" w:before="280"/>
      </w:pPr>
      <w:r>
        <w:t xml:space="preserve">A1. Authentication &amp; Session Management</w:t>
      </w:r>
    </w:p>
    <w:p>
      <w:pPr>
        <w:spacing w:after="160"/>
        <w:jc w:val="both"/>
      </w:pPr>
      <w:r>
        <w:rPr>
          <w:b/>
          <w:bCs/>
        </w:rPr>
        <w:t xml:space="preserve">Overview.</w:t>
      </w:r>
      <w:r>
        <w:t xml:space="preserve"> Local username/password authentication with a configurable password policy, forced password-strength remediation, self-service password reset, a unified login audit trail across all authentication methods (local, LDAP, OIDC), and — new in this iteration, per SI's requirement — basic two-factor authentication (2FA) with a trusted-device skip. </w:t>
      </w:r>
      <w:r>
        <w:rPr>
          <w:b/>
          <w:bCs/>
        </w:rPr>
        <w:t xml:space="preserve">Authenticator apps are not compulsory:</w:t>
      </w:r>
      <w:r>
        <w:t xml:space="preserve"> each user chooses between an authenticator-app (TOTP) and an emailed one-time code as their second factor, per SI's explicit direction.</w:t>
      </w:r>
    </w:p>
    <w:p>
      <w:pPr>
        <w:spacing w:after="160"/>
        <w:jc w:val="both"/>
      </w:pPr>
      <w:r>
        <w:rPr>
          <w:b/>
          <w:bCs/>
        </w:rPr>
        <w:t xml:space="preserve">Key data:</w:t>
      </w:r>
      <w:r>
        <w:t xml:space="preserve"> User credentials (hashed, never stored/transmitted in plaintext); password-reset requests (single-use, time-limited codes); password-enforcement requests (triggered when a login's password fails the current policy); a login audit log (user, role, timestamp, 2FA outcome, 2FA method used) recording every successful login regardless of method; a per-user 2FA enrollment record (chosen method — TOTP or Email OTP — and, for TOTP, the encrypted secret); a set of one-time backup codes per TOTP-enrolled user (hashed, single-use); Email OTP requests (single-use, short-lived codes, the same emailed-code pattern as password reset); a Trusted Devices table (user, device fingerprint/token, label, first-trusted date, expiry date, last-used date, IP/user-agent at trust time).</w:t>
      </w:r>
    </w:p>
    <w:p>
      <w:pPr>
        <w:spacing w:after="160"/>
        <w:jc w:val="both"/>
      </w:pPr>
      <w:r>
        <w:rPr>
          <w:b/>
          <w:bCs/>
        </w:rPr>
        <w:t xml:space="preserve">Key features:</w:t>
      </w:r>
    </w:p>
    <w:p>
      <w:pPr>
        <w:pStyle w:val="ListParagraph"/>
        <w:numPr>
          <w:ilvl w:val="0"/>
          <w:numId w:val="1"/>
        </w:numPr>
        <w:spacing w:after="60"/>
      </w:pPr>
      <w:r>
        <w:t xml:space="preserve">Configurable password policy: min/max length, required character classes (upper/lower/number/special), whether spaces are allowed, and a minimum required strength tier evaluated against computed entropy.</w:t>
      </w:r>
    </w:p>
    <w:p>
      <w:pPr>
        <w:pStyle w:val="ListParagraph"/>
        <w:numPr>
          <w:ilvl w:val="0"/>
          <w:numId w:val="1"/>
        </w:numPr>
        <w:spacing w:after="60"/>
      </w:pPr>
      <w:r>
        <w:t xml:space="preserve">"Enforce on login": a policy tightened after an account was created must be satisfied at next login, or the session is invalidated and the user is routed through a forced password-change flow before continuing.</w:t>
      </w:r>
    </w:p>
    <w:p>
      <w:pPr>
        <w:pStyle w:val="ListParagraph"/>
        <w:numPr>
          <w:ilvl w:val="0"/>
          <w:numId w:val="1"/>
        </w:numPr>
        <w:spacing w:after="60"/>
      </w:pPr>
      <w:r>
        <w:t xml:space="preserve">Self-service password reset via emailed, single-use, time-expiring reset codes; blocked for terminated employees or accounts without a usable email address.</w:t>
      </w:r>
    </w:p>
    <w:p>
      <w:pPr>
        <w:pStyle w:val="ListParagraph"/>
        <w:numPr>
          <w:ilvl w:val="0"/>
          <w:numId w:val="1"/>
        </w:numPr>
        <w:spacing w:after="60"/>
      </w:pPr>
      <w:r>
        <w:t xml:space="preserve">Re-authentication step for sensitive administrative actions.</w:t>
      </w:r>
    </w:p>
    <w:p>
      <w:pPr>
        <w:pStyle w:val="ListParagraph"/>
        <w:numPr>
          <w:ilvl w:val="0"/>
          <w:numId w:val="1"/>
        </w:numPr>
        <w:spacing w:after="60"/>
      </w:pPr>
      <w:r>
        <w:t xml:space="preserve">CSRF protection on all state-changing requests.</w:t>
      </w:r>
    </w:p>
    <w:p>
      <w:pPr>
        <w:spacing w:after="160"/>
        <w:jc w:val="both"/>
      </w:pPr>
      <w:r>
        <w:rPr>
          <w:b/>
          <w:bCs/>
        </w:rPr>
        <w:t xml:space="preserve">Two-Factor Authentication (2FA).</w:t>
      </w:r>
    </w:p>
    <w:p>
      <w:pPr>
        <w:pStyle w:val="ListParagraph"/>
        <w:numPr>
          <w:ilvl w:val="0"/>
          <w:numId w:val="1"/>
        </w:numPr>
        <w:spacing w:after="60"/>
      </w:pPr>
      <w:r>
        <w:rPr>
          <w:b/>
          <w:bCs/>
        </w:rPr>
        <w:t xml:space="preserve">Two selectable second-factor methods, per SI's requirement that an authenticator app not be compulsory</w:t>
      </w:r>
      <w:r>
        <w:t xml:space="preserve"> — the user picks one at enrollment and can switch later from their account security settings; a user is never forced into TOTP:</w:t>
      </w:r>
    </w:p>
    <w:p>
      <w:pPr>
        <w:pStyle w:val="ListParagraph"/>
        <w:numPr>
          <w:ilvl w:val="0"/>
          <w:numId w:val="1"/>
        </w:numPr>
        <w:spacing w:after="60"/>
      </w:pPr>
      <w:r>
        <w:rPr>
          <w:b/>
          <w:bCs/>
        </w:rPr>
        <w:t xml:space="preserve">Method 1 — TOTP</w:t>
      </w:r>
      <w:r>
        <w:t xml:space="preserve"> (RFC 6238, the same algorithm used by Google Authenticator/Authy/1Password): at enrollment the user scans a QR code (or enters a secret manually) to link an authenticator app; login then requires a 6-digit, time-based code after a correct password. 10 single-use backup codes are generated at enrollment (downloadable/printable once), for recovery if the user loses their authenticator device; each is consumed on use and the user is prompted to regenerate the set once fewer than 3 remain.</w:t>
      </w:r>
    </w:p>
    <w:p>
      <w:pPr>
        <w:pStyle w:val="ListParagraph"/>
        <w:numPr>
          <w:ilvl w:val="0"/>
          <w:numId w:val="1"/>
        </w:numPr>
        <w:spacing w:after="60"/>
      </w:pPr>
      <w:r>
        <w:rPr>
          <w:b/>
          <w:bCs/>
        </w:rPr>
        <w:t xml:space="preserve">Method 2 — Email OTP:</w:t>
      </w:r>
      <w:r>
        <w:t xml:space="preserve"> a 6-digit, single-use code emailed to the user's registered address at each login requiring 2FA, valid for a short window (e.g., 10 minutes) and rate-limited on resend to prevent inbox flooding; no separate enrollment step beyond having a verified email address, and no backup codes needed since email is itself the recovery channel — an Admin-assisted reset is the fallback if the user loses access to that inbox.</w:t>
      </w:r>
    </w:p>
    <w:p>
      <w:pPr>
        <w:pStyle w:val="ListParagraph"/>
        <w:numPr>
          <w:ilvl w:val="0"/>
          <w:numId w:val="1"/>
        </w:numPr>
        <w:spacing w:after="60"/>
      </w:pPr>
      <w:r>
        <w:rPr>
          <w:b/>
          <w:bCs/>
        </w:rPr>
        <w:t xml:space="preserve">Trusted devices ("skip 2FA for known devices"):</w:t>
      </w:r>
      <w:r>
        <w:t xml:space="preserve"> on a successful 2FA verification (by either method), the user may check "Trust this device for 30 days" (duration configurable by the Admin, Section A5). This issues a signed, httpOnly device token scoped to that browser/device; on subsequent logins from a device presenting a valid, unexpired token, the second-factor step is skipped entirely and the user is signed in after password verification alone. The device token is independent of the session cookie/OAuth2 tokens and is revocable on its own.</w:t>
      </w:r>
    </w:p>
    <w:p>
      <w:pPr>
        <w:pStyle w:val="ListParagraph"/>
        <w:numPr>
          <w:ilvl w:val="0"/>
          <w:numId w:val="1"/>
        </w:numPr>
        <w:spacing w:after="60"/>
      </w:pPr>
      <w:r>
        <w:rPr>
          <w:b/>
          <w:bCs/>
        </w:rPr>
        <w:t xml:space="preserve">Self-service device management:</w:t>
      </w:r>
      <w:r>
        <w:t xml:space="preserve"> each user has a "Manage Trusted Devices" screen listing every trusted device (label, browser/OS guess, first-trusted date, expiry, last-used date, approximate location from IP) with a per-device "Revoke" action; revoking forces that device back through full 2FA on its next login. A user can also revoke all trusted devices at once (e.g., after a lost laptop).</w:t>
      </w:r>
    </w:p>
    <w:p>
      <w:pPr>
        <w:pStyle w:val="ListParagraph"/>
        <w:numPr>
          <w:ilvl w:val="0"/>
          <w:numId w:val="1"/>
        </w:numPr>
        <w:spacing w:after="60"/>
      </w:pPr>
      <w:r>
        <w:rPr>
          <w:b/>
          <w:bCs/>
        </w:rPr>
        <w:t xml:space="preserve">Admin policy control:</w:t>
      </w:r>
      <w:r>
        <w:t xml:space="preserve"> the Admin role (Section A2) can, org-wide or per-role, require 2FA enrollment (block login until enrolled), restrict which method(s) are permitted (e.g., allow both, or require TOTP specifically for elevated roles such as Admin/HR Admin while leaving Email OTP available to ESS), disable the trusted-device skip entirely for the whole organization or for specific roles, and set the trusted-device expiry window.</w:t>
      </w:r>
    </w:p>
    <w:p>
      <w:pPr>
        <w:pStyle w:val="ListParagraph"/>
        <w:numPr>
          <w:ilvl w:val="0"/>
          <w:numId w:val="1"/>
        </w:numPr>
        <w:spacing w:after="60"/>
      </w:pPr>
      <w:r>
        <w:t xml:space="preserve">If a device token expires, is revoked, or the device is unrecognized, the user is required to complete their chosen second factor again — trust is opt-in per device, never assumed.</w:t>
      </w:r>
    </w:p>
    <w:p>
      <w:pPr>
        <w:pStyle w:val="ListParagraph"/>
        <w:numPr>
          <w:ilvl w:val="0"/>
          <w:numId w:val="1"/>
        </w:numPr>
        <w:spacing w:after="60"/>
      </w:pPr>
      <w:r>
        <w:t xml:space="preserve">All 2FA lifecycle events (enrollment, method changed, disenrollment, backup-code regeneration, device trusted, device revoked, 2FA required by policy change) are written to the login/security audit log, including which method was used at each login.</w:t>
      </w:r>
    </w:p>
    <w:p>
      <w:pPr>
        <w:spacing w:after="160"/>
        <w:jc w:val="both"/>
      </w:pPr>
      <w:r>
        <w:rPr>
          <w:b/>
          <w:bCs/>
        </w:rPr>
        <w:t xml:space="preserve">Architecture note:</w:t>
      </w:r>
      <w:r>
        <w:t xml:space="preserve"> implement authentication as a priority-ordered provider chain (local is the default/highest priority; LDAP and OIDC are additional providers) so new authentication methods can be added without modifying the core login flow. 2FA sits as a policy-driven step after primary authentication succeeds, independent of which provider authenticated the user and independent of which second-factor method the user chose, so LDAP/OIDC-authenticated users can be subject to the same trusted-device/2FA step as local users.</w:t>
      </w:r>
    </w:p>
    <w:p>
      <w:pPr>
        <w:pStyle w:val="Heading3"/>
        <w:spacing w:after="160" w:before="280"/>
      </w:pPr>
      <w:r>
        <w:t xml:space="preserve">A2. Role-Based Access Control (Users, Roles, Permissions)</w:t>
      </w:r>
    </w:p>
    <w:p>
      <w:pPr>
        <w:spacing w:after="160"/>
        <w:jc w:val="both"/>
      </w:pPr>
      <w:r>
        <w:rPr>
          <w:b/>
          <w:bCs/>
        </w:rPr>
        <w:t xml:space="preserve">Overview.</w:t>
      </w:r>
      <w:r>
        <w:t xml:space="preserve"> System-user account management and the three-tier permission model described in Section 3.2, seeded with SI's requested role catalog and extended with a role-builder so new roles can be created without a code change.</w:t>
      </w:r>
    </w:p>
    <w:p>
      <w:pPr>
        <w:spacing w:after="160"/>
        <w:jc w:val="both"/>
      </w:pPr>
      <w:r>
        <w:rPr>
          <w:b/>
          <w:bCs/>
        </w:rPr>
        <w:t xml:space="preserve">Key data:</w:t>
      </w:r>
      <w:r>
        <w:t xml:space="preserve"> User accounts (optionally linked to an employee record — a user need not have an employee record, and an employee need not have a user account); Roles (system-predefined and custom, each with an `isSystemRole` flag); Screens (page-level resources) with per-role CRUD grants; Data Groups (logical data resources, e.g. "Compensation," "Personal Details," "Leave Requests") with per-role CRUD grants including a "self only" scope flag; API-to-data-group mappings; a Role Permission Matrix join table (role × screen/data-group × permission level) that is the actual runtime source of truth read by the guard/interceptor layer (Section 3.5).</w:t>
      </w:r>
    </w:p>
    <w:p>
      <w:pPr>
        <w:spacing w:after="160"/>
        <w:jc w:val="both"/>
      </w:pPr>
      <w:r>
        <w:rPr>
          <w:b/>
          <w:bCs/>
        </w:rPr>
        <w:t xml:space="preserve">Predefined role catalog (system roles, seeded at setup, not deletable):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016"/>
        <w:gridCol w:w="2016"/>
        <w:gridCol w:w="2016"/>
        <w:gridCol w:w="2016"/>
        <w:gridCol w:w="2016"/>
      </w:tblGrid>
      <w:tr>
        <w:trPr>
          <w:tblHeader/>
        </w:trPr>
        <w:tc>
          <w:tcPr>
            <w:tcW w:type="dxa" w:w="2016"/>
            <w:shd w:fill="1F3864" w:val="clear"/>
            <w:tcMar>
              <w:top w:type="dxa" w:w="60"/>
              <w:left w:type="dxa" w:w="100"/>
              <w:bottom w:type="dxa" w:w="60"/>
              <w:right w:type="dxa" w:w="100"/>
            </w:tcMar>
            <w:vAlign w:val="center"/>
          </w:tcPr>
          <w:p>
            <w:r>
              <w:rPr>
                <w:b/>
                <w:bCs/>
                <w:color w:val="FFFFFF"/>
                <w:sz w:val="18"/>
                <w:szCs w:val="18"/>
              </w:rPr>
              <w:t xml:space="preserve">Role</w:t>
            </w:r>
          </w:p>
        </w:tc>
        <w:tc>
          <w:tcPr>
            <w:tcW w:type="dxa" w:w="2016"/>
            <w:shd w:fill="1F3864" w:val="clear"/>
            <w:tcMar>
              <w:top w:type="dxa" w:w="60"/>
              <w:left w:type="dxa" w:w="100"/>
              <w:bottom w:type="dxa" w:w="60"/>
              <w:right w:type="dxa" w:w="100"/>
            </w:tcMar>
            <w:vAlign w:val="center"/>
          </w:tcPr>
          <w:p>
            <w:r>
              <w:rPr>
                <w:b/>
                <w:bCs/>
                <w:color w:val="FFFFFF"/>
                <w:sz w:val="18"/>
                <w:szCs w:val="18"/>
              </w:rPr>
              <w:t xml:space="preserve">Platform administration</w:t>
            </w:r>
          </w:p>
        </w:tc>
        <w:tc>
          <w:tcPr>
            <w:tcW w:type="dxa" w:w="2016"/>
            <w:shd w:fill="1F3864" w:val="clear"/>
            <w:tcMar>
              <w:top w:type="dxa" w:w="60"/>
              <w:left w:type="dxa" w:w="100"/>
              <w:bottom w:type="dxa" w:w="60"/>
              <w:right w:type="dxa" w:w="100"/>
            </w:tcMar>
            <w:vAlign w:val="center"/>
          </w:tcPr>
          <w:p>
            <w:r>
              <w:rPr>
                <w:b/>
                <w:bCs/>
                <w:color w:val="FFFFFF"/>
                <w:sz w:val="18"/>
                <w:szCs w:val="18"/>
              </w:rPr>
              <w:t xml:space="preserve">Employee data access</w:t>
            </w:r>
          </w:p>
        </w:tc>
        <w:tc>
          <w:tcPr>
            <w:tcW w:type="dxa" w:w="2016"/>
            <w:shd w:fill="1F3864" w:val="clear"/>
            <w:tcMar>
              <w:top w:type="dxa" w:w="60"/>
              <w:left w:type="dxa" w:w="100"/>
              <w:bottom w:type="dxa" w:w="60"/>
              <w:right w:type="dxa" w:w="100"/>
            </w:tcMar>
            <w:vAlign w:val="center"/>
          </w:tcPr>
          <w:p>
            <w:r>
              <w:rPr>
                <w:b/>
                <w:bCs/>
                <w:color w:val="FFFFFF"/>
                <w:sz w:val="18"/>
                <w:szCs w:val="18"/>
              </w:rPr>
              <w:t xml:space="preserve">Sensitive data (compensation, salary, bank details)</w:t>
            </w:r>
          </w:p>
        </w:tc>
        <w:tc>
          <w:tcPr>
            <w:tcW w:type="dxa" w:w="2016"/>
            <w:shd w:fill="1F3864" w:val="clear"/>
            <w:tcMar>
              <w:top w:type="dxa" w:w="60"/>
              <w:left w:type="dxa" w:w="100"/>
              <w:bottom w:type="dxa" w:w="60"/>
              <w:right w:type="dxa" w:w="100"/>
            </w:tcMar>
            <w:vAlign w:val="center"/>
          </w:tcPr>
          <w:p>
            <w:r>
              <w:rPr>
                <w:b/>
                <w:bCs/>
                <w:color w:val="FFFFFF"/>
                <w:sz w:val="18"/>
                <w:szCs w:val="18"/>
              </w:rPr>
              <w:t xml:space="preserve">Notes</w:t>
            </w:r>
          </w:p>
        </w:tc>
      </w:tr>
      <w:tr>
        <w:trPr>
          <w:tblHeader w:val="false"/>
        </w:trPr>
        <w:tc>
          <w:tcPr>
            <w:tcW w:type="dxa" w:w="2016"/>
            <w:tcMar>
              <w:top w:type="dxa" w:w="60"/>
              <w:left w:type="dxa" w:w="100"/>
              <w:bottom w:type="dxa" w:w="60"/>
              <w:right w:type="dxa" w:w="100"/>
            </w:tcMar>
            <w:vAlign w:val="center"/>
          </w:tcPr>
          <w:p>
            <w:r>
              <w:rPr>
                <w:b/>
                <w:bCs/>
                <w:sz w:val="18"/>
                <w:szCs w:val="18"/>
              </w:rPr>
              <w:t xml:space="preserve">Admin</w:t>
            </w:r>
          </w:p>
        </w:tc>
        <w:tc>
          <w:tcPr>
            <w:tcW w:type="dxa" w:w="2016"/>
            <w:tcMar>
              <w:top w:type="dxa" w:w="60"/>
              <w:left w:type="dxa" w:w="100"/>
              <w:bottom w:type="dxa" w:w="60"/>
              <w:right w:type="dxa" w:w="100"/>
            </w:tcMar>
            <w:vAlign w:val="center"/>
          </w:tcPr>
          <w:p>
            <w:r>
              <w:rPr>
                <w:sz w:val="18"/>
                <w:szCs w:val="18"/>
              </w:rPr>
              <w:t xml:space="preserve">Full — users, roles, system config, integrations, audit log</w:t>
            </w:r>
          </w:p>
        </w:tc>
        <w:tc>
          <w:tcPr>
            <w:tcW w:type="dxa" w:w="2016"/>
            <w:tcMar>
              <w:top w:type="dxa" w:w="60"/>
              <w:left w:type="dxa" w:w="100"/>
              <w:bottom w:type="dxa" w:w="60"/>
              <w:right w:type="dxa" w:w="100"/>
            </w:tcMar>
            <w:vAlign w:val="center"/>
          </w:tcPr>
          <w:p>
            <w:r>
              <w:rPr>
                <w:sz w:val="18"/>
                <w:szCs w:val="18"/>
              </w:rPr>
              <w:t xml:space="preserve">Full</w:t>
            </w:r>
          </w:p>
        </w:tc>
        <w:tc>
          <w:tcPr>
            <w:tcW w:type="dxa" w:w="2016"/>
            <w:tcMar>
              <w:top w:type="dxa" w:w="60"/>
              <w:left w:type="dxa" w:w="100"/>
              <w:bottom w:type="dxa" w:w="60"/>
              <w:right w:type="dxa" w:w="100"/>
            </w:tcMar>
            <w:vAlign w:val="center"/>
          </w:tcPr>
          <w:p>
            <w:r>
              <w:rPr>
                <w:sz w:val="18"/>
                <w:szCs w:val="18"/>
              </w:rPr>
              <w:t xml:space="preserve">Full</w:t>
            </w:r>
          </w:p>
        </w:tc>
        <w:tc>
          <w:tcPr>
            <w:tcW w:type="dxa" w:w="2016"/>
            <w:tcMar>
              <w:top w:type="dxa" w:w="60"/>
              <w:left w:type="dxa" w:w="100"/>
              <w:bottom w:type="dxa" w:w="60"/>
              <w:right w:type="dxa" w:w="100"/>
            </w:tcMar>
            <w:vAlign w:val="center"/>
          </w:tcPr>
          <w:p>
            <w:r>
              <w:rPr>
                <w:sz w:val="18"/>
                <w:szCs w:val="18"/>
              </w:rPr>
              <w:t xml:space="preserve">Overall platform administrative rights, per SI's requirement.</w:t>
            </w:r>
          </w:p>
        </w:tc>
      </w:tr>
      <w:tr>
        <w:trPr>
          <w:tblHeader w:val="false"/>
        </w:trPr>
        <w:tc>
          <w:tcPr>
            <w:tcW w:type="dxa" w:w="2016"/>
            <w:tcMar>
              <w:top w:type="dxa" w:w="60"/>
              <w:left w:type="dxa" w:w="100"/>
              <w:bottom w:type="dxa" w:w="60"/>
              <w:right w:type="dxa" w:w="100"/>
            </w:tcMar>
            <w:vAlign w:val="center"/>
          </w:tcPr>
          <w:p>
            <w:r>
              <w:rPr>
                <w:b/>
                <w:bCs/>
                <w:sz w:val="18"/>
                <w:szCs w:val="18"/>
              </w:rPr>
              <w:t xml:space="preserve">HR Admin</w:t>
            </w:r>
          </w:p>
        </w:tc>
        <w:tc>
          <w:tcPr>
            <w:tcW w:type="dxa" w:w="2016"/>
            <w:tcMar>
              <w:top w:type="dxa" w:w="60"/>
              <w:left w:type="dxa" w:w="100"/>
              <w:bottom w:type="dxa" w:w="60"/>
              <w:right w:type="dxa" w:w="100"/>
            </w:tcMar>
            <w:vAlign w:val="center"/>
          </w:tcPr>
          <w:p>
            <w:r>
              <w:rPr>
                <w:sz w:val="18"/>
                <w:szCs w:val="18"/>
              </w:rPr>
              <w:t xml:space="preserve">None</w:t>
            </w:r>
          </w:p>
        </w:tc>
        <w:tc>
          <w:tcPr>
            <w:tcW w:type="dxa" w:w="2016"/>
            <w:tcMar>
              <w:top w:type="dxa" w:w="60"/>
              <w:left w:type="dxa" w:w="100"/>
              <w:bottom w:type="dxa" w:w="60"/>
              <w:right w:type="dxa" w:w="100"/>
            </w:tcMar>
            <w:vAlign w:val="center"/>
          </w:tcPr>
          <w:p>
            <w:r>
              <w:rPr>
                <w:sz w:val="18"/>
                <w:szCs w:val="18"/>
              </w:rPr>
              <w:t xml:space="preserve">Full, across all employees</w:t>
            </w:r>
          </w:p>
        </w:tc>
        <w:tc>
          <w:tcPr>
            <w:tcW w:type="dxa" w:w="2016"/>
            <w:tcMar>
              <w:top w:type="dxa" w:w="60"/>
              <w:left w:type="dxa" w:w="100"/>
              <w:bottom w:type="dxa" w:w="60"/>
              <w:right w:type="dxa" w:w="100"/>
            </w:tcMar>
            <w:vAlign w:val="center"/>
          </w:tcPr>
          <w:p>
            <w:r>
              <w:rPr>
                <w:sz w:val="18"/>
                <w:szCs w:val="18"/>
              </w:rPr>
              <w:t xml:space="preserve">Full</w:t>
            </w:r>
          </w:p>
        </w:tc>
        <w:tc>
          <w:tcPr>
            <w:tcW w:type="dxa" w:w="2016"/>
            <w:tcMar>
              <w:top w:type="dxa" w:w="60"/>
              <w:left w:type="dxa" w:w="100"/>
              <w:bottom w:type="dxa" w:w="60"/>
              <w:right w:type="dxa" w:w="100"/>
            </w:tcMar>
            <w:vAlign w:val="center"/>
          </w:tcPr>
          <w:p>
            <w:r>
              <w:rPr>
                <w:sz w:val="18"/>
                <w:szCs w:val="18"/>
              </w:rPr>
              <w:t xml:space="preserve">"Rights to all employee data but not platform administrative rights," exactly as SI specified — cannot manage system users/roles/config, but has unrestricted HR data access.</w:t>
            </w:r>
          </w:p>
        </w:tc>
      </w:tr>
      <w:tr>
        <w:trPr>
          <w:tblHeader w:val="false"/>
        </w:trPr>
        <w:tc>
          <w:tcPr>
            <w:tcW w:type="dxa" w:w="2016"/>
            <w:tcMar>
              <w:top w:type="dxa" w:w="60"/>
              <w:left w:type="dxa" w:w="100"/>
              <w:bottom w:type="dxa" w:w="60"/>
              <w:right w:type="dxa" w:w="100"/>
            </w:tcMar>
            <w:vAlign w:val="center"/>
          </w:tcPr>
          <w:p>
            <w:r>
              <w:rPr>
                <w:b/>
                <w:bCs/>
                <w:sz w:val="18"/>
                <w:szCs w:val="18"/>
              </w:rPr>
              <w:t xml:space="preserve">HR Officer</w:t>
            </w:r>
          </w:p>
        </w:tc>
        <w:tc>
          <w:tcPr>
            <w:tcW w:type="dxa" w:w="2016"/>
            <w:tcMar>
              <w:top w:type="dxa" w:w="60"/>
              <w:left w:type="dxa" w:w="100"/>
              <w:bottom w:type="dxa" w:w="60"/>
              <w:right w:type="dxa" w:w="100"/>
            </w:tcMar>
            <w:vAlign w:val="center"/>
          </w:tcPr>
          <w:p>
            <w:r>
              <w:rPr>
                <w:sz w:val="18"/>
                <w:szCs w:val="18"/>
              </w:rPr>
              <w:t xml:space="preserve">None</w:t>
            </w:r>
          </w:p>
        </w:tc>
        <w:tc>
          <w:tcPr>
            <w:tcW w:type="dxa" w:w="2016"/>
            <w:tcMar>
              <w:top w:type="dxa" w:w="60"/>
              <w:left w:type="dxa" w:w="100"/>
              <w:bottom w:type="dxa" w:w="60"/>
              <w:right w:type="dxa" w:w="100"/>
            </w:tcMar>
            <w:vAlign w:val="center"/>
          </w:tcPr>
          <w:p>
            <w:r>
              <w:rPr>
                <w:sz w:val="18"/>
                <w:szCs w:val="18"/>
              </w:rPr>
              <w:t xml:space="preserve">Full for standard HR data (personal details, leave, attendance, onboarding tasks, document management, helpdesk) — </w:t>
            </w:r>
            <w:r>
              <w:rPr>
                <w:b/>
                <w:bCs/>
                <w:sz w:val="18"/>
                <w:szCs w:val="18"/>
              </w:rPr>
              <w:t xml:space="preserve">excludes Disciplinary Case data</w:t>
            </w:r>
            <w:r>
              <w:rPr>
                <w:sz w:val="18"/>
                <w:szCs w:val="18"/>
              </w:rPr>
              <w:t xml:space="preserve"> (Section D3), which sits alongside Compensation as HR-Admin-and-above only</w:t>
            </w:r>
          </w:p>
        </w:tc>
        <w:tc>
          <w:tcPr>
            <w:tcW w:type="dxa" w:w="2016"/>
            <w:tcMar>
              <w:top w:type="dxa" w:w="60"/>
              <w:left w:type="dxa" w:w="100"/>
              <w:bottom w:type="dxa" w:w="60"/>
              <w:right w:type="dxa" w:w="100"/>
            </w:tcMar>
            <w:vAlign w:val="center"/>
          </w:tcPr>
          <w:p>
            <w:r>
              <w:rPr>
                <w:b/>
                <w:bCs/>
                <w:sz w:val="18"/>
                <w:szCs w:val="18"/>
              </w:rPr>
              <w:t xml:space="preserve">None</w:t>
            </w:r>
            <w:r>
              <w:rPr>
                <w:sz w:val="18"/>
                <w:szCs w:val="18"/>
              </w:rPr>
              <w:t xml:space="preserve"> — Compensation/Salary, bank/payroll-adjacent data groups, and Disciplinary Case data are all excluded from this role's grants entirely (not merely masked in the UI; the API-level data-group check denies it)</w:t>
            </w:r>
          </w:p>
        </w:tc>
        <w:tc>
          <w:tcPr>
            <w:tcW w:type="dxa" w:w="2016"/>
            <w:tcMar>
              <w:top w:type="dxa" w:w="60"/>
              <w:left w:type="dxa" w:w="100"/>
              <w:bottom w:type="dxa" w:w="60"/>
              <w:right w:type="dxa" w:w="100"/>
            </w:tcMar>
            <w:vAlign w:val="center"/>
          </w:tcPr>
          <w:p>
            <w:r>
              <w:rPr>
                <w:sz w:val="18"/>
                <w:szCs w:val="18"/>
              </w:rPr>
              <w:t xml:space="preserve">"Support role to HR Admin... no access to sensitive employee data e.g. compensation/salary details," per SI's requirement; Disciplinary Case access was set to the same tier per SI's confirmation.</w:t>
            </w:r>
          </w:p>
        </w:tc>
      </w:tr>
      <w:tr>
        <w:trPr>
          <w:tblHeader w:val="false"/>
        </w:trPr>
        <w:tc>
          <w:tcPr>
            <w:tcW w:type="dxa" w:w="2016"/>
            <w:tcMar>
              <w:top w:type="dxa" w:w="60"/>
              <w:left w:type="dxa" w:w="100"/>
              <w:bottom w:type="dxa" w:w="60"/>
              <w:right w:type="dxa" w:w="100"/>
            </w:tcMar>
            <w:vAlign w:val="center"/>
          </w:tcPr>
          <w:p>
            <w:r>
              <w:rPr>
                <w:b/>
                <w:bCs/>
                <w:sz w:val="18"/>
                <w:szCs w:val="18"/>
              </w:rPr>
              <w:t xml:space="preserve">Supervisor</w:t>
            </w:r>
          </w:p>
        </w:tc>
        <w:tc>
          <w:tcPr>
            <w:tcW w:type="dxa" w:w="2016"/>
            <w:tcMar>
              <w:top w:type="dxa" w:w="60"/>
              <w:left w:type="dxa" w:w="100"/>
              <w:bottom w:type="dxa" w:w="60"/>
              <w:right w:type="dxa" w:w="100"/>
            </w:tcMar>
            <w:vAlign w:val="center"/>
          </w:tcPr>
          <w:p>
            <w:r>
              <w:rPr>
                <w:sz w:val="18"/>
                <w:szCs w:val="18"/>
              </w:rPr>
              <w:t xml:space="preserve">None</w:t>
            </w:r>
          </w:p>
        </w:tc>
        <w:tc>
          <w:tcPr>
            <w:tcW w:type="dxa" w:w="2016"/>
            <w:tcMar>
              <w:top w:type="dxa" w:w="60"/>
              <w:left w:type="dxa" w:w="100"/>
              <w:bottom w:type="dxa" w:w="60"/>
              <w:right w:type="dxa" w:w="100"/>
            </w:tcMar>
            <w:vAlign w:val="center"/>
          </w:tcPr>
          <w:p>
            <w:r>
              <w:rPr>
                <w:sz w:val="18"/>
                <w:szCs w:val="18"/>
              </w:rPr>
              <w:t xml:space="preserve">Full for direct/indirect reports only (`self`+`subordinate` scope)</w:t>
            </w:r>
          </w:p>
        </w:tc>
        <w:tc>
          <w:tcPr>
            <w:tcW w:type="dxa" w:w="2016"/>
            <w:tcMar>
              <w:top w:type="dxa" w:w="60"/>
              <w:left w:type="dxa" w:w="100"/>
              <w:bottom w:type="dxa" w:w="60"/>
              <w:right w:type="dxa" w:w="100"/>
            </w:tcMar>
            <w:vAlign w:val="center"/>
          </w:tcPr>
          <w:p>
            <w:r>
              <w:rPr>
                <w:sz w:val="18"/>
                <w:szCs w:val="18"/>
              </w:rPr>
              <w:t xml:space="preserve">None</w:t>
            </w:r>
          </w:p>
        </w:tc>
        <w:tc>
          <w:tcPr>
            <w:tcW w:type="dxa" w:w="2016"/>
            <w:tcMar>
              <w:top w:type="dxa" w:w="60"/>
              <w:left w:type="dxa" w:w="100"/>
              <w:bottom w:type="dxa" w:w="60"/>
              <w:right w:type="dxa" w:w="100"/>
            </w:tcMar>
            <w:vAlign w:val="center"/>
          </w:tcPr>
          <w:p>
            <w:r>
              <w:rPr>
                <w:sz w:val="18"/>
                <w:szCs w:val="18"/>
              </w:rPr>
              <w:t xml:space="preserve">Carried from the reference system's effective-role model (Section 3.2); computed automatically from the reporting-line data, not separately assigned.</w:t>
            </w:r>
          </w:p>
        </w:tc>
      </w:tr>
      <w:tr>
        <w:trPr>
          <w:tblHeader w:val="false"/>
        </w:trPr>
        <w:tc>
          <w:tcPr>
            <w:tcW w:type="dxa" w:w="2016"/>
            <w:tcMar>
              <w:top w:type="dxa" w:w="60"/>
              <w:left w:type="dxa" w:w="100"/>
              <w:bottom w:type="dxa" w:w="60"/>
              <w:right w:type="dxa" w:w="100"/>
            </w:tcMar>
            <w:vAlign w:val="center"/>
          </w:tcPr>
          <w:p>
            <w:r>
              <w:rPr>
                <w:b/>
                <w:bCs/>
                <w:sz w:val="18"/>
                <w:szCs w:val="18"/>
              </w:rPr>
              <w:t xml:space="preserve">ESS (Employee Self-Service)</w:t>
            </w:r>
          </w:p>
        </w:tc>
        <w:tc>
          <w:tcPr>
            <w:tcW w:type="dxa" w:w="2016"/>
            <w:tcMar>
              <w:top w:type="dxa" w:w="60"/>
              <w:left w:type="dxa" w:w="100"/>
              <w:bottom w:type="dxa" w:w="60"/>
              <w:right w:type="dxa" w:w="100"/>
            </w:tcMar>
            <w:vAlign w:val="center"/>
          </w:tcPr>
          <w:p>
            <w:r>
              <w:rPr>
                <w:sz w:val="18"/>
                <w:szCs w:val="18"/>
              </w:rPr>
              <w:t xml:space="preserve">None</w:t>
            </w:r>
          </w:p>
        </w:tc>
        <w:tc>
          <w:tcPr>
            <w:tcW w:type="dxa" w:w="2016"/>
            <w:tcMar>
              <w:top w:type="dxa" w:w="60"/>
              <w:left w:type="dxa" w:w="100"/>
              <w:bottom w:type="dxa" w:w="60"/>
              <w:right w:type="dxa" w:w="100"/>
            </w:tcMar>
            <w:vAlign w:val="center"/>
          </w:tcPr>
          <w:p>
            <w:r>
              <w:rPr>
                <w:sz w:val="18"/>
                <w:szCs w:val="18"/>
              </w:rPr>
              <w:t xml:space="preserve">`self` scope only</w:t>
            </w:r>
          </w:p>
        </w:tc>
        <w:tc>
          <w:tcPr>
            <w:tcW w:type="dxa" w:w="2016"/>
            <w:tcMar>
              <w:top w:type="dxa" w:w="60"/>
              <w:left w:type="dxa" w:w="100"/>
              <w:bottom w:type="dxa" w:w="60"/>
              <w:right w:type="dxa" w:w="100"/>
            </w:tcMar>
            <w:vAlign w:val="center"/>
          </w:tcPr>
          <w:p>
            <w:r>
              <w:rPr>
                <w:sz w:val="18"/>
                <w:szCs w:val="18"/>
              </w:rPr>
              <w:t xml:space="preserve">`self` scope only (their own compensation record, read-only)</w:t>
            </w:r>
          </w:p>
        </w:tc>
        <w:tc>
          <w:tcPr>
            <w:tcW w:type="dxa" w:w="2016"/>
            <w:tcMar>
              <w:top w:type="dxa" w:w="60"/>
              <w:left w:type="dxa" w:w="100"/>
              <w:bottom w:type="dxa" w:w="60"/>
              <w:right w:type="dxa" w:w="100"/>
            </w:tcMar>
            <w:vAlign w:val="center"/>
          </w:tcPr>
          <w:p>
            <w:r>
              <w:rPr>
                <w:sz w:val="18"/>
                <w:szCs w:val="18"/>
              </w:rPr>
              <w:t xml:space="preserve">Default role for every user with an employee record.</w:t>
            </w:r>
          </w:p>
        </w:tc>
      </w:tr>
    </w:tbl>
    <w:p>
      <w:pPr>
        <w:spacing w:after="120"/>
      </w:pPr>
    </w:p>
    <w:p>
      <w:pPr>
        <w:spacing w:after="160"/>
        <w:jc w:val="both"/>
      </w:pPr>
      <w:r>
        <w:rPr>
          <w:b/>
          <w:bCs/>
        </w:rPr>
        <w:t xml:space="preserve">The flexible role-builder (custom roles).</w:t>
      </w:r>
      <w:r>
        <w:t xml:space="preserve"> Because SI asked how to make roles flexible enough to add new ones later without engineering involvement, RBAC is modeled so *every* role — system or custom — is just a row in the Role table plus a set of rows in the Role Permission Matrix; there is no hard-coded "if role === HR_OFFICER" logic anywhere in the guard layer. This yields:</w:t>
      </w:r>
    </w:p>
    <w:p>
      <w:pPr>
        <w:pStyle w:val="ListParagraph"/>
        <w:numPr>
          <w:ilvl w:val="0"/>
          <w:numId w:val="1"/>
        </w:numPr>
        <w:spacing w:after="60"/>
      </w:pPr>
      <w:r>
        <w:rPr>
          <w:b/>
          <w:bCs/>
        </w:rPr>
        <w:t xml:space="preserve">"New Role" wizard</w:t>
      </w:r>
      <w:r>
        <w:t xml:space="preserve"> (Admin-only screen): name and description, then a permission-matrix UI — one row per Screen and per Data Group, with a scope selector (None / Self / Self+Subordinates / All) and a CRUD-level selector (View / View+Edit / View+Edit+Delete) per row. The same matrix that drives the three predefined non-Admin roles above is fully editable here, so "compensation visible, but view-only" or "leave data editable, but recruitment invisible" are both just matrix states, not code.</w:t>
      </w:r>
    </w:p>
    <w:p>
      <w:pPr>
        <w:pStyle w:val="ListParagraph"/>
        <w:numPr>
          <w:ilvl w:val="0"/>
          <w:numId w:val="1"/>
        </w:numPr>
        <w:spacing w:after="60"/>
      </w:pPr>
      <w:r>
        <w:rPr>
          <w:b/>
          <w:bCs/>
        </w:rPr>
        <w:t xml:space="preserve">"Clone role" as a starting point:</w:t>
      </w:r>
      <w:r>
        <w:t xml:space="preserve"> any existing role (system or custom) can be duplicated into a new custom role pre-populated with its permission matrix, so a new role is typically built as "start from HR Officer, then add X" rather than from a blank matrix — directly matching the "selectable access rights" request.</w:t>
      </w:r>
    </w:p>
    <w:p>
      <w:pPr>
        <w:pStyle w:val="ListParagraph"/>
        <w:numPr>
          <w:ilvl w:val="0"/>
          <w:numId w:val="1"/>
        </w:numPr>
        <w:spacing w:after="60"/>
      </w:pPr>
      <w:r>
        <w:rPr>
          <w:b/>
          <w:bCs/>
        </w:rPr>
        <w:t xml:space="preserve">Guardrails:</w:t>
      </w:r>
      <w:r>
        <w:t xml:space="preserve"> the four system roles above cannot be edited or deleted (to keep a known-good baseline always available and prevent accidental privilege changes to Admin/HR Admin); a custom role can be edited, cloned again, or deleted (blocked if users are currently assigned to it, with a forced reassignment step); every matrix change is written to the permission audit trail with before/after values and the acting Admin.</w:t>
      </w:r>
    </w:p>
    <w:p>
      <w:pPr>
        <w:pStyle w:val="ListParagraph"/>
        <w:numPr>
          <w:ilvl w:val="0"/>
          <w:numId w:val="1"/>
        </w:numPr>
        <w:spacing w:after="60"/>
      </w:pPr>
      <w:r>
        <w:rPr>
          <w:b/>
          <w:bCs/>
        </w:rPr>
        <w:t xml:space="preserve">Enforcement stays centralized:</w:t>
      </w:r>
      <w:r>
        <w:t xml:space="preserve"> the same Laravel Policy/Gate layer described in Section 3.5 evaluates the matrix at request time for every screen (Livewire component) and API call (controller), so a newly created custom role is enforced identically to a system role the moment it is saved — no deploy required.</w:t>
      </w:r>
    </w:p>
    <w:p>
      <w:pPr>
        <w:spacing w:after="160"/>
        <w:jc w:val="both"/>
      </w:pPr>
      <w:r>
        <w:rPr>
          <w:b/>
          <w:bCs/>
        </w:rPr>
        <w:t xml:space="preserve">Key features:</w:t>
      </w:r>
    </w:p>
    <w:p>
      <w:pPr>
        <w:pStyle w:val="ListParagraph"/>
        <w:numPr>
          <w:ilvl w:val="0"/>
          <w:numId w:val="1"/>
        </w:numPr>
        <w:spacing w:after="60"/>
      </w:pPr>
      <w:r>
        <w:t xml:space="preserve">User CRUD with role assignment (a user may hold exactly one role at a time, consistent with the reference system's model; Supervisor status is computed, not assigned); optional "send login details" flow that emails a set-password link, never a plaintext password.</w:t>
      </w:r>
    </w:p>
    <w:p>
      <w:pPr>
        <w:pStyle w:val="ListParagraph"/>
        <w:numPr>
          <w:ilvl w:val="0"/>
          <w:numId w:val="1"/>
        </w:numPr>
        <w:spacing w:after="60"/>
      </w:pPr>
      <w:r>
        <w:t xml:space="preserve">Username uniqueness validation; legacy password-hash migration support on successful login.</w:t>
      </w:r>
    </w:p>
    <w:p>
      <w:pPr>
        <w:pStyle w:val="ListParagraph"/>
        <w:numPr>
          <w:ilvl w:val="0"/>
          <w:numId w:val="1"/>
        </w:numPr>
        <w:spacing w:after="60"/>
      </w:pPr>
      <w:r>
        <w:t xml:space="preserve">Protection against deleting the currently authenticated user or any designated non-deletable system account, enforced server-side.</w:t>
      </w:r>
    </w:p>
    <w:p>
      <w:pPr>
        <w:pStyle w:val="ListParagraph"/>
        <w:numPr>
          <w:ilvl w:val="0"/>
          <w:numId w:val="1"/>
        </w:numPr>
        <w:spacing w:after="60"/>
      </w:pPr>
      <w:r>
        <w:t xml:space="preserve">Role management screen described above (system vs. custom, clone, matrix editor).</w:t>
      </w:r>
    </w:p>
    <w:p>
      <w:pPr>
        <w:pStyle w:val="ListParagraph"/>
        <w:numPr>
          <w:ilvl w:val="0"/>
          <w:numId w:val="1"/>
        </w:numPr>
        <w:spacing w:after="60"/>
      </w:pPr>
      <w:r>
        <w:t xml:space="preserve">Full audit trail of every permission-relevant change, including custom-role creation/edits and role reassignments.</w:t>
      </w:r>
    </w:p>
    <w:p>
      <w:pPr>
        <w:pStyle w:val="Heading3"/>
        <w:spacing w:after="160" w:before="280"/>
      </w:pPr>
      <w:r>
        <w:t xml:space="preserve">A3. Single Sign-On (LDAP/AD, OpenID Connect) &amp; OAuth2 API Access</w:t>
      </w:r>
    </w:p>
    <w:p>
      <w:pPr>
        <w:spacing w:after="160"/>
        <w:jc w:val="both"/>
      </w:pPr>
      <w:r>
        <w:rPr>
          <w:b/>
          <w:bCs/>
        </w:rPr>
        <w:t xml:space="preserve">Overview.</w:t>
      </w:r>
      <w:r>
        <w:t xml:space="preserve"> Enterprise directory integration and social/OIDC login, plus a standards-based OAuth2 authorization server for API and mobile-app access independent of the browser session mechanism.</w:t>
      </w:r>
    </w:p>
    <w:p>
      <w:pPr>
        <w:spacing w:after="160"/>
        <w:jc w:val="both"/>
      </w:pPr>
      <w:r>
        <w:rPr>
          <w:b/>
          <w:bCs/>
        </w:rPr>
        <w:t xml:space="preserve">Key features — LDAP/Active Directory:</w:t>
      </w:r>
    </w:p>
    <w:p>
      <w:pPr>
        <w:pStyle w:val="ListParagraph"/>
        <w:numPr>
          <w:ilvl w:val="0"/>
          <w:numId w:val="1"/>
        </w:numPr>
        <w:spacing w:after="60"/>
      </w:pPr>
      <w:r>
        <w:t xml:space="preserve">Configurable server connection (host, port, bind DN, search base, attribute mapping) with an admin "test connection" action.</w:t>
      </w:r>
    </w:p>
    <w:p>
      <w:pPr>
        <w:pStyle w:val="ListParagraph"/>
        <w:numPr>
          <w:ilvl w:val="0"/>
          <w:numId w:val="1"/>
        </w:numPr>
        <w:spacing w:after="60"/>
      </w:pPr>
      <w:r>
        <w:t xml:space="preserve">Live bind-based authentication (the password is verified by binding to the directory at login time, not by comparing a locally stored hash).</w:t>
      </w:r>
    </w:p>
    <w:p>
      <w:pPr>
        <w:pStyle w:val="ListParagraph"/>
        <w:numPr>
          <w:ilvl w:val="0"/>
          <w:numId w:val="1"/>
        </w:numPr>
        <w:spacing w:after="60"/>
      </w:pPr>
      <w:r>
        <w:t xml:space="preserve">Scheduled directory synchronization that can auto-provision new employee/user records for directory users not yet known to the system, and optionally de-provision local accounts removed from the directory, with explicit handling of the edge case where multiple employees map to one directory identity.</w:t>
      </w:r>
    </w:p>
    <w:p>
      <w:pPr>
        <w:spacing w:after="160"/>
        <w:jc w:val="both"/>
      </w:pPr>
      <w:r>
        <w:rPr>
          <w:b/>
          <w:bCs/>
        </w:rPr>
        <w:t xml:space="preserve">Key features — OpenID Connect:</w:t>
      </w:r>
    </w:p>
    <w:p>
      <w:pPr>
        <w:pStyle w:val="ListParagraph"/>
        <w:numPr>
          <w:ilvl w:val="0"/>
          <w:numId w:val="1"/>
        </w:numPr>
        <w:spacing w:after="60"/>
      </w:pPr>
      <w:r>
        <w:t xml:space="preserve">Multiple simultaneously configured providers (e.g., Google, Microsoft, a generic OIDC provider), each independently enabled/disabled with its own client credentials.</w:t>
      </w:r>
    </w:p>
    <w:p>
      <w:pPr>
        <w:pStyle w:val="ListParagraph"/>
        <w:numPr>
          <w:ilvl w:val="0"/>
          <w:numId w:val="1"/>
        </w:numPr>
        <w:spacing w:after="60"/>
      </w:pPr>
      <w:r>
        <w:t xml:space="preserve">One local user may link to one external identity per configured provider.</w:t>
      </w:r>
    </w:p>
    <w:p>
      <w:pPr>
        <w:pStyle w:val="ListParagraph"/>
        <w:numPr>
          <w:ilvl w:val="0"/>
          <w:numId w:val="1"/>
        </w:numPr>
        <w:spacing w:after="60"/>
      </w:pPr>
      <w:r>
        <w:t xml:space="preserve">OIDC logins write to the same unified login audit trail as local/LDAP logins.</w:t>
      </w:r>
    </w:p>
    <w:p>
      <w:pPr>
        <w:spacing w:after="160"/>
        <w:jc w:val="both"/>
      </w:pPr>
      <w:r>
        <w:rPr>
          <w:b/>
          <w:bCs/>
        </w:rPr>
        <w:t xml:space="preserve">Key features — OAuth2 (for mobile/API clients):</w:t>
      </w:r>
    </w:p>
    <w:p>
      <w:pPr>
        <w:pStyle w:val="ListParagraph"/>
        <w:numPr>
          <w:ilvl w:val="0"/>
          <w:numId w:val="1"/>
        </w:numPr>
        <w:spacing w:after="60"/>
      </w:pPr>
      <w:r>
        <w:t xml:space="preserve">Authorization-code + refresh-token grants only (no password or client-credentials grants), against registered OAuth clients (public or confidential).</w:t>
      </w:r>
    </w:p>
    <w:p>
      <w:pPr>
        <w:pStyle w:val="ListParagraph"/>
        <w:numPr>
          <w:ilvl w:val="0"/>
          <w:numId w:val="1"/>
        </w:numPr>
        <w:spacing w:after="60"/>
      </w:pPr>
      <w:r>
        <w:t xml:space="preserve">Opaque, database-validated bearer tokens (not self-contained JWTs) with configurable TTLs for authorization codes, access tokens, and refresh tokens; explicit revocation-flag and expiry checks at validation time in addition to any library-level checks.</w:t>
      </w:r>
    </w:p>
    <w:p>
      <w:pPr>
        <w:pStyle w:val="Heading3"/>
        <w:spacing w:after="160" w:before="280"/>
      </w:pPr>
      <w:r>
        <w:t xml:space="preserve">A4. Localization &amp; Translation Management</w:t>
      </w:r>
    </w:p>
    <w:p>
      <w:pPr>
        <w:spacing w:after="160"/>
        <w:jc w:val="both"/>
      </w:pPr>
      <w:r>
        <w:rPr>
          <w:b/>
          <w:bCs/>
        </w:rPr>
        <w:t xml:space="preserve">Overview.</w:t>
      </w:r>
      <w:r>
        <w:t xml:space="preserve"> Multi-language support: installable/importable language packs, a translatable-string catalog organized by logical group, and an admin UI for editing translations without a new deployment.</w:t>
      </w:r>
    </w:p>
    <w:p>
      <w:pPr>
        <w:spacing w:after="160"/>
        <w:jc w:val="both"/>
      </w:pPr>
      <w:r>
        <w:rPr>
          <w:b/>
          <w:bCs/>
        </w:rPr>
        <w:t xml:space="preserve">Key features:</w:t>
      </w:r>
      <w:r>
        <w:t xml:space="preserve"> language list (enabled/disabled, built-in vs. custom-added); string catalog with a stable translation key, grouped by module/feature area; per-language translated values with a flag distinguishing an admin-customized override from a shipped translation; resilient import that logs per-string errors rather than aborting the whole import; a documented fallback language.</w:t>
      </w:r>
    </w:p>
    <w:p>
      <w:pPr>
        <w:pStyle w:val="Heading3"/>
        <w:spacing w:after="160" w:before="280"/>
      </w:pPr>
      <w:r>
        <w:t xml:space="preserve">A5. System Configuration, Branding &amp; Health Checks</w:t>
      </w:r>
    </w:p>
    <w:p>
      <w:pPr>
        <w:spacing w:after="160"/>
        <w:jc w:val="both"/>
      </w:pPr>
      <w:r>
        <w:rPr>
          <w:b/>
          <w:bCs/>
        </w:rPr>
        <w:t xml:space="preserve">Overview.</w:t>
      </w:r>
      <w:r>
        <w:t xml:space="preserve"> White-label theming, global application configuration, and a post-deployment/runtime health check.</w:t>
      </w:r>
    </w:p>
    <w:p>
      <w:pPr>
        <w:spacing w:after="160"/>
        <w:jc w:val="both"/>
      </w:pPr>
      <w:r>
        <w:rPr>
          <w:b/>
          <w:bCs/>
        </w:rPr>
        <w:t xml:space="preserve">Key features:</w:t>
      </w:r>
    </w:p>
    <w:p>
      <w:pPr>
        <w:pStyle w:val="ListParagraph"/>
        <w:numPr>
          <w:ilvl w:val="0"/>
          <w:numId w:val="1"/>
        </w:numPr>
        <w:spacing w:after="60"/>
      </w:pPr>
      <w:r>
        <w:t xml:space="preserve">Branding: client logo, banner, and login-banner image upload with enforced aspect-ratio and file-size/type constraints (validated both client- and server-side against the same declared limits); theme color/variable customization; product name override; toggle for social-login icons on the sign-in screen. (Recommendation: store images in object storage with the theme record holding references, not as database BLOBs.)</w:t>
      </w:r>
    </w:p>
    <w:p>
      <w:pPr>
        <w:pStyle w:val="ListParagraph"/>
        <w:numPr>
          <w:ilvl w:val="0"/>
          <w:numId w:val="1"/>
        </w:numPr>
        <w:spacing w:after="60"/>
      </w:pPr>
      <w:r>
        <w:t xml:space="preserve">Global configuration: a key/value application-settings store covering password policy, OAuth TTLs, SSO settings, feature toggles, attachment size limits, and similar cross-cutting values, editable by administrators without a redeploy.</w:t>
      </w:r>
    </w:p>
    <w:p>
      <w:pPr>
        <w:pStyle w:val="ListParagraph"/>
        <w:numPr>
          <w:ilvl w:val="0"/>
          <w:numId w:val="1"/>
        </w:numPr>
        <w:spacing w:after="60"/>
      </w:pPr>
      <w:r>
        <w:t xml:space="preserve">System health check: verification of required runtime dependencies, permissions, and connectivity, exposed as an admin screen; the underlying check endpoint should be able to be hidden once initial setup is complete to reduce information disclosure.</w:t>
      </w:r>
    </w:p>
    <w:p>
      <w:pPr>
        <w:pStyle w:val="Heading3"/>
        <w:spacing w:after="160" w:before="280"/>
      </w:pPr>
      <w:r>
        <w:t xml:space="preserve">A6. Data Privacy &amp; GDPR Lifecycle Management</w:t>
      </w:r>
    </w:p>
    <w:p>
      <w:pPr>
        <w:spacing w:after="160"/>
        <w:jc w:val="both"/>
      </w:pPr>
      <w:r>
        <w:rPr>
          <w:b/>
          <w:bCs/>
        </w:rPr>
        <w:t xml:space="preserve">Overview.</w:t>
      </w:r>
      <w:r>
        <w:t xml:space="preserve"> Right-to-be-forgotten tooling for employee and candidate records, implemented as anonymize-in-place rather than physical deletion, per the declarative pattern in Section 3.2.</w:t>
      </w:r>
    </w:p>
    <w:p>
      <w:pPr>
        <w:spacing w:after="160"/>
        <w:jc w:val="both"/>
      </w:pPr>
      <w:r>
        <w:rPr>
          <w:b/>
          <w:bCs/>
        </w:rPr>
        <w:t xml:space="preserve">Key features:</w:t>
      </w:r>
    </w:p>
    <w:p>
      <w:pPr>
        <w:pStyle w:val="ListParagraph"/>
        <w:numPr>
          <w:ilvl w:val="0"/>
          <w:numId w:val="1"/>
        </w:numPr>
        <w:spacing w:after="60"/>
      </w:pPr>
      <w:r>
        <w:t xml:space="preserve">"Purge" action per employee and per candidate: every PII field is mapped to a specific redaction rule (replace with a fixed placeholder, an empty value, null, zero, or a purge timestamp), applied atomically, with a `purgedAt` marker stamped on the record.</w:t>
      </w:r>
    </w:p>
    <w:p>
      <w:pPr>
        <w:pStyle w:val="ListParagraph"/>
        <w:numPr>
          <w:ilvl w:val="0"/>
          <w:numId w:val="1"/>
        </w:numPr>
        <w:spacing w:after="60"/>
      </w:pPr>
      <w:r>
        <w:t xml:space="preserve">A companion declarative "access strategy" governing exactly which fields of a record flagged for purge remain visible to administrators before the purge executes.</w:t>
      </w:r>
    </w:p>
    <w:p>
      <w:pPr>
        <w:pStyle w:val="ListParagraph"/>
        <w:numPr>
          <w:ilvl w:val="0"/>
          <w:numId w:val="1"/>
        </w:numPr>
        <w:spacing w:after="60"/>
      </w:pPr>
      <w:r>
        <w:t xml:space="preserve">Purged/soft-deleted records are automatically excluded from directory listings, dashboards, reports, and search across every other module — this must be enforced centrally (e.g., a shared query filter), not re-implemented per module.</w:t>
      </w:r>
    </w:p>
    <w:p>
      <w:pPr>
        <w:pStyle w:val="Heading3"/>
        <w:spacing w:after="160" w:before="280"/>
      </w:pPr>
      <w:r>
        <w:t xml:space="preserve">A7. In-App Notification Center</w:t>
      </w:r>
    </w:p>
    <w:p>
      <w:pPr>
        <w:spacing w:after="160"/>
        <w:jc w:val="both"/>
      </w:pPr>
      <w:r>
        <w:rPr>
          <w:b/>
          <w:bCs/>
        </w:rPr>
        <w:t xml:space="preserve">Overview.</w:t>
      </w:r>
      <w:r>
        <w:t xml:space="preserve"> New platform service requested by SI: every user, while logged in, has a persistent notification panel (a notification entry point in the UI, per the functional requirements in Section 3.4) showing both current (unread) and past (read) notifications, independent of — and in addition to — the existing email notification channel. This becomes the single fan-out target for every module's "someone should be told about this" event (leave approvals, claim decisions, new helpdesk replies, policy documents requiring acknowledgement, 2FA/security events, pulse-survey invitations, and so on), and also owns </w:t>
      </w:r>
      <w:r>
        <w:rPr>
          <w:b/>
          <w:bCs/>
        </w:rPr>
        <w:t xml:space="preserve">browser push notifications</w:t>
      </w:r>
      <w:r>
        <w:t xml:space="preserve"> (below) — since SI confirmed push is still wanted for the web app even without an installable mobile client.</w:t>
      </w:r>
    </w:p>
    <w:p>
      <w:pPr>
        <w:spacing w:after="160"/>
        <w:jc w:val="both"/>
      </w:pPr>
      <w:r>
        <w:rPr>
          <w:b/>
          <w:bCs/>
        </w:rPr>
        <w:t xml:space="preserve">Key data:</w:t>
      </w:r>
      <w:r>
        <w:t xml:space="preserve"> a Notification record per (user, event) pair — type, title, body/summary, a deep link to the relevant screen/record, source module, created timestamp, read/unread state, read timestamp, and a "cleared" (archived/hidden) flag distinct from read/unread; a Push Subscription per (user, browser) that has granted notification permission (endpoint/keys for Web Push), created when permission is granted and removed on revocation or an expired/invalid endpoint.</w:t>
      </w:r>
    </w:p>
    <w:p>
      <w:pPr>
        <w:spacing w:after="160"/>
        <w:jc w:val="both"/>
      </w:pPr>
      <w:r>
        <w:rPr>
          <w:b/>
          <w:bCs/>
        </w:rPr>
        <w:t xml:space="preserve">Key features:</w:t>
      </w:r>
    </w:p>
    <w:p>
      <w:pPr>
        <w:pStyle w:val="ListParagraph"/>
        <w:numPr>
          <w:ilvl w:val="0"/>
          <w:numId w:val="1"/>
        </w:numPr>
        <w:spacing w:after="60"/>
      </w:pPr>
      <w:r>
        <w:rPr>
          <w:b/>
          <w:bCs/>
        </w:rPr>
        <w:t xml:space="preserve">Notification bell + panel:</w:t>
      </w:r>
      <w:r>
        <w:t xml:space="preserve"> unread count badge on the bell; opening the panel lists notifications newest-first, unread visually distinguished, with infinite scroll/pagination into history — "current and past" per SI's requirement, so nothing is deleted purely by being read.</w:t>
      </w:r>
    </w:p>
    <w:p>
      <w:pPr>
        <w:pStyle w:val="ListParagraph"/>
        <w:numPr>
          <w:ilvl w:val="0"/>
          <w:numId w:val="1"/>
        </w:numPr>
        <w:spacing w:after="60"/>
      </w:pPr>
      <w:r>
        <w:rPr>
          <w:b/>
          <w:bCs/>
        </w:rPr>
        <w:t xml:space="preserve">Mark as read / unread:</w:t>
      </w:r>
      <w:r>
        <w:t xml:space="preserve"> per-notification toggle, plus a "mark all as read" bulk action.</w:t>
      </w:r>
    </w:p>
    <w:p>
      <w:pPr>
        <w:pStyle w:val="ListParagraph"/>
        <w:numPr>
          <w:ilvl w:val="0"/>
          <w:numId w:val="1"/>
        </w:numPr>
        <w:spacing w:after="60"/>
      </w:pPr>
      <w:r>
        <w:rPr>
          <w:b/>
          <w:bCs/>
        </w:rPr>
        <w:t xml:space="preserve">Clear:</w:t>
      </w:r>
      <w:r>
        <w:t xml:space="preserve"> per-notification and "clear all" actions that archive notifications out of the default panel view without deleting the underlying audit record (so an admin can still see notification history/delivery if needed for support purposes); cleared notifications are not shown again in the panel.</w:t>
      </w:r>
    </w:p>
    <w:p>
      <w:pPr>
        <w:pStyle w:val="ListParagraph"/>
        <w:numPr>
          <w:ilvl w:val="0"/>
          <w:numId w:val="1"/>
        </w:numPr>
        <w:spacing w:after="60"/>
      </w:pPr>
      <w:r>
        <w:rPr>
          <w:b/>
          <w:bCs/>
        </w:rPr>
        <w:t xml:space="preserve">Deep linking:</w:t>
      </w:r>
      <w:r>
        <w:t xml:space="preserve"> clicking a notification navigates directly to the relevant record (e.g., a specific leave request awaiting the viewer's approval), respecting the viewer's RBAC scope at that moment (a stale notification for a record the user can no longer access degrades to a plain message rather than a broken link).</w:t>
      </w:r>
    </w:p>
    <w:p>
      <w:pPr>
        <w:pStyle w:val="ListParagraph"/>
        <w:numPr>
          <w:ilvl w:val="0"/>
          <w:numId w:val="1"/>
        </w:numPr>
        <w:spacing w:after="60"/>
      </w:pPr>
      <w:r>
        <w:rPr>
          <w:b/>
          <w:bCs/>
        </w:rPr>
        <w:t xml:space="preserve">Delivery, three channels from one event:</w:t>
      </w:r>
      <w:r>
        <w:t xml:space="preserve"> created transactionally alongside the triggering event (e.g., in the same service call that changes a leave request's state), pushed to any open session in real time over the WebSocket layer (Section 3.5) so the bell badge updates live, and independently queued for (1) the existing email channel and (2) </w:t>
      </w:r>
      <w:r>
        <w:rPr>
          <w:b/>
          <w:bCs/>
        </w:rPr>
        <w:t xml:space="preserve">browser push</w:t>
      </w:r>
      <w:r>
        <w:t xml:space="preserve">, for any user who has granted notification permission — the three channels share the same underlying event, so a module only needs to raise one notification event to reach all of them, no per-module push logic required.</w:t>
      </w:r>
    </w:p>
    <w:p>
      <w:pPr>
        <w:pStyle w:val="ListParagraph"/>
        <w:numPr>
          <w:ilvl w:val="0"/>
          <w:numId w:val="1"/>
        </w:numPr>
        <w:spacing w:after="60"/>
      </w:pPr>
      <w:r>
        <w:rPr>
          <w:b/>
          <w:bCs/>
        </w:rPr>
        <w:t xml:space="preserve">Browser push, without an installable app:</w:t>
      </w:r>
      <w:r>
        <w:t xml:space="preserve"> on granting browser notification permission, a lightweight service worker (registered for push only — no offline caching or install manifest, since installability is out of scope per Section 3.5) creates a Push Subscription for that browser via the Web Push API (VAPID); a push notification deep-links to the relevant screen using the same deep-link data as the in-app notification. This works on desktop Chrome/Edge/Firefox and Android Chrome; </w:t>
      </w:r>
      <w:r>
        <w:rPr>
          <w:b/>
          <w:bCs/>
        </w:rPr>
        <w:t xml:space="preserve">it does not work on iOS Safari</w:t>
      </w:r>
      <w:r>
        <w:t xml:space="preserve">, which requires home-screen installation for push — those users still get email and in-app delivery, just not push, which is the accepted trade-off of dropping installability.</w:t>
      </w:r>
    </w:p>
    <w:p>
      <w:pPr>
        <w:pStyle w:val="ListParagraph"/>
        <w:numPr>
          <w:ilvl w:val="0"/>
          <w:numId w:val="1"/>
        </w:numPr>
        <w:spacing w:after="60"/>
      </w:pPr>
      <w:r>
        <w:rPr>
          <w:b/>
          <w:bCs/>
        </w:rPr>
        <w:t xml:space="preserve">User preferences (future-friendly, minimal for v1):</w:t>
      </w:r>
      <w:r>
        <w:t xml:space="preserve"> a simple per-category opt-out for email and, separately, for browser push (in-app notifications are always generated, since they carry no inbox-clutter cost and are the record of what happened).</w:t>
      </w:r>
    </w:p>
    <w:p>
      <w:pPr>
        <w:spacing w:after="160"/>
        <w:jc w:val="both"/>
      </w:pPr>
      <w:r>
        <w:rPr>
          <w:b/>
          <w:bCs/>
        </w:rPr>
        <w:t xml:space="preserve">Architecture note:</w:t>
      </w:r>
      <w:r>
        <w:t xml:space="preserve"> implemented as a shared `NotificationService` invoked by every module (Domains B–F) rather than each module writing its own notification logic, directly extending the "Notification &amp; Messaging Framework" platform service described in Section 3.2.</w:t>
      </w:r>
    </w:p>
    <w:p>
      <w:pPr>
        <w:pStyle w:val="Heading3"/>
        <w:spacing w:after="160" w:before="280"/>
      </w:pPr>
      <w:r>
        <w:t xml:space="preserve">A8. E-Signature &amp; Digital Consent Service</w:t>
      </w:r>
    </w:p>
    <w:p>
      <w:pPr>
        <w:spacing w:after="160"/>
        <w:jc w:val="both"/>
      </w:pPr>
      <w:r>
        <w:rPr>
          <w:b/>
          <w:bCs/>
        </w:rPr>
        <w:t xml:space="preserve">Overview.</w:t>
      </w:r>
      <w:r>
        <w:t xml:space="preserve"> New shared platform capability, introduced because SI asked for e-signature/digital-signature support "as applicable" — rather than build it once inside a single module (e.g., only for offer letters), it is built as a reusable service so every module that needs a signed acknowledgement (policy documents, offer letters, performance review sign-off, expense-claim attestations) uses the same consent record and legal-evidence trail.</w:t>
      </w:r>
    </w:p>
    <w:p>
      <w:pPr>
        <w:spacing w:after="160"/>
        <w:jc w:val="both"/>
      </w:pPr>
      <w:r>
        <w:rPr>
          <w:b/>
          <w:bCs/>
        </w:rPr>
        <w:t xml:space="preserve">Key data:</w:t>
      </w:r>
      <w:r>
        <w:t xml:space="preserve"> a Signature Event record per (document/record, signer, purpose) — the exact content/version signed (a hash of the document plus its version identifier, so a later edit to the source document does not retroactively alter what was signed), signer identity, timestamp, IP address and user-agent at signing time, the signature method used, and — where the method is a drawn signature — the captured image.</w:t>
      </w:r>
    </w:p>
    <w:p>
      <w:pPr>
        <w:spacing w:after="160"/>
        <w:jc w:val="both"/>
      </w:pPr>
      <w:r>
        <w:rPr>
          <w:b/>
          <w:bCs/>
        </w:rPr>
        <w:t xml:space="preserve">Key features:</w:t>
      </w:r>
    </w:p>
    <w:p>
      <w:pPr>
        <w:pStyle w:val="ListParagraph"/>
        <w:numPr>
          <w:ilvl w:val="0"/>
          <w:numId w:val="1"/>
        </w:numPr>
        <w:spacing w:after="60"/>
      </w:pPr>
      <w:r>
        <w:rPr>
          <w:b/>
          <w:bCs/>
        </w:rPr>
        <w:t xml:space="preserve">Two supported methods</w:t>
      </w:r>
      <w:r>
        <w:t xml:space="preserve">, selectable per document type by the Admin: (1) </w:t>
      </w:r>
      <w:r>
        <w:rPr>
          <w:b/>
          <w:bCs/>
        </w:rPr>
        <w:t xml:space="preserve">click-to-sign / typed-consent</w:t>
      </w:r>
      <w:r>
        <w:t xml:space="preserve"> — "I have read and agree to..." plus a checkbox and a re-authentication or 2FA step, sufficient for internal HR acknowledgements (policy documents, review sign-offs) under most e-signature frameworks; (2) </w:t>
      </w:r>
      <w:r>
        <w:rPr>
          <w:b/>
          <w:bCs/>
        </w:rPr>
        <w:t xml:space="preserve">drawn signature</w:t>
      </w:r>
      <w:r>
        <w:t xml:space="preserve"> — a canvas/touch signature pad (for offer letters and other higher-formality documents) whose image is stored alongside the event record.</w:t>
      </w:r>
    </w:p>
    <w:p>
      <w:pPr>
        <w:pStyle w:val="ListParagraph"/>
        <w:numPr>
          <w:ilvl w:val="0"/>
          <w:numId w:val="1"/>
        </w:numPr>
        <w:spacing w:after="60"/>
      </w:pPr>
      <w:r>
        <w:rPr>
          <w:b/>
          <w:bCs/>
        </w:rPr>
        <w:t xml:space="preserve">Tamper-evident record:</w:t>
      </w:r>
      <w:r>
        <w:t xml:space="preserve"> each Signature Event hashes the exact document version signed; if the underlying document is later revised, prior signatures remain valid evidence only for that prior version — directly supporting the Policy Document Management requirement that a new document version requires a fresh acknowledgement (Section E4).</w:t>
      </w:r>
    </w:p>
    <w:p>
      <w:pPr>
        <w:pStyle w:val="ListParagraph"/>
        <w:numPr>
          <w:ilvl w:val="0"/>
          <w:numId w:val="1"/>
        </w:numPr>
        <w:spacing w:after="60"/>
      </w:pPr>
      <w:r>
        <w:rPr>
          <w:b/>
          <w:bCs/>
        </w:rPr>
        <w:t xml:space="preserve">Verification/audit view:</w:t>
      </w:r>
      <w:r>
        <w:t xml:space="preserve"> an Admin/HR Admin-facing screen to look up who has and has not signed a given document/version, and to export the full evidence trail (hash, timestamp, IP, method) for a specific signature if ever required for a dispute or audit.</w:t>
      </w:r>
    </w:p>
    <w:p>
      <w:pPr>
        <w:pStyle w:val="ListParagraph"/>
        <w:numPr>
          <w:ilvl w:val="0"/>
          <w:numId w:val="1"/>
        </w:numPr>
        <w:spacing w:after="60"/>
      </w:pPr>
      <w:r>
        <w:rPr>
          <w:b/>
          <w:bCs/>
        </w:rPr>
        <w:t>Legal-framework note — confirmed by SI:</w:t>
      </w:r>
      <w:r>
        <w:t xml:space="preserve"> click-to-sign / typed-consent is legally sufficient for internal HR acknowledgements (policy documents, review sign-offs, and similar day-to-day consent capture). Whether a licensed digital-signature provider (e.g., a PKI-based/qualified e-signature vendor) is warranted for the highest-formality document classes specifically (notably formal offer/employment contracts) remains open and jurisdiction-dependent given SI's Nigeria and UK business context. The service is designed so a third-party e-signature provider (e.g., DocuSign, Adobe Sign) could be substituted or layered in for those document classes without changing how other modules call the service.</w:t>
      </w:r>
    </w:p>
    <w:p>
      <w:r>
        <w:br w:type="page"/>
      </w:r>
    </w:p>
    <w:p>
      <w:pPr>
        <w:pStyle w:val="Heading2"/>
        <w:spacing w:after="160" w:before="280"/>
      </w:pPr>
      <w:r>
        <w:t xml:space="preserve">Domain B — Organization &amp; Employee Master Data</w:t>
      </w:r>
    </w:p>
    <w:p>
      <w:pPr>
        <w:pStyle w:val="Heading3"/>
        <w:spacing w:after="160" w:before="280"/>
      </w:pPr>
      <w:r>
        <w:t xml:space="preserve">B1. Organization &amp; Master Data Administration</w:t>
      </w:r>
    </w:p>
    <w:p>
      <w:pPr>
        <w:spacing w:after="160"/>
        <w:jc w:val="both"/>
      </w:pPr>
      <w:r>
        <w:rPr>
          <w:b/>
          <w:bCs/>
        </w:rPr>
        <w:t xml:space="preserve">Overview.</w:t>
      </w:r>
      <w:r>
        <w:t xml:space="preserve"> The configuration backbone: every "master list" other modules draw from, plus organizational structure.</w:t>
      </w:r>
    </w:p>
    <w:p>
      <w:pPr>
        <w:spacing w:after="160"/>
        <w:jc w:val="both"/>
      </w:pPr>
      <w:r>
        <w:rPr>
          <w:b/>
          <w:bCs/>
        </w:rPr>
        <w:t xml:space="preserve">Key data:</w:t>
      </w:r>
      <w:r>
        <w:t xml:space="preserve"> Job Titles (with an optional attached job-specification document); Job Categories; Employment Statuses; qualification master lists (Education, Skills, Languages, Licenses, Memberships, Nationalities); Countries/Provinces; Organization profile (single record: name, tax ID, registration number, address, contact); Locations (offices/branches with address); Sub-units (the department/org-chart tree — modeled as a proper hierarchical tree, e.g., nested-set or closure-table, so subtree queries such as "everyone under this department" are efficient); Pay Grades with per-currency min/max salary bands; Work Shifts (name, hours/day, start/end time); Email/SMTP configuration; Email-notification subscription lists (which addresses receive which system notification categories); Audit Log (see Section 3.2).</w:t>
      </w:r>
    </w:p>
    <w:p>
      <w:pPr>
        <w:spacing w:after="160"/>
        <w:jc w:val="both"/>
      </w:pPr>
      <w:r>
        <w:rPr>
          <w:b/>
          <w:bCs/>
        </w:rPr>
        <w:t xml:space="preserve">Key features:</w:t>
      </w:r>
    </w:p>
    <w:p>
      <w:pPr>
        <w:pStyle w:val="ListParagraph"/>
        <w:numPr>
          <w:ilvl w:val="0"/>
          <w:numId w:val="1"/>
        </w:numPr>
        <w:spacing w:after="60"/>
      </w:pPr>
      <w:r>
        <w:t xml:space="preserve">Full CRUD for every master list, each with usage-aware edit/delete protection (a master value referenced by existing records cannot be deleted, and certain fields become locked once "in use").</w:t>
      </w:r>
    </w:p>
    <w:p>
      <w:pPr>
        <w:pStyle w:val="ListParagraph"/>
        <w:numPr>
          <w:ilvl w:val="0"/>
          <w:numId w:val="1"/>
        </w:numPr>
        <w:spacing w:after="60"/>
      </w:pPr>
      <w:r>
        <w:t xml:space="preserve">Org-chart/department tree editor (add, rename, move sub-units).</w:t>
      </w:r>
    </w:p>
    <w:p>
      <w:pPr>
        <w:pStyle w:val="ListParagraph"/>
        <w:numPr>
          <w:ilvl w:val="0"/>
          <w:numId w:val="1"/>
        </w:numPr>
        <w:spacing w:after="60"/>
      </w:pPr>
      <w:r>
        <w:t xml:space="preserve">Pay grade editor with a nested currency-band sub-editor (multiple currencies per grade, each with its own min/max salary).</w:t>
      </w:r>
    </w:p>
    <w:p>
      <w:pPr>
        <w:pStyle w:val="ListParagraph"/>
        <w:numPr>
          <w:ilvl w:val="0"/>
          <w:numId w:val="1"/>
        </w:numPr>
        <w:spacing w:after="60"/>
      </w:pPr>
      <w:r>
        <w:t xml:space="preserve">Audit log browser: filterable list (entity, action, actor, date range) with per-entry field-level before/after drill-down.</w:t>
      </w:r>
    </w:p>
    <w:p>
      <w:pPr>
        <w:pStyle w:val="ListParagraph"/>
        <w:numPr>
          <w:ilvl w:val="0"/>
          <w:numId w:val="1"/>
        </w:numPr>
        <w:spacing w:after="60"/>
      </w:pPr>
      <w:r>
        <w:t xml:space="preserve">Module enable/disable toggles at the system level, with dependent UI (e.g., dashboard widgets, mobile menus) automatically hiding when a module is disabled.</w:t>
      </w:r>
    </w:p>
    <w:p>
      <w:pPr>
        <w:pStyle w:val="Heading3"/>
        <w:spacing w:after="160" w:before="280"/>
      </w:pPr>
      <w:r>
        <w:t xml:space="preserve">B2. Employee Information Management (Employee Master Record)</w:t>
      </w:r>
    </w:p>
    <w:p>
      <w:pPr>
        <w:spacing w:after="160"/>
        <w:jc w:val="both"/>
      </w:pPr>
      <w:r>
        <w:rPr>
          <w:b/>
          <w:bCs/>
        </w:rPr>
        <w:t xml:space="preserve">Overview.</w:t>
      </w:r>
      <w:r>
        <w:t xml:space="preserve"> The core Employee entity and every piece of data attached to it — the data backbone of the whole platform. Includes, new in this iteration, an </w:t>
      </w:r>
      <w:r>
        <w:rPr>
          <w:b/>
          <w:bCs/>
        </w:rPr>
        <w:t xml:space="preserve">auto-generated, Admin-configurable Employee ID</w:t>
      </w:r>
      <w:r>
        <w:t xml:space="preserve"> per SI's requirement.</w:t>
      </w:r>
    </w:p>
    <w:p>
      <w:pPr>
        <w:spacing w:after="160"/>
        <w:jc w:val="both"/>
      </w:pPr>
      <w:r>
        <w:rPr>
          <w:b/>
          <w:bCs/>
        </w:rPr>
        <w:t xml:space="preserve">Key data (organized as employee "tabs," each independently editable):</w:t>
      </w:r>
    </w:p>
    <w:p>
      <w:pPr>
        <w:pStyle w:val="ListParagraph"/>
        <w:numPr>
          <w:ilvl w:val="0"/>
          <w:numId w:val="1"/>
        </w:numPr>
        <w:spacing w:after="60"/>
      </w:pPr>
      <w:r>
        <w:rPr>
          <w:b/>
          <w:bCs/>
        </w:rPr>
        <w:t xml:space="preserve">Employee ID</w:t>
      </w:r>
      <w:r>
        <w:t xml:space="preserve"> (system-assigned, unique, permanent — see the dedicated subsection below) and </w:t>
      </w:r>
      <w:r>
        <w:rPr>
          <w:b/>
          <w:bCs/>
        </w:rPr>
        <w:t xml:space="preserve">Personal details:</w:t>
      </w:r>
      <w:r>
        <w:t xml:space="preserve"> name, preferred name, date of birth, gender, marital status, nationality, government ID numbers (encrypted at rest), driving license, and up to 10 organization-configurable custom fields (label, type — free text or select — and which tab they render on).</w:t>
      </w:r>
    </w:p>
    <w:p>
      <w:pPr>
        <w:pStyle w:val="ListParagraph"/>
        <w:numPr>
          <w:ilvl w:val="0"/>
          <w:numId w:val="1"/>
        </w:numPr>
        <w:spacing w:after="60"/>
      </w:pPr>
      <w:r>
        <w:rPr>
          <w:b/>
          <w:bCs/>
        </w:rPr>
        <w:t xml:space="preserve">Contact details:</w:t>
      </w:r>
      <w:r>
        <w:t xml:space="preserve"> home address, phone numbers, personal and work email.</w:t>
      </w:r>
    </w:p>
    <w:p>
      <w:pPr>
        <w:pStyle w:val="ListParagraph"/>
        <w:numPr>
          <w:ilvl w:val="0"/>
          <w:numId w:val="1"/>
        </w:numPr>
        <w:spacing w:after="60"/>
      </w:pPr>
      <w:r>
        <w:rPr>
          <w:b/>
          <w:bCs/>
        </w:rPr>
        <w:t xml:space="preserve">Emergency contacts</w:t>
      </w:r>
      <w:r>
        <w:t xml:space="preserve"> and </w:t>
      </w:r>
      <w:r>
        <w:rPr>
          <w:b/>
          <w:bCs/>
        </w:rPr>
        <w:t xml:space="preserve">dependents</w:t>
      </w:r>
      <w:r>
        <w:t xml:space="preserve"> (variable-length lists per employee).</w:t>
      </w:r>
    </w:p>
    <w:p>
      <w:pPr>
        <w:pStyle w:val="ListParagraph"/>
        <w:numPr>
          <w:ilvl w:val="0"/>
          <w:numId w:val="1"/>
        </w:numPr>
        <w:spacing w:after="60"/>
      </w:pPr>
      <w:r>
        <w:rPr>
          <w:b/>
          <w:bCs/>
        </w:rPr>
        <w:t xml:space="preserve">Immigration/work-authorization records</w:t>
      </w:r>
      <w:r>
        <w:t xml:space="preserve"> (passport/visa number, issue/expiry dates, status, review date).</w:t>
      </w:r>
    </w:p>
    <w:p>
      <w:pPr>
        <w:pStyle w:val="ListParagraph"/>
        <w:numPr>
          <w:ilvl w:val="0"/>
          <w:numId w:val="1"/>
        </w:numPr>
        <w:spacing w:after="60"/>
      </w:pPr>
      <w:r>
        <w:rPr>
          <w:b/>
          <w:bCs/>
        </w:rPr>
        <w:t xml:space="preserve">Job details:</w:t>
      </w:r>
      <w:r>
        <w:t xml:space="preserve"> job title, category, sub-unit, employment status, join date, employment contract dates.</w:t>
      </w:r>
    </w:p>
    <w:p>
      <w:pPr>
        <w:pStyle w:val="ListParagraph"/>
        <w:numPr>
          <w:ilvl w:val="0"/>
          <w:numId w:val="1"/>
        </w:numPr>
        <w:spacing w:after="60"/>
      </w:pPr>
      <w:r>
        <w:rPr>
          <w:b/>
          <w:bCs/>
        </w:rPr>
        <w:t xml:space="preserve">Compensation:</w:t>
      </w:r>
      <w:r>
        <w:t xml:space="preserve"> one or more salary line items (name, amount — encrypted at rest, currency, pay period, optional direct-debit banking details), each tied to a pay grade.</w:t>
      </w:r>
    </w:p>
    <w:p>
      <w:pPr>
        <w:pStyle w:val="ListParagraph"/>
        <w:numPr>
          <w:ilvl w:val="0"/>
          <w:numId w:val="1"/>
        </w:numPr>
        <w:spacing w:after="60"/>
      </w:pPr>
      <w:r>
        <w:rPr>
          <w:b/>
          <w:bCs/>
        </w:rPr>
        <w:t xml:space="preserve">Qualifications:</w:t>
      </w:r>
      <w:r>
        <w:t xml:space="preserve"> education history, skills (with years of experience), languages (tracked per fluency type — reading/writing/speaking — with a competency level), licenses, professional memberships (with subscription fee/renewal tracking), and work experience history.</w:t>
      </w:r>
    </w:p>
    <w:p>
      <w:pPr>
        <w:pStyle w:val="ListParagraph"/>
        <w:numPr>
          <w:ilvl w:val="0"/>
          <w:numId w:val="1"/>
        </w:numPr>
        <w:spacing w:after="60"/>
      </w:pPr>
      <w:r>
        <w:rPr>
          <w:b/>
          <w:bCs/>
        </w:rPr>
        <w:t xml:space="preserve">Reporting structure:</w:t>
      </w:r>
      <w:r>
        <w:t xml:space="preserve"> an employee may have multiple supervisors and multiple subordinates simultaneously, each relationship additionally tagged with a reporting method (e.g., direct vs. dotted-line/matrix) — this is a genuine many-to-many typed graph, not a single "manager" field.</w:t>
      </w:r>
    </w:p>
    <w:p>
      <w:pPr>
        <w:pStyle w:val="ListParagraph"/>
        <w:numPr>
          <w:ilvl w:val="0"/>
          <w:numId w:val="1"/>
        </w:numPr>
        <w:spacing w:after="60"/>
      </w:pPr>
      <w:r>
        <w:rPr>
          <w:b/>
          <w:bCs/>
        </w:rPr>
        <w:t xml:space="preserve">Termination record</w:t>
      </w:r>
      <w:r>
        <w:t xml:space="preserve"> (reason, date, note) — an employee's current termination status should be a *derived* fact (whether an active termination record exists), while historical termination records are retained.</w:t>
      </w:r>
    </w:p>
    <w:p>
      <w:pPr>
        <w:pStyle w:val="ListParagraph"/>
        <w:numPr>
          <w:ilvl w:val="0"/>
          <w:numId w:val="1"/>
        </w:numPr>
        <w:spacing w:after="60"/>
      </w:pPr>
      <w:r>
        <w:rPr>
          <w:b/>
          <w:bCs/>
        </w:rPr>
        <w:t xml:space="preserve">Attachments</w:t>
      </w:r>
      <w:r>
        <w:t xml:space="preserve"> (per-tab file uploads with description) and a </w:t>
      </w:r>
      <w:r>
        <w:rPr>
          <w:b/>
          <w:bCs/>
        </w:rPr>
        <w:t xml:space="preserve">profile photo</w:t>
      </w:r>
      <w:r>
        <w:t xml:space="preserve">.</w:t>
      </w:r>
    </w:p>
    <w:p>
      <w:pPr>
        <w:pStyle w:val="ListParagraph"/>
        <w:numPr>
          <w:ilvl w:val="0"/>
          <w:numId w:val="1"/>
        </w:numPr>
        <w:spacing w:after="60"/>
      </w:pPr>
      <w:r>
        <w:rPr>
          <w:b/>
          <w:bCs/>
        </w:rPr>
        <w:t xml:space="preserve">Employee activity log:</w:t>
      </w:r>
      <w:r>
        <w:t xml:space="preserve"> a lightweight, purpose-built log of employee-record lifecycle events (created, updated, job-detail changed, supervisor changed, etc.) — this can be unified with the general audit log (Section 3.2) in the new design rather than kept separate as in the reference system.</w:t>
      </w:r>
    </w:p>
    <w:p>
      <w:pPr>
        <w:spacing w:after="160"/>
        <w:jc w:val="both"/>
      </w:pPr>
      <w:r>
        <w:rPr>
          <w:b/>
          <w:bCs/>
        </w:rPr>
        <w:t xml:space="preserve">Employee ID Auto-Generation (new this iteration).</w:t>
      </w:r>
    </w:p>
    <w:p>
      <w:pPr>
        <w:pStyle w:val="ListParagraph"/>
        <w:numPr>
          <w:ilvl w:val="0"/>
          <w:numId w:val="1"/>
        </w:numPr>
        <w:spacing w:after="60"/>
      </w:pPr>
      <w:r>
        <w:rPr>
          <w:b/>
          <w:bCs/>
        </w:rPr>
        <w:t xml:space="preserve">Format template, Admin-configurable in Admin Settings:</w:t>
      </w:r>
      <w:r>
        <w:t xml:space="preserve"> an ordered sequence of literal text and tokens — `{YY}` (2-digit year of hire), `{MM}` (2-digit month of hire), and `{SEQ:n}` (a zero-padded auto-incrementing serial, `n` digits configurable) — with SI's current format, `SIL{YY}{MM}{SEQ}` (e.g., an employee hired March 2026 receiving `SIL2603001`), seeded as the default template at launch. Literal segments, their order, and which date/serial tokens appear are all Admin-editable, not hard-coded to SI's current scheme.</w:t>
      </w:r>
    </w:p>
    <w:p>
      <w:pPr>
        <w:pStyle w:val="ListParagraph"/>
        <w:numPr>
          <w:ilvl w:val="0"/>
          <w:numId w:val="1"/>
        </w:numPr>
        <w:spacing w:after="60"/>
      </w:pPr>
      <w:r>
        <w:rPr>
          <w:b/>
          <w:bCs/>
        </w:rPr>
        <w:t xml:space="preserve">Auto-incrementing serial: one continuous count, confirmed by SI.</w:t>
      </w:r>
      <w:r>
        <w:t xml:space="preserve"> The `{SEQ:n}` portion never resets by month or year — it is a single organization-wide counter that simply increments with every new employee, regardless of which date tokens (`{YY}`, `{MM}`) also appear in the format for display purposes. So under SI's current format, `SIL2603001` is followed by `SIL2604002` for the next hire in April, not by a restart to `...001`. The date tokens are purely cosmetic/informational within the ID string; they do not partition the sequence. (The counter's scope remains Admin-configurable — Global / Per-Year / Per-Month — only as a forward-looking option should SI's policy ever change; the shipped default is the continuous, non-resetting count described above.)</w:t>
      </w:r>
    </w:p>
    <w:p>
      <w:pPr>
        <w:pStyle w:val="ListParagraph"/>
        <w:numPr>
          <w:ilvl w:val="0"/>
          <w:numId w:val="1"/>
        </w:numPr>
        <w:spacing w:after="60"/>
      </w:pPr>
      <w:r>
        <w:rPr>
          <w:b/>
          <w:bCs/>
        </w:rPr>
        <w:t xml:space="preserve">Automatic assignment:</w:t>
      </w:r>
      <w:r>
        <w:t xml:space="preserve"> the Employee ID is generated the moment an employee record becomes real — on the hire action in Recruitment (D1) or on direct creation in this module — using the format template and the employee's hire date for the date tokens; the employee never needs to be assigned one manually.</w:t>
      </w:r>
    </w:p>
    <w:p>
      <w:pPr>
        <w:pStyle w:val="ListParagraph"/>
        <w:numPr>
          <w:ilvl w:val="0"/>
          <w:numId w:val="1"/>
        </w:numPr>
        <w:spacing w:after="60"/>
      </w:pPr>
      <w:r>
        <w:rPr>
          <w:b/>
          <w:bCs/>
        </w:rPr>
        <w:t xml:space="preserve">Admin/HR Admin override:</w:t>
      </w:r>
      <w:r>
        <w:t xml:space="preserve"> either role may manually override an auto-generated ID (e.g., correcting a data-entry error before the record is finalized, or onboarding a legacy employee whose ID predates the new system) — but only ever to a value that passes the same uniqueness check as an auto-generated one.</w:t>
      </w:r>
    </w:p>
    <w:p>
      <w:pPr>
        <w:pStyle w:val="ListParagraph"/>
        <w:numPr>
          <w:ilvl w:val="0"/>
          <w:numId w:val="1"/>
        </w:numPr>
        <w:spacing w:after="60"/>
      </w:pPr>
      <w:r>
        <w:rPr>
          <w:b/>
          <w:bCs/>
        </w:rPr>
        <w:t xml:space="preserve">Permanent and non-reassignable:</w:t>
      </w:r>
      <w:r>
        <w:t xml:space="preserve"> once issued, an Employee ID is retired for good — enforced server-side so it can never be reused, even after that employee is terminated or their record is later GDPR-purged (Section A6); the purge process anonymizes the employee's other PII but deliberately preserves the ID's "used" status to block reissue, per SI's explicit requirement that IDs are never reassigned.</w:t>
      </w:r>
    </w:p>
    <w:p>
      <w:pPr>
        <w:pStyle w:val="ListParagraph"/>
        <w:numPr>
          <w:ilvl w:val="0"/>
          <w:numId w:val="1"/>
        </w:numPr>
        <w:spacing w:after="60"/>
      </w:pPr>
      <w:r>
        <w:rPr>
          <w:b/>
          <w:bCs/>
        </w:rPr>
        <w:t xml:space="preserve">Forward-only format changes:</w:t>
      </w:r>
      <w:r>
        <w:t xml:space="preserve"> changing the format template only affects IDs generated after the change; every existing employee keeps their previously assigned ID unchanged, so a format change is never retroactive.</w:t>
      </w:r>
    </w:p>
    <w:p>
      <w:pPr>
        <w:spacing w:after="160"/>
        <w:jc w:val="both"/>
      </w:pPr>
      <w:r>
        <w:rPr>
          <w:b/>
          <w:bCs/>
        </w:rPr>
        <w:t xml:space="preserve">Key features:</w:t>
      </w:r>
    </w:p>
    <w:p>
      <w:pPr>
        <w:pStyle w:val="ListParagraph"/>
        <w:numPr>
          <w:ilvl w:val="0"/>
          <w:numId w:val="1"/>
        </w:numPr>
        <w:spacing w:after="60"/>
      </w:pPr>
      <w:r>
        <w:t xml:space="preserve">Minimal-friction creation (only name required at creation; every other tab is completed over time) followed by a tabbed profile editor.</w:t>
      </w:r>
    </w:p>
    <w:p>
      <w:pPr>
        <w:pStyle w:val="ListParagraph"/>
        <w:numPr>
          <w:ilvl w:val="0"/>
          <w:numId w:val="1"/>
        </w:numPr>
        <w:spacing w:after="60"/>
      </w:pPr>
      <w:r>
        <w:t xml:space="preserve">Employee list with advanced search: combined name/employee-ID search, filters for status, job title, sub-unit (including its subtree), supervisor, and location; a three-way toggle for current/past/both employees; sortable, paginated results; bulk actions with protection against deleting the acting user's own record.</w:t>
      </w:r>
    </w:p>
    <w:p>
      <w:pPr>
        <w:pStyle w:val="ListParagraph"/>
        <w:numPr>
          <w:ilvl w:val="0"/>
          <w:numId w:val="1"/>
        </w:numPr>
        <w:spacing w:after="60"/>
      </w:pPr>
      <w:r>
        <w:t xml:space="preserve">Interactive, multi-root org chart (computed from the reporting-line graph at read time, with cycle protection so a bad edit can never produce an infinite loop).</w:t>
      </w:r>
    </w:p>
    <w:p>
      <w:pPr>
        <w:pStyle w:val="ListParagraph"/>
        <w:numPr>
          <w:ilvl w:val="0"/>
          <w:numId w:val="1"/>
        </w:numPr>
        <w:spacing w:after="60"/>
      </w:pPr>
      <w:r>
        <w:t xml:space="preserve">CSV bulk import with a downloadable sample template.</w:t>
      </w:r>
    </w:p>
    <w:p>
      <w:pPr>
        <w:pStyle w:val="ListParagraph"/>
        <w:numPr>
          <w:ilvl w:val="0"/>
          <w:numId w:val="1"/>
        </w:numPr>
        <w:spacing w:after="60"/>
      </w:pPr>
      <w:r>
        <w:t xml:space="preserve">Self-service "My Info" view exposing the subset of the profile an employee may edit themselves, plus self-service password change.</w:t>
      </w:r>
    </w:p>
    <w:p>
      <w:pPr>
        <w:pStyle w:val="ListParagraph"/>
        <w:numPr>
          <w:ilvl w:val="0"/>
          <w:numId w:val="1"/>
        </w:numPr>
        <w:spacing w:after="60"/>
      </w:pPr>
      <w:r>
        <w:t xml:space="preserve">Ad-hoc and predefined reporting: a configurable report builder (choose display fields, filters, grouping) against employee data, exportable (CSV/PDF) and schedulable for recurring email delivery to a configurable recipient list (which may include non-system-user addresses, e.g., an external payroll contact).</w:t>
      </w:r>
    </w:p>
    <w:p>
      <w:pPr>
        <w:pStyle w:val="ListParagraph"/>
        <w:numPr>
          <w:ilvl w:val="0"/>
          <w:numId w:val="1"/>
        </w:numPr>
        <w:spacing w:after="60"/>
      </w:pPr>
      <w:r>
        <w:t xml:space="preserve">Organization-wide toggle to show/hide optional (non-required) profile fields.</w:t>
      </w:r>
    </w:p>
    <w:p>
      <w:pPr>
        <w:pStyle w:val="Heading3"/>
        <w:spacing w:after="160" w:before="280"/>
      </w:pPr>
      <w:r>
        <w:t xml:space="preserve">B3. Onboarding / Offboarding &amp; Career Development</w:t>
      </w:r>
    </w:p>
    <w:p>
      <w:pPr>
        <w:spacing w:after="160"/>
        <w:jc w:val="both"/>
      </w:pPr>
      <w:r>
        <w:rPr>
          <w:b/>
          <w:bCs/>
        </w:rPr>
        <w:t xml:space="preserve">Overview.</w:t>
      </w:r>
      <w:r>
        <w:t xml:space="preserve"> Structured new-hire and departure checklists, plus ongoing employee development tracking.</w:t>
      </w:r>
    </w:p>
    <w:p>
      <w:pPr>
        <w:spacing w:after="160"/>
        <w:jc w:val="both"/>
      </w:pPr>
      <w:r>
        <w:rPr>
          <w:b/>
          <w:bCs/>
        </w:rPr>
        <w:t xml:space="preserve">Key data:</w:t>
      </w:r>
      <w:r>
        <w:t xml:space="preserve"> Onboarding/Offboarding Templates (reusable, ordered checklists where each item carries an offset in days from the employee's join date or termination date, which may be negative — e.g., "prepare workstation, 2 days before start"); per-employee Onboarding/Offboarding Tasks (generated in bulk from a template, or created ad hoc), each with a due date, status, and completion date; Development Plans (goal, target skill/role, target date, status); Training records (title, provider, category, dates, duration, status, optionally linked to a Performance goal) with certificate uploads; edit/delete eligibility on training records computed per record (the owning employee; HR/Admin always; a supervisor only for their own still-planned entries).</w:t>
      </w:r>
    </w:p>
    <w:p>
      <w:pPr>
        <w:spacing w:after="160"/>
        <w:jc w:val="both"/>
      </w:pPr>
      <w:r>
        <w:rPr>
          <w:b/>
          <w:bCs/>
        </w:rPr>
        <w:t xml:space="preserve">Key features:</w:t>
      </w:r>
      <w:r>
        <w:t xml:space="preserve"> template management (build once, reuse for every new hire/departure); "apply template" bulk task generation with computed due dates; per-employee task checklist view with status tracking; career-development goal tracking; training log with certificate attachment and role-sensitive edit permissions surfaced to the UI without a second round-trip.</w:t>
      </w:r>
    </w:p>
    <w:p>
      <w:pPr>
        <w:pStyle w:val="ListParagraph"/>
        <w:numPr>
          <w:ilvl w:val="0"/>
          <w:numId w:val="1"/>
        </w:numPr>
        <w:spacing w:after="60"/>
      </w:pPr>
      <w:r>
        <w:rPr>
          <w:b/>
          <w:bCs/>
        </w:rPr>
        <w:t xml:space="preserve">Offboarding hard block on outstanding assets/vehicles (new this iteration):</w:t>
      </w:r>
      <w:r>
        <w:t xml:space="preserve"> an offboarding record cannot be marked complete while Asset Management (Section E2) or Vehicle Fleet Management (Section E3) still shows any asset or vehicle assigned to that employee. The offboarding checklist surfaces the outstanding items directly (with a link to the reassignment/return action in the relevant module) rather than just failing a final submit with no explanation; this is a hard block, not an advisory checklist item, per SI's decision.</w:t>
      </w:r>
    </w:p>
    <w:p>
      <w:r>
        <w:br w:type="page"/>
      </w:r>
    </w:p>
    <w:p>
      <w:pPr>
        <w:pStyle w:val="Heading2"/>
        <w:spacing w:after="160" w:before="280"/>
      </w:pPr>
      <w:r>
        <w:t xml:space="preserve">Domain C — Core HR Operations</w:t>
      </w:r>
    </w:p>
    <w:p>
      <w:pPr>
        <w:spacing w:after="160"/>
        <w:jc w:val="both"/>
      </w:pPr>
      <w:r>
        <w:t xml:space="preserve">All three modules in this domain share the generic workflow engine from Section 3.2.</w:t>
      </w:r>
    </w:p>
    <w:p>
      <w:pPr>
        <w:pStyle w:val="Heading3"/>
        <w:spacing w:after="160" w:before="280"/>
      </w:pPr>
      <w:r>
        <w:t xml:space="preserve">C1. Leave Management</w:t>
      </w:r>
    </w:p>
    <w:p>
      <w:pPr>
        <w:spacing w:after="160"/>
        <w:jc w:val="both"/>
      </w:pPr>
      <w:r>
        <w:rPr>
          <w:b/>
          <w:bCs/>
        </w:rPr>
        <w:t xml:space="preserve">Overview.</w:t>
      </w:r>
      <w:r>
        <w:t xml:space="preserve"> Leave type configuration, entitlement (allocation) tracking, a holiday calendar, employee leave requests with two-stage sequential approval (Line Manager, then HR), on-the-fly leave-balance calculation, and — new in this iteration — an automatic </w:t>
      </w:r>
      <w:r>
        <w:rPr>
          <w:b/>
          <w:bCs/>
        </w:rPr>
        <w:t xml:space="preserve">Accrual &amp; Carry-Over Engine</w:t>
      </w:r>
      <w:r>
        <w:t xml:space="preserve"> implementing SI's specific policy: the leave year runs the calendar year (January–December); new recruits are not entitled to leave until they have completed one year of service; and unused </w:t>
      </w:r>
      <w:r>
        <w:rPr>
          <w:b/>
          <w:bCs/>
        </w:rPr>
        <w:t xml:space="preserve">Annual Leave only</w:t>
      </w:r>
      <w:r>
        <w:t xml:space="preserve"> carries over into Q1 of the following year, where it expires if unused.</w:t>
      </w:r>
    </w:p>
    <w:p>
      <w:pPr>
        <w:spacing w:after="160"/>
        <w:jc w:val="both"/>
      </w:pPr>
      <w:r>
        <w:rPr>
          <w:b/>
          <w:bCs/>
        </w:rPr>
        <w:t xml:space="preserve">Key data:</w:t>
      </w:r>
      <w:r>
        <w:t xml:space="preserve"> Leave Types (configurable, with an "exclude from reports if unentitled" flag for situational leave types, plus two new fields — `minimumTenureMonths`, default 0, and `carriesOverAtYearEnd`, a boolean, both described below); Leave Entitlements — discrete allocation batches per employee/type with an effective date range and a `batchType` (Standard Grant / New-Hire Prorated / Carried Over), allowing multiple batches to be active at once; a Leave Request header with one child record per calendar day in the requested range (so weekends/holidays inside a range get their own inert status and are excluded from both approval and entitlement consumption); an entitlement-consumption ledger recording exactly which entitlement batch(es) paid for which leave day (supporting split consumption across batches); Holidays (with recurring-annual support and full/half-day length); a configurable Work Week pattern (each weekday marked full/half/non-working); Leave Period configuration (fixed to the calendar year per SI policy) with a history of past configurations so a future change doesn't retroactively alter already-closed periods; comments at both the request level and the individual-day level.</w:t>
      </w:r>
    </w:p>
    <w:p>
      <w:pPr>
        <w:spacing w:after="160"/>
        <w:jc w:val="both"/>
      </w:pPr>
      <w:r>
        <w:rPr>
          <w:b/>
          <w:bCs/>
        </w:rPr>
        <w:t xml:space="preserve">Key features &amp; business rules (carried over from the reference model):</w:t>
      </w:r>
    </w:p>
    <w:p>
      <w:pPr>
        <w:pStyle w:val="ListParagraph"/>
        <w:numPr>
          <w:ilvl w:val="0"/>
          <w:numId w:val="1"/>
        </w:numPr>
        <w:spacing w:after="60"/>
      </w:pPr>
      <w:r>
        <w:rPr>
          <w:b/>
          <w:bCs/>
        </w:rPr>
        <w:t xml:space="preserve">Two entry paths:</w:t>
      </w:r>
      <w:r>
        <w:t xml:space="preserve"> self-service "Apply" (always requires approval) vs. admin/supervisor "Assign" (books leave directly, bypassing approval, optionally bypassing the balance check).</w:t>
      </w:r>
    </w:p>
    <w:p>
      <w:pPr>
        <w:pStyle w:val="ListParagraph"/>
        <w:numPr>
          <w:ilvl w:val="0"/>
          <w:numId w:val="1"/>
        </w:numPr>
        <w:spacing w:after="60"/>
      </w:pPr>
      <w:r>
        <w:rPr>
          <w:b/>
          <w:bCs/>
        </w:rPr>
        <w:t>Two-stage sequential approval</w:t>
      </w:r>
      <w:r>
        <w:t>: the employee's Line Manager (direct supervisor) acts first, then HR gives final approval — either stage may reject, ending the request; an Admin may act in HR's place at the second stage.</w:t>
      </w:r>
    </w:p>
    <w:p>
      <w:pPr>
        <w:pStyle w:val="ListParagraph"/>
        <w:numPr>
          <w:ilvl w:val="0"/>
          <w:numId w:val="1"/>
        </w:numPr>
        <w:spacing w:after="60"/>
      </w:pPr>
      <w:r>
        <w:rPr>
          <w:b/>
          <w:bCs/>
        </w:rPr>
        <w:t xml:space="preserve">Half-day and partial-day support:</w:t>
      </w:r>
      <w:r>
        <w:t xml:space="preserve"> duration options of full day, half-day AM/PM, or a specific time range, independently selectable for the first/last/all days of a multi-day request.</w:t>
      </w:r>
    </w:p>
    <w:p>
      <w:pPr>
        <w:pStyle w:val="ListParagraph"/>
        <w:numPr>
          <w:ilvl w:val="0"/>
          <w:numId w:val="1"/>
        </w:numPr>
        <w:spacing w:after="60"/>
      </w:pPr>
      <w:r>
        <w:rPr>
          <w:b/>
          <w:bCs/>
        </w:rPr>
        <w:t xml:space="preserve">Leave balance is always computed on demand</w:t>
      </w:r>
      <w:r>
        <w:t xml:space="preserve"> as entitled minus (scheduled + taken [+ pending, if configured to count against balance]) — never a cached running total, to avoid drift.</w:t>
      </w:r>
    </w:p>
    <w:p>
      <w:pPr>
        <w:pStyle w:val="ListParagraph"/>
        <w:numPr>
          <w:ilvl w:val="0"/>
          <w:numId w:val="1"/>
        </w:numPr>
        <w:spacing w:after="60"/>
      </w:pPr>
      <w:r>
        <w:rPr>
          <w:b/>
          <w:bCs/>
        </w:rPr>
        <w:t xml:space="preserve">Double-checked balance enforcement:</w:t>
      </w:r>
      <w:r>
        <w:t xml:space="preserve"> validated once before the transaction and again under a row lock at save time, to prevent a race condition from over-allocating a shared entitlement batch.</w:t>
      </w:r>
    </w:p>
    <w:p>
      <w:pPr>
        <w:pStyle w:val="ListParagraph"/>
        <w:numPr>
          <w:ilvl w:val="0"/>
          <w:numId w:val="1"/>
        </w:numPr>
        <w:spacing w:after="60"/>
      </w:pPr>
      <w:r>
        <w:rPr>
          <w:b/>
          <w:bCs/>
        </w:rPr>
        <w:t xml:space="preserve">Overlap prevention:</w:t>
      </w:r>
      <w:r>
        <w:t xml:space="preserve"> no employee may have two overlapping leave periods; a separate check blocks requesting more leave hours on a single day than that day's configured work-shift length.</w:t>
      </w:r>
    </w:p>
    <w:p>
      <w:pPr>
        <w:pStyle w:val="ListParagraph"/>
        <w:numPr>
          <w:ilvl w:val="0"/>
          <w:numId w:val="1"/>
        </w:numPr>
        <w:spacing w:after="60"/>
      </w:pPr>
      <w:r>
        <w:rPr>
          <w:b/>
          <w:bCs/>
        </w:rPr>
        <w:t xml:space="preserve">Automatic day-to-day status progression:</w:t>
      </w:r>
      <w:r>
        <w:t xml:space="preserve"> approved leave whose date has passed is automatically marked "taken" without requiring a user action.</w:t>
      </w:r>
    </w:p>
    <w:p>
      <w:pPr>
        <w:pStyle w:val="ListParagraph"/>
        <w:numPr>
          <w:ilvl w:val="0"/>
          <w:numId w:val="1"/>
        </w:numPr>
        <w:spacing w:after="60"/>
      </w:pPr>
      <w:r>
        <w:rPr>
          <w:b/>
          <w:bCs/>
        </w:rPr>
        <w:t xml:space="preserve">Leave-type deletion safety:</w:t>
      </w:r>
      <w:r>
        <w:t xml:space="preserve"> if a leave type is deleted while requests against it are still open, those requests move into a restricted state where the only remaining allowed action is cancellation.</w:t>
      </w:r>
    </w:p>
    <w:p>
      <w:pPr>
        <w:pStyle w:val="ListParagraph"/>
        <w:numPr>
          <w:ilvl w:val="0"/>
          <w:numId w:val="1"/>
        </w:numPr>
        <w:spacing w:after="60"/>
      </w:pPr>
      <w:r>
        <w:t xml:space="preserve">Every status change (apply/approve/reject/cancel/assign) triggers both email and in-app (Section A7) notification.</w:t>
      </w:r>
    </w:p>
    <w:p>
      <w:pPr>
        <w:pStyle w:val="ListParagraph"/>
        <w:numPr>
          <w:ilvl w:val="0"/>
          <w:numId w:val="1"/>
        </w:numPr>
        <w:spacing w:after="60"/>
      </w:pPr>
      <w:r>
        <w:t xml:space="preserve">Reporting: leave balance and usage reports, with a personal "my leave balance" view, plus a new year-end </w:t>
      </w:r>
      <w:r>
        <w:rPr>
          <w:b/>
          <w:bCs/>
        </w:rPr>
        <w:t xml:space="preserve">carryover/forfeiture report</w:t>
      </w:r>
      <w:r>
        <w:t xml:space="preserve"> (below).</w:t>
      </w:r>
    </w:p>
    <w:p>
      <w:pPr>
        <w:spacing w:after="160"/>
        <w:jc w:val="both"/>
      </w:pPr>
      <w:r>
        <w:rPr>
          <w:b/>
          <w:bCs/>
        </w:rPr>
        <w:t xml:space="preserve">New-hire waiting period.</w:t>
      </w:r>
      <w:r>
        <w:t xml:space="preserve"> Each Leave Type carries a `minimumTenureMonths` field (default 0 = available immediately). Annual Leave is configured with `minimumTenureMonths = 12`, so a new employee accrues no Annual Leave entitlement and cannot apply for it until their first work anniversary — "new recruits are not entitled to leave until after 1 year," exactly as stated. </w:t>
      </w:r>
      <w:r>
        <w:rPr>
          <w:b/>
          <w:bCs/>
        </w:rPr>
        <w:t>Confirmed by SI, as an Admin-configurable default:</w:t>
      </w:r>
      <w:r>
        <w:t xml:space="preserve"> the 1-year wait exemption is governed entirely by each Leave Type's own `minimumTenureMonths` field, which Admin can set per type at any time — this is not a hard-coded exception list. Out of the box, only Annual Leave ships with `minimumTenureMonths = 12`; every other Leave Type (sick, maternity/paternity, compassionate/bereavement, and any other statutory or situational type) ships at the field's own default of 0 and remains available from day one. An Admin who later wants a different type gated by tenure, or Annual Leave's own wait shortened or removed, changes that one field — no engine change required.</w:t>
      </w:r>
    </w:p>
    <w:p>
      <w:pPr>
        <w:spacing w:after="160"/>
        <w:jc w:val="both"/>
      </w:pPr>
      <w:r>
        <w:rPr>
          <w:b/>
          <w:bCs/>
        </w:rPr>
        <w:t xml:space="preserve">First-year proration on reaching eligibility.</w:t>
      </w:r>
      <w:r>
        <w:t xml:space="preserve"> Because an employee becomes eligible mid-year (on their hire-date anniversary, not on January 1), the engine grants a </w:t>
      </w:r>
      <w:r>
        <w:rPr>
          <w:b/>
          <w:bCs/>
        </w:rPr>
        <w:t xml:space="preserve">New-Hire Prorated</w:t>
      </w:r>
      <w:r>
        <w:t xml:space="preserve"> entitlement batch rather than the full annual amount, covering only the remaining portion of that calendar year:</w:t>
      </w:r>
    </w:p>
    <w:tbl>
      <w:tblPr>
        <w:tblW w:type="dxa" w:w="10080"/>
        <w:tblBorders>
          <w:top w:val="single" w:color="D9D9D9" w:sz="2"/>
          <w:left w:val="single" w:color="D9D9D9" w:sz="2"/>
          <w:bottom w:val="single" w:color="D9D9D9" w:sz="2"/>
          <w:right w:val="single" w:color="D9D9D9" w:sz="2"/>
          <w:insideH w:val="none"/>
          <w:insideV w:val="none"/>
        </w:tblBorders>
      </w:tblPr>
      <w:tblGrid>
        <w:gridCol w:w="10080"/>
      </w:tblGrid>
      <w:tr>
        <w:tc>
          <w:tcPr>
            <w:tcW w:type="dxa" w:w="10080"/>
            <w:shd w:fill="F2F2F2" w:val="clear"/>
            <w:tcMar>
              <w:top w:type="dxa" w:w="120"/>
              <w:left w:type="dxa" w:w="160"/>
              <w:bottom w:type="dxa" w:w="120"/>
              <w:right w:type="dxa" w:w="160"/>
            </w:tcMar>
          </w:tcPr>
          <w:p>
            <w:r>
              <w:rPr>
                <w:rFonts w:ascii="Consolas" w:cs="Consolas" w:eastAsia="Consolas" w:hAnsi="Consolas"/>
                <w:sz w:val="16"/>
                <w:szCs w:val="16"/>
              </w:rPr>
              <w:t xml:space="preserve">prorated_days = standard_annual_entitlement × (full_calendar_months_remaining_after_eligibility_date / 12)</w:t>
            </w:r>
          </w:p>
          <w:p>
            <w:r>
              <w:rPr>
                <w:rFonts w:ascii="Consolas" w:cs="Consolas" w:eastAsia="Consolas" w:hAnsi="Consolas"/>
                <w:sz w:val="16"/>
                <w:szCs w:val="16"/>
              </w:rPr>
              <w:t xml:space="preserve">                 rounded to the nearest configured rounding unit (default: nearest half-day)</w:t>
            </w:r>
          </w:p>
        </w:tc>
      </w:tr>
    </w:tbl>
    <w:p/>
    <w:p>
      <w:pPr>
        <w:spacing w:after="160"/>
        <w:jc w:val="both"/>
      </w:pPr>
      <w:r>
        <w:t xml:space="preserve">*Worked example:* standard Annual Leave entitlement = 20 days/year; employee hired 15-Mar-2025, reaching 1-year eligibility on 15-Mar-2026. Full calendar months remaining in 2026 after that date (Apr–Dec) = 9 months → `20 × 9/12 = 15.0 days`, granted as a New-Hire Prorated batch effective 15-Mar-2026–31-Dec-2026. From 1-Jan-2027 onward this employee receives the same full Standard Grant as everyone else, run by the ordinary annual grant job.</w:t>
      </w:r>
    </w:p>
    <w:p>
      <w:pPr>
        <w:spacing w:after="160"/>
        <w:jc w:val="both"/>
      </w:pPr>
      <w:r>
        <w:rPr>
          <w:b/>
          <w:bCs/>
        </w:rPr>
        <w:t xml:space="preserve">Year-end carryover job (the accrual/proration engine's second half).</w:t>
      </w:r>
      <w:r>
        <w:t xml:space="preserve"> Run automatically at the close of the leave year (31-Dec, scheduled job per Section 3.5) for every Leave Type flagged `carriesOverAtYearEnd` — Annual Leave only, per SI policy: 1. Compute the employee's unused Annual Leave balance for the closing year (entitled across that year's batches, minus taken/scheduled), excluding any already-expired prior carryover. 2. Create a new </w:t>
      </w:r>
      <w:r>
        <w:rPr>
          <w:b/>
          <w:bCs/>
        </w:rPr>
        <w:t xml:space="preserve">Carried Over</w:t>
      </w:r>
      <w:r>
        <w:t xml:space="preserve"> entitlement batch equal to that unused balance, capped at an Admin-configurable maximum — confirmed by SI at a default of 10 days, changeable by Admin at any time without a code change; any unused balance above the configured cap is forfeited at year-end rather than carried over — effective </w:t>
      </w:r>
      <w:r>
        <w:rPr>
          <w:b/>
          <w:bCs/>
        </w:rPr>
        <w:t xml:space="preserve">1-Jan–31-Mar</w:t>
      </w:r>
      <w:r>
        <w:t xml:space="preserve"> of the new year only. 3. Any portion of a Carried Over batch still unconsumed when 31-Mar passes is automatically </w:t>
      </w:r>
      <w:r>
        <w:rPr>
          <w:b/>
          <w:bCs/>
        </w:rPr>
        <w:t xml:space="preserve">expired/forfeited</w:t>
      </w:r>
      <w:r>
        <w:t xml:space="preserve">, not rolled forward again — "the prorated leave, if unused, expires by the end of Q1," exactly as stated. 4. The new year's ordinary Standard Grant batch is created in the same job run, effective 1-Jan–31-Dec, so an employee starting the new year can see both batches (carryover + new grant) at once. 5. Every carryover and forfeiture event is logged and surfaced in the carryover/forfeiture report above, and triggers an in-app + email notice to the employee ("You have N days of carried-over leave expiring 31-Mar").</w:t>
      </w:r>
    </w:p>
    <w:p>
      <w:pPr>
        <w:spacing w:after="160"/>
        <w:jc w:val="both"/>
      </w:pPr>
      <w:r>
        <w:rPr>
          <w:b/>
          <w:bCs/>
        </w:rPr>
        <w:t xml:space="preserve">FIFO consumption with expiry-aware tie-break.</w:t>
      </w:r>
      <w:r>
        <w:t xml:space="preserve"> The existing FIFO rule (oldest batch consumed first) is refined so that, when a Carried Over batch and the new year's Standard Grant are both open at once, the </w:t>
      </w:r>
      <w:r>
        <w:rPr>
          <w:b/>
          <w:bCs/>
        </w:rPr>
        <w:t xml:space="preserve">nearer-expiry batch is always drawn down first regardless of creation order</w:t>
      </w:r>
      <w:r>
        <w:t xml:space="preserve"> — otherwise a FIFO-only rule could leave the Q1-expiring carryover balance stranded while later leave draws against the full-year grant instead. Consumption is still recorded per-batch in the ledger, and cancelling/rejecting leave reverses consumption and re-matches exactly as in the base model.</w:t>
      </w:r>
    </w:p>
    <w:p>
      <w:pPr>
        <w:pStyle w:val="Heading3"/>
        <w:spacing w:after="160" w:before="280"/>
      </w:pPr>
      <w:r>
        <w:t xml:space="preserve">C2. Time &amp; Project Tracking</w:t>
      </w:r>
    </w:p>
    <w:p>
      <w:pPr>
        <w:spacing w:after="160"/>
        <w:jc w:val="both"/>
      </w:pPr>
      <w:r>
        <w:rPr>
          <w:b/>
          <w:bCs/>
        </w:rPr>
        <w:t xml:space="preserve">Overview.</w:t>
      </w:r>
      <w:r>
        <w:t xml:space="preserve"> Weekly timesheets logged against a Customer → Project → Project Activity hierarchy, with submission/approval workflow and per-project access control.</w:t>
      </w:r>
    </w:p>
    <w:p>
      <w:pPr>
        <w:spacing w:after="160"/>
        <w:jc w:val="both"/>
      </w:pPr>
      <w:r>
        <w:rPr>
          <w:b/>
          <w:bCs/>
        </w:rPr>
        <w:t xml:space="preserve">Key data:</w:t>
      </w:r>
      <w:r>
        <w:t xml:space="preserve"> Customers; Projects (belonging to a customer); Project Activities (belonging to a project); Project Administrators (which employees may log time against / administer a given project); a weekly Timesheet header per employee per period; Timesheet line items (one row per project/activity, with a duration figure per day, recorded at a granularity supporting HH:MM entry); a Timesheet action log recording every workflow action taken.</w:t>
      </w:r>
    </w:p>
    <w:p>
      <w:pPr>
        <w:spacing w:after="160"/>
        <w:jc w:val="both"/>
      </w:pPr>
      <w:r>
        <w:rPr>
          <w:b/>
          <w:bCs/>
        </w:rPr>
        <w:t xml:space="preserve">Key features &amp; business rules:</w:t>
      </w:r>
    </w:p>
    <w:p>
      <w:pPr>
        <w:pStyle w:val="ListParagraph"/>
        <w:numPr>
          <w:ilvl w:val="0"/>
          <w:numId w:val="1"/>
        </w:numPr>
        <w:spacing w:after="60"/>
      </w:pPr>
      <w:r>
        <w:t xml:space="preserve">One timesheet per employee per configured weekly period, auto-resolved from any date.</w:t>
      </w:r>
    </w:p>
    <w:p>
      <w:pPr>
        <w:pStyle w:val="ListParagraph"/>
        <w:numPr>
          <w:ilvl w:val="0"/>
          <w:numId w:val="1"/>
        </w:numPr>
        <w:spacing w:after="60"/>
      </w:pPr>
      <w:r>
        <w:t xml:space="preserve">Row-level workflow: </w:t>
      </w:r>
      <w:r>
        <w:rPr>
          <w:b/>
          <w:bCs/>
        </w:rPr>
        <w:t xml:space="preserve">Not Submitted → Submitted → Approved</w:t>
      </w:r>
      <w:r>
        <w:t xml:space="preserve">, with </w:t>
      </w:r>
      <w:r>
        <w:rPr>
          <w:b/>
          <w:bCs/>
        </w:rPr>
        <w:t xml:space="preserve">Rejected</w:t>
      </w:r>
      <w:r>
        <w:t xml:space="preserve"> supporting resubmission (unlike Leave) by the employee, supervisor, or admin; only an administrator may reset an approved timesheet back to submitted (undo an approval).</w:t>
      </w:r>
    </w:p>
    <w:p>
      <w:pPr>
        <w:pStyle w:val="ListParagraph"/>
        <w:numPr>
          <w:ilvl w:val="0"/>
          <w:numId w:val="1"/>
        </w:numPr>
        <w:spacing w:after="60"/>
      </w:pPr>
      <w:r>
        <w:t xml:space="preserve">Duplicate-row prevention (same project+activity can't appear twice on one timesheet — existing rows are updated in place) and referential validation that a logged activity actually belongs to its declared project.</w:t>
      </w:r>
    </w:p>
    <w:p>
      <w:pPr>
        <w:pStyle w:val="ListParagraph"/>
        <w:numPr>
          <w:ilvl w:val="0"/>
          <w:numId w:val="1"/>
        </w:numPr>
        <w:spacing w:after="60"/>
      </w:pPr>
      <w:r>
        <w:t xml:space="preserve">Configurable time-display format; ability to copy a full activity list from one project to another when setting up a similar project.</w:t>
      </w:r>
    </w:p>
    <w:p>
      <w:pPr>
        <w:pStyle w:val="ListParagraph"/>
        <w:numPr>
          <w:ilvl w:val="0"/>
          <w:numId w:val="1"/>
        </w:numPr>
        <w:spacing w:after="60"/>
      </w:pPr>
      <w:r>
        <w:t xml:space="preserve">Approval queues for supervisors/admins across their accessible employees; full action-log audit trail per timesheet.</w:t>
      </w:r>
    </w:p>
    <w:p>
      <w:pPr>
        <w:pStyle w:val="ListParagraph"/>
        <w:numPr>
          <w:ilvl w:val="0"/>
          <w:numId w:val="1"/>
        </w:numPr>
        <w:spacing w:after="60"/>
      </w:pPr>
      <w:r>
        <w:t xml:space="preserve">Reporting: time-by-project/activity/employee reports.</w:t>
      </w:r>
    </w:p>
    <w:p>
      <w:pPr>
        <w:pStyle w:val="Heading3"/>
        <w:spacing w:after="160" w:before="280"/>
      </w:pPr>
      <w:r>
        <w:t xml:space="preserve">C3. Attendance (Time Clock)</w:t>
      </w:r>
    </w:p>
    <w:p>
      <w:pPr>
        <w:spacing w:after="160"/>
        <w:jc w:val="both"/>
      </w:pPr>
      <w:r>
        <w:rPr>
          <w:b/>
          <w:bCs/>
        </w:rPr>
        <w:t xml:space="preserve">Overview.</w:t>
      </w:r>
      <w:r>
        <w:t xml:space="preserve"> Simple punch in/out time tracking with configurable self-service and supervisor-proxy permissions.</w:t>
      </w:r>
    </w:p>
    <w:p>
      <w:pPr>
        <w:spacing w:after="160"/>
        <w:jc w:val="both"/>
      </w:pPr>
      <w:r>
        <w:rPr>
          <w:b/>
          <w:bCs/>
        </w:rPr>
        <w:t xml:space="preserve">Key data:</w:t>
      </w:r>
      <w:r>
        <w:t xml:space="preserve"> Attendance records — punch-in and punch-out timestamps captured both in UTC and the client's local time plus an explicit client-declared timezone (no IP-address or GPS geolocation capture in the reference system — that would be new scope, not a port).</w:t>
      </w:r>
    </w:p>
    <w:p>
      <w:pPr>
        <w:spacing w:after="160"/>
        <w:jc w:val="both"/>
      </w:pPr>
      <w:r>
        <w:rPr>
          <w:b/>
          <w:bCs/>
        </w:rPr>
        <w:t xml:space="preserve">Key features &amp; business rules:</w:t>
      </w:r>
    </w:p>
    <w:p>
      <w:pPr>
        <w:pStyle w:val="ListParagraph"/>
        <w:numPr>
          <w:ilvl w:val="0"/>
          <w:numId w:val="1"/>
        </w:numPr>
        <w:spacing w:after="60"/>
      </w:pPr>
      <w:r>
        <w:t xml:space="preserve">An employee may only punch in when not already punched in, and only punch out when currently punched in; concurrent punch attempts are protected against race conditions with a row lock.</w:t>
      </w:r>
    </w:p>
    <w:p>
      <w:pPr>
        <w:pStyle w:val="ListParagraph"/>
        <w:numPr>
          <w:ilvl w:val="0"/>
          <w:numId w:val="1"/>
        </w:numPr>
        <w:spacing w:after="60"/>
      </w:pPr>
      <w:r>
        <w:t xml:space="preserve">Three independently toggleable, admin-configurable permissions: whether an employee may back-date/adjust the time of a punch they are about to record; whether an employee may edit or delete their own past punch records; whether a supervisor may edit/delete a subordinate's records or "proxy punch" in/out on their behalf. By default (all toggles off) only an administrator has edit/delete/proxy rights.</w:t>
      </w:r>
    </w:p>
    <w:p>
      <w:pPr>
        <w:pStyle w:val="ListParagraph"/>
        <w:numPr>
          <w:ilvl w:val="0"/>
          <w:numId w:val="1"/>
        </w:numPr>
        <w:spacing w:after="60"/>
      </w:pPr>
      <w:r>
        <w:t xml:space="preserve">No two attendance records for the same employee may have overlapping time ranges, validated on every create and edit.</w:t>
      </w:r>
    </w:p>
    <w:p>
      <w:pPr>
        <w:pStyle w:val="ListParagraph"/>
        <w:numPr>
          <w:ilvl w:val="0"/>
          <w:numId w:val="1"/>
        </w:numPr>
        <w:spacing w:after="60"/>
      </w:pPr>
      <w:r>
        <w:t xml:space="preserve">Attendance summary reporting (cross-employee, date-range).</w:t>
      </w:r>
    </w:p>
    <w:p>
      <w:r>
        <w:br w:type="page"/>
      </w:r>
    </w:p>
    <w:p>
      <w:pPr>
        <w:pStyle w:val="Heading2"/>
        <w:spacing w:after="160" w:before="280"/>
      </w:pPr>
      <w:r>
        <w:t xml:space="preserve">Domain D — Talent Management</w:t>
      </w:r>
    </w:p>
    <w:p>
      <w:pPr>
        <w:pStyle w:val="Heading3"/>
        <w:spacing w:after="160" w:before="280"/>
      </w:pPr>
      <w:r>
        <w:t xml:space="preserve">D1. Recruitment</w:t>
      </w:r>
    </w:p>
    <w:p>
      <w:pPr>
        <w:spacing w:after="160"/>
        <w:jc w:val="both"/>
      </w:pPr>
      <w:r>
        <w:rPr>
          <w:b/>
          <w:bCs/>
        </w:rPr>
        <w:t xml:space="preserve">Overview.</w:t>
      </w:r>
      <w:r>
        <w:t xml:space="preserve"> The hiring pipeline from an optional headcount requisition through vacancy publishing, candidate application, interview scheduling, and hire — including a public-facing job board.</w:t>
      </w:r>
    </w:p>
    <w:p>
      <w:pPr>
        <w:spacing w:after="160"/>
        <w:jc w:val="both"/>
      </w:pPr>
      <w:r>
        <w:rPr>
          <w:b/>
          <w:bCs/>
        </w:rPr>
        <w:t xml:space="preserve">Key data:</w:t>
      </w:r>
      <w:r>
        <w:t xml:space="preserve"> Requisitions (headcount request: position count, justification, requested by, hiring manager, approval decision and comment) — approval automatically creates a Vacancy; Vacancies (title, description, position count, open/closed flag, published-to-public-feed flag, hiring manager, linked requisition, attachments); Candidates (name, contact info, application mode — manual or online, application date, keyword tags, data-retention consent flag, attachments including CV); Candidate-Vacancy applications (the join between a candidate and a vacancy, carrying the pipeline status); Candidate history (a full audit trail of every pipeline action, who performed it, and any linked interview); Interviews (name, date, time, note, one-to-many assigned interviewers, attachments).</w:t>
      </w:r>
    </w:p>
    <w:p>
      <w:pPr>
        <w:spacing w:after="160"/>
        <w:jc w:val="both"/>
      </w:pPr>
      <w:r>
        <w:rPr>
          <w:b/>
          <w:bCs/>
        </w:rPr>
        <w:t xml:space="preserve">Key features &amp; business rules:</w:t>
      </w:r>
    </w:p>
    <w:p>
      <w:pPr>
        <w:pStyle w:val="ListParagraph"/>
        <w:numPr>
          <w:ilvl w:val="0"/>
          <w:numId w:val="1"/>
        </w:numPr>
        <w:spacing w:after="60"/>
      </w:pPr>
      <w:r>
        <w:rPr>
          <w:b/>
          <w:bCs/>
        </w:rPr>
        <w:t xml:space="preserve">Requisition workflow</w:t>
      </w:r>
      <w:r>
        <w:t xml:space="preserve"> (optional pre-vacancy approval gate): Requested → Approved (auto-creates the vacancy) or Rejected, a one-time, one-way decision.</w:t>
      </w:r>
    </w:p>
    <w:p>
      <w:pPr>
        <w:pStyle w:val="ListParagraph"/>
        <w:numPr>
          <w:ilvl w:val="0"/>
          <w:numId w:val="1"/>
        </w:numPr>
        <w:spacing w:after="60"/>
      </w:pPr>
      <w:r>
        <w:rPr>
          <w:b/>
          <w:bCs/>
        </w:rPr>
        <w:t xml:space="preserve">Candidate pipeline workflow:</w:t>
      </w:r>
      <w:r>
        <w:t xml:space="preserve"> Application Initiated → Shortlisted → Interview Scheduled → Interview Passed → Job Offered → Hired, with Interview Failed, Offer Declined, and Rejected as reachable terminal branches from the relevant states. Every transition writes an audit-trail entry.</w:t>
      </w:r>
    </w:p>
    <w:p>
      <w:pPr>
        <w:pStyle w:val="ListParagraph"/>
        <w:numPr>
          <w:ilvl w:val="0"/>
          <w:numId w:val="1"/>
        </w:numPr>
        <w:spacing w:after="60"/>
      </w:pPr>
      <w:r>
        <w:t xml:space="preserve">A maximum of two interview rounds per candidate per vacancy is enforced.</w:t>
      </w:r>
    </w:p>
    <w:p>
      <w:pPr>
        <w:pStyle w:val="ListParagraph"/>
        <w:numPr>
          <w:ilvl w:val="0"/>
          <w:numId w:val="1"/>
        </w:numPr>
        <w:spacing w:after="60"/>
      </w:pPr>
      <w:r>
        <w:t xml:space="preserve">Hiring automatically creates the corresponding Employee record from the candidate's details and the vacancy's job title, which in turn triggers automatic Employee ID assignment per the format template in Section B2.</w:t>
      </w:r>
    </w:p>
    <w:p>
      <w:pPr>
        <w:pStyle w:val="ListParagraph"/>
        <w:numPr>
          <w:ilvl w:val="0"/>
          <w:numId w:val="1"/>
        </w:numPr>
        <w:spacing w:after="60"/>
      </w:pPr>
      <w:r>
        <w:rPr>
          <w:b/>
          <w:bCs/>
        </w:rPr>
        <w:t xml:space="preserve">Offer letter e-signature:</w:t>
      </w:r>
      <w:r>
        <w:t xml:space="preserve"> the job-offer step generates an offer letter that the candidate signs through the E-Signature &amp; Digital Consent Service (Section A8), using the drawn-signature method by default given the higher formality of an employment offer; the signed, hashed evidence record is retained against the candidate/offer and carried onto the resulting Employee record once hired.</w:t>
      </w:r>
    </w:p>
    <w:p>
      <w:pPr>
        <w:pStyle w:val="ListParagraph"/>
        <w:numPr>
          <w:ilvl w:val="0"/>
          <w:numId w:val="1"/>
        </w:numPr>
        <w:spacing w:after="60"/>
      </w:pPr>
      <w:r>
        <w:rPr>
          <w:b/>
          <w:bCs/>
        </w:rPr>
        <w:t xml:space="preserve">Scoped visibility:</w:t>
      </w:r>
      <w:r>
        <w:t xml:space="preserve"> a hiring manager sees and can act only on vacancies/candidates assigned to them; an interviewer sees only candidates/interviews they are invited to; a closed vacancy blocks all further pipeline actions on its candidates.</w:t>
      </w:r>
    </w:p>
    <w:p>
      <w:pPr>
        <w:pStyle w:val="ListParagraph"/>
        <w:numPr>
          <w:ilvl w:val="0"/>
          <w:numId w:val="1"/>
        </w:numPr>
        <w:spacing w:after="60"/>
      </w:pPr>
      <w:r>
        <w:rPr>
          <w:b/>
          <w:bCs/>
        </w:rPr>
        <w:t xml:space="preserve">Public job board:</w:t>
      </w:r>
      <w:r>
        <w:t xml:space="preserve"> unauthenticated listing/detail views and an RSS feed limited to published, open vacancies; a public application form for online applicants.</w:t>
      </w:r>
    </w:p>
    <w:p>
      <w:pPr>
        <w:pStyle w:val="ListParagraph"/>
        <w:numPr>
          <w:ilvl w:val="0"/>
          <w:numId w:val="1"/>
        </w:numPr>
        <w:spacing w:after="60"/>
      </w:pPr>
      <w:r>
        <w:t xml:space="preserve">Attachment support with an allow-listed set of document types (PDF, Word, RTF, ODT, plain text) for CVs, vacancy documents, and interview documents.</w:t>
      </w:r>
    </w:p>
    <w:p>
      <w:pPr>
        <w:pStyle w:val="ListParagraph"/>
        <w:numPr>
          <w:ilvl w:val="0"/>
          <w:numId w:val="1"/>
        </w:numPr>
        <w:spacing w:after="60"/>
      </w:pPr>
      <w:r>
        <w:t xml:space="preserve">Rich candidate search/filtering: name, vacancy, job title, hiring manager, status, keyword, application mode, consent flag, and application date range.</w:t>
      </w:r>
    </w:p>
    <w:p>
      <w:pPr>
        <w:pStyle w:val="Heading3"/>
        <w:spacing w:after="160" w:before="280"/>
      </w:pPr>
      <w:r>
        <w:t xml:space="preserve">D2. Performance Management</w:t>
      </w:r>
    </w:p>
    <w:p>
      <w:pPr>
        <w:spacing w:after="160"/>
        <w:jc w:val="both"/>
      </w:pPr>
      <w:r>
        <w:rPr>
          <w:b/>
          <w:bCs/>
        </w:rPr>
        <w:t xml:space="preserve">Overview.</w:t>
      </w:r>
      <w:r>
        <w:t xml:space="preserve"> Job-title-scoped KPI configuration, a formal cyclical Performance Review process with independent supervisor/self evaluation tracks, an ongoing lighter-weight Performance Tracker, Goal tracking, and 360-degree multi-rater feedback.</w:t>
      </w:r>
    </w:p>
    <w:p>
      <w:pPr>
        <w:spacing w:after="160"/>
        <w:jc w:val="both"/>
      </w:pPr>
      <w:r>
        <w:rPr>
          <w:b/>
          <w:bCs/>
        </w:rPr>
        <w:t xml:space="preserve">Key data:</w:t>
      </w:r>
      <w:r>
        <w:t xml:space="preserve"> KPIs (title, min/max rating scale, whether job-title-specific or a default, soft-deleted rather than hard-deleted once used); Performance Reviews (status, review period, due/completed/activation dates, final comment, final rating on a 0–100 scale) tied to an employee, job title, and sub-unit; Reviewers (one row per reviewer per review, grouped as "Supervisor" or "Employee/Self," each with independent progress status); per-reviewer, per-KPI Ratings (each bounded to that specific KPI's own scale); Performance Trackers (an ongoing achievement log per employee, separate from formal reviews) with dated, positive/negative Log entries and assignable reviewers; Goals (title, description, target/current value, unit, due date, status, optionally linked to a review and to a Training record); 360-Degree Feedback: reusable Templates (ordered questions, each with its own rating scale), Cycles (a template applied to one subject employee, with a due date and a "shared with subject" flag), Participants (invited raters, each tagged by relationship — manager/peer/direct-report/self), and Responses.</w:t>
      </w:r>
    </w:p>
    <w:p>
      <w:pPr>
        <w:spacing w:after="160"/>
        <w:jc w:val="both"/>
      </w:pPr>
      <w:r>
        <w:rPr>
          <w:b/>
          <w:bCs/>
        </w:rPr>
        <w:t xml:space="preserve">Key features &amp; business rules:</w:t>
      </w:r>
    </w:p>
    <w:p>
      <w:pPr>
        <w:pStyle w:val="ListParagraph"/>
        <w:numPr>
          <w:ilvl w:val="0"/>
          <w:numId w:val="1"/>
        </w:numPr>
        <w:spacing w:after="60"/>
      </w:pPr>
      <w:r>
        <w:rPr>
          <w:b/>
          <w:bCs/>
        </w:rPr>
        <w:t xml:space="preserve">Review activation</w:t>
      </w:r>
      <w:r>
        <w:t xml:space="preserve"> requires the employee's job title to have at least one active KPI; activating auto-creates a Supervisor-group reviewer (validated to actually be the employee's supervisor) and a Self-group reviewer, plus a rating stub per applicable KPI for each.</w:t>
      </w:r>
    </w:p>
    <w:p>
      <w:pPr>
        <w:pStyle w:val="ListParagraph"/>
        <w:numPr>
          <w:ilvl w:val="0"/>
          <w:numId w:val="1"/>
        </w:numPr>
        <w:spacing w:after="60"/>
      </w:pPr>
      <w:r>
        <w:rPr>
          <w:b/>
          <w:bCs/>
        </w:rPr>
        <w:t xml:space="preserve">Review lifecycle:</w:t>
      </w:r>
      <w:r>
        <w:t xml:space="preserve"> Inactive → Activated → In Progress → Completed, while the self-evaluation track progresses independently of the supervisor track until final evaluation collapses both.</w:t>
      </w:r>
    </w:p>
    <w:p>
      <w:pPr>
        <w:pStyle w:val="ListParagraph"/>
        <w:numPr>
          <w:ilvl w:val="0"/>
          <w:numId w:val="1"/>
        </w:numPr>
        <w:spacing w:after="60"/>
      </w:pPr>
      <w:r>
        <w:rPr>
          <w:b/>
          <w:bCs/>
        </w:rPr>
        <w:t xml:space="preserve">Final evaluation</w:t>
      </w:r>
      <w:r>
        <w:t xml:space="preserve"> sets the overall 0–100 rating and completion date, and force-completes all reviewer sub-records.</w:t>
      </w:r>
    </w:p>
    <w:p>
      <w:pPr>
        <w:pStyle w:val="ListParagraph"/>
        <w:numPr>
          <w:ilvl w:val="0"/>
          <w:numId w:val="1"/>
        </w:numPr>
        <w:spacing w:after="60"/>
      </w:pPr>
      <w:r>
        <w:rPr>
          <w:b/>
          <w:bCs/>
        </w:rPr>
        <w:t xml:space="preserve">Reviewer sign-off</w:t>
      </w:r>
      <w:r>
        <w:t xml:space="preserve"> is a separate, one-time, immutable, timestamped action, now formalized through the E-Signature &amp; Digital Consent Service (Section A8, click-to-sign method) so it carries the same tamper-evident evidence record as other module acknowledgements rather than a bare "signed" boolean.</w:t>
      </w:r>
    </w:p>
    <w:p>
      <w:pPr>
        <w:pStyle w:val="ListParagraph"/>
        <w:numPr>
          <w:ilvl w:val="0"/>
          <w:numId w:val="1"/>
        </w:numPr>
        <w:spacing w:after="60"/>
      </w:pPr>
      <w:r>
        <w:rPr>
          <w:b/>
          <w:bCs/>
        </w:rPr>
        <w:t xml:space="preserve">360° feedback governance:</w:t>
      </w:r>
      <w:r>
        <w:t xml:space="preserve"> only a subject's manager (or HR/Admin) may initiate a cycle; peer and direct-report responses are pooled into an anonymized per-question average with unattributed comments (rater identity never exposed for those two relationship types), while manager and self responses remain individually attributed; results are visible to HR/Admin and the initiating manager immediately, and to the subject only once explicitly shared.</w:t>
      </w:r>
    </w:p>
    <w:p>
      <w:pPr>
        <w:pStyle w:val="ListParagraph"/>
        <w:numPr>
          <w:ilvl w:val="0"/>
          <w:numId w:val="1"/>
        </w:numPr>
        <w:spacing w:after="60"/>
      </w:pPr>
      <w:r>
        <w:t xml:space="preserve">Reviews/trackers/goals for terminated or GDPR-purged employees are excluded from active lists by default, with an option to include past employees.</w:t>
      </w:r>
    </w:p>
    <w:p>
      <w:pPr>
        <w:pStyle w:val="ListParagraph"/>
        <w:numPr>
          <w:ilvl w:val="0"/>
          <w:numId w:val="1"/>
        </w:numPr>
        <w:spacing w:after="60"/>
      </w:pPr>
      <w:r>
        <w:t xml:space="preserve">Access throughout the module follows the reporting-line graph: supervisors act on/see their own reporting line, employees see only their own records, HR/Admin see everything.</w:t>
      </w:r>
    </w:p>
    <w:p>
      <w:pPr>
        <w:pStyle w:val="Heading3"/>
        <w:spacing w:after="160" w:before="280"/>
      </w:pPr>
      <w:r>
        <w:t xml:space="preserve">D3. Employee Relations / Discipline Case Management</w:t>
      </w:r>
    </w:p>
    <w:p>
      <w:pPr>
        <w:spacing w:after="160"/>
        <w:jc w:val="both"/>
      </w:pPr>
      <w:r>
        <w:rPr>
          <w:b/>
          <w:bCs/>
        </w:rPr>
        <w:t xml:space="preserve">Overview.</w:t>
      </w:r>
      <w:r>
        <w:t xml:space="preserve"> A lightweight disciplinary case-and-response workflow: a supervisor raises a query against a subordinate, the employee responds, and HR resolves it or asks a follow-up question. Extended this iteration with attachment support, a structured outcome taxonomy, e-signature-backed formal warnings, restricted visibility, and a Helpdesk escalation path.</w:t>
      </w:r>
    </w:p>
    <w:p>
      <w:pPr>
        <w:spacing w:after="160"/>
        <w:jc w:val="both"/>
      </w:pPr>
      <w:r>
        <w:rPr>
          <w:b/>
          <w:bCs/>
        </w:rPr>
        <w:t xml:space="preserve">Key data:</w:t>
      </w:r>
      <w:r>
        <w:t xml:space="preserve"> Disciplinary Cases (case type, severity — low/medium/high, description, incident date, status, an </w:t>
      </w:r>
      <w:r>
        <w:rPr>
          <w:b/>
          <w:bCs/>
        </w:rPr>
        <w:t xml:space="preserve">outcome/action-taken</w:t>
      </w:r>
      <w:r>
        <w:t xml:space="preserve"> field — see below — resolution note); a threaded set of Case Responses (each tagged as a direct response or an HR follow-up question); </w:t>
      </w:r>
      <w:r>
        <w:rPr>
          <w:b/>
          <w:bCs/>
        </w:rPr>
        <w:t xml:space="preserve">Case Attachments</w:t>
      </w:r>
      <w:r>
        <w:t xml:space="preserve"> and </w:t>
      </w:r>
      <w:r>
        <w:rPr>
          <w:b/>
          <w:bCs/>
        </w:rPr>
        <w:t xml:space="preserve">Response Attachments</w:t>
      </w:r>
      <w:r>
        <w:t xml:space="preserve"> (supporting documentation — incident evidence, written statements — object storage per Section 3.2, each tied to either the case as a whole or a specific response).</w:t>
      </w:r>
    </w:p>
    <w:p>
      <w:pPr>
        <w:spacing w:after="160"/>
        <w:jc w:val="both"/>
      </w:pPr>
      <w:r>
        <w:rPr>
          <w:b/>
          <w:bCs/>
        </w:rPr>
        <w:t xml:space="preserve">Key features &amp; business rules:</w:t>
      </w:r>
    </w:p>
    <w:p>
      <w:pPr>
        <w:pStyle w:val="ListParagraph"/>
        <w:numPr>
          <w:ilvl w:val="0"/>
          <w:numId w:val="1"/>
        </w:numPr>
        <w:spacing w:after="60"/>
      </w:pPr>
      <w:r>
        <w:rPr>
          <w:b/>
          <w:bCs/>
        </w:rPr>
        <w:t xml:space="preserve">Status lifecycle:</w:t>
      </w:r>
      <w:r>
        <w:t xml:space="preserve"> Open (query raised) → Responded (employee replied) → Resolved (HR closes it), with an HR-only Follow-up action able to re-open a resolved thread for further questioning.</w:t>
      </w:r>
    </w:p>
    <w:p>
      <w:pPr>
        <w:pStyle w:val="ListParagraph"/>
        <w:numPr>
          <w:ilvl w:val="0"/>
          <w:numId w:val="1"/>
        </w:numPr>
        <w:spacing w:after="60"/>
      </w:pPr>
      <w:r>
        <w:rPr>
          <w:b/>
          <w:bCs/>
        </w:rPr>
        <w:t xml:space="preserve">Strict ownership scoping:</w:t>
      </w:r>
      <w:r>
        <w:t xml:space="preserve"> a supervisor may raise a case only against their own reporting-line subordinates and may only edit it while still open and self-raised; only HR Admin and above may progress a case beyond the initial response, or post a follow-up; a plain employee sees only cases about themselves, never a client-supplied filter overriding that.</w:t>
      </w:r>
    </w:p>
    <w:p>
      <w:pPr>
        <w:pStyle w:val="ListParagraph"/>
        <w:numPr>
          <w:ilvl w:val="0"/>
          <w:numId w:val="1"/>
        </w:numPr>
        <w:spacing w:after="60"/>
      </w:pPr>
      <w:r>
        <w:rPr>
          <w:b/>
          <w:bCs/>
        </w:rPr>
        <w:t xml:space="preserve">Visibility restricted to HR Admin and above (definitive, per SI's decision):</w:t>
      </w:r>
      <w:r>
        <w:t xml:space="preserve"> disciplinary case content is treated as sensitive, the same tier as compensation data — </w:t>
      </w:r>
      <w:r>
        <w:rPr>
          <w:b/>
          <w:bCs/>
        </w:rPr>
        <w:t xml:space="preserve">HR Officer has no access to Discipline case data at all</w:t>
      </w:r>
      <w:r>
        <w:t xml:space="preserve">, consistent with HR Officer's role definition (Section A2) of excluding sensitive employee data.</w:t>
      </w:r>
    </w:p>
    <w:p>
      <w:pPr>
        <w:pStyle w:val="ListParagraph"/>
        <w:numPr>
          <w:ilvl w:val="0"/>
          <w:numId w:val="1"/>
        </w:numPr>
        <w:spacing w:after="60"/>
      </w:pPr>
      <w:r>
        <w:t xml:space="preserve">Per-record edit/response/resolve eligibility should be computed server-side and surfaced to the client (so the UI can hide controls that would otherwise fail authorization), following the same pattern as Performance's reviewer sign-off and PIM's training-record editability.</w:t>
      </w:r>
    </w:p>
    <w:p>
      <w:pPr>
        <w:pStyle w:val="ListParagraph"/>
        <w:numPr>
          <w:ilvl w:val="0"/>
          <w:numId w:val="1"/>
        </w:numPr>
        <w:spacing w:after="60"/>
      </w:pPr>
      <w:r>
        <w:rPr>
          <w:b/>
          <w:bCs/>
        </w:rPr>
        <w:t xml:space="preserve">Attachments (definitive requirement, closing the reference-system gap):</w:t>
      </w:r>
      <w:r>
        <w:t xml:space="preserve"> a supervisor may attach supporting evidence when raising a case; an employee may attach a written statement in their response; HR may attach documents at resolution. Visibility of an attachment follows the same scoping as the case/response it belongs to.</w:t>
      </w:r>
    </w:p>
    <w:p>
      <w:pPr>
        <w:pStyle w:val="ListParagraph"/>
        <w:numPr>
          <w:ilvl w:val="0"/>
          <w:numId w:val="1"/>
        </w:numPr>
        <w:spacing w:after="60"/>
      </w:pPr>
      <w:r>
        <w:rPr>
          <w:b/>
          <w:bCs/>
        </w:rPr>
        <w:t xml:space="preserve">Structured outcome taxonomy:</w:t>
      </w:r>
      <w:r>
        <w:t xml:space="preserve"> resolving a case now requires selecting a formal outcome — No Action, Verbal Warning, Written Warning, Suspension, or Termination Recommendation — rather than only a free-text resolution note, so disciplinary trends and repeat incidents become reportable rather than buried in prose.</w:t>
      </w:r>
    </w:p>
    <w:p>
      <w:pPr>
        <w:pStyle w:val="ListParagraph"/>
        <w:numPr>
          <w:ilvl w:val="0"/>
          <w:numId w:val="1"/>
        </w:numPr>
        <w:spacing w:after="60"/>
      </w:pPr>
      <w:r>
        <w:rPr>
          <w:b/>
          <w:bCs/>
        </w:rPr>
        <w:t xml:space="preserve">E-signature for formal outcomes:</w:t>
      </w:r>
      <w:r>
        <w:t xml:space="preserve"> resolving a case with an outcome of Written Warning or above routes through the E-Signature &amp; Digital Consent Service (Section A8, click-to-sign by default) to capture the employee's signed acknowledgement of the outcome, with a tamper-evident evidence record; Verbal Warning and No Action remain a simple status change with no signature required.</w:t>
      </w:r>
    </w:p>
    <w:p>
      <w:pPr>
        <w:pStyle w:val="ListParagraph"/>
        <w:numPr>
          <w:ilvl w:val="0"/>
          <w:numId w:val="1"/>
        </w:numPr>
        <w:spacing w:after="60"/>
      </w:pPr>
      <w:r>
        <w:rPr>
          <w:b/>
          <w:bCs/>
        </w:rPr>
        <w:t xml:space="preserve">Escalation from Helpdesk:</w:t>
      </w:r>
      <w:r>
        <w:t xml:space="preserve"> an HR Admin handling a confidential Grievance/Whistleblower ticket (Section F4) may escalate it directly into a new Disciplinary Case, carrying over the ticket's description as the case's initial content, when the grievance warrants a formal case rather than ticket-only resolution.</w:t>
      </w:r>
    </w:p>
    <w:p>
      <w:pPr>
        <w:pStyle w:val="ListParagraph"/>
        <w:numPr>
          <w:ilvl w:val="0"/>
          <w:numId w:val="1"/>
        </w:numPr>
        <w:spacing w:after="60"/>
      </w:pPr>
      <w:r>
        <w:t xml:space="preserve">Notifications: query raised → notify employee (HR cc'd); response submitted → notify the issuing supervisor (HR cc'd); follow-up raised → notify employee (supervisor cc'd); resolved → notify both — all delivered through the Notification Center (Section A7), not email alone.</w:t>
      </w:r>
    </w:p>
    <w:p>
      <w:r>
        <w:br w:type="page"/>
      </w:r>
    </w:p>
    <w:p>
      <w:pPr>
        <w:pStyle w:val="Heading2"/>
        <w:spacing w:after="160" w:before="280"/>
      </w:pPr>
      <w:r>
        <w:t xml:space="preserve">Domain E — Operational &amp; Financial Extensions</w:t>
      </w:r>
    </w:p>
    <w:p>
      <w:pPr>
        <w:pStyle w:val="Heading3"/>
        <w:spacing w:after="160" w:before="280"/>
      </w:pPr>
      <w:r>
        <w:t xml:space="preserve">E1. Expense Claims</w:t>
      </w:r>
    </w:p>
    <w:p>
      <w:pPr>
        <w:spacing w:after="160"/>
        <w:jc w:val="both"/>
      </w:pPr>
      <w:r>
        <w:rPr>
          <w:b/>
          <w:bCs/>
        </w:rPr>
        <w:t xml:space="preserve">Overview.</w:t>
      </w:r>
      <w:r>
        <w:t xml:space="preserve"> Employee-submitted expense claims against admin-defined claim events and expense types, with a formal approval-to-payment workflow. Extended this iteration with amount-based approval routing, payment tracking, per-type rate/cap validation, and a Travel Advance &amp; Reconciliation workflow.</w:t>
      </w:r>
    </w:p>
    <w:p>
      <w:pPr>
        <w:spacing w:after="160"/>
        <w:jc w:val="both"/>
      </w:pPr>
      <w:r>
        <w:rPr>
          <w:b/>
          <w:bCs/>
        </w:rPr>
        <w:t xml:space="preserve">Key data:</w:t>
      </w:r>
      <w:r>
        <w:t xml:space="preserve"> Claim Events (an admin-managed master list, e.g., "Business Trip — City X"); Expense Types (an admin-managed master list, each with an optional </w:t>
      </w:r>
      <w:r>
        <w:rPr>
          <w:b/>
          <w:bCs/>
        </w:rPr>
        <w:t xml:space="preserve">default rate or cap</w:t>
      </w:r>
      <w:r>
        <w:t xml:space="preserve">, e.g., a per-mile rate or a per-diem meal cap); Claim Requests (a human-readable, date-based reference number; description; currency; status; created/submitted dates; </w:t>
      </w:r>
      <w:r>
        <w:rPr>
          <w:b/>
          <w:bCs/>
        </w:rPr>
        <w:t xml:space="preserve">Payment Method, Payment Reference, and Paid Date</w:t>
      </w:r>
      <w:r>
        <w:t xml:space="preserve">, populated when a claim is marked Paid) tied to an employee and a claim event; Expense line items (type, date, amount, note) belonging to a claim request; Attachments (receipts/supporting documents) belonging to a claim request; </w:t>
      </w:r>
      <w:r>
        <w:rPr>
          <w:b/>
          <w:bCs/>
        </w:rPr>
        <w:t xml:space="preserve">Travel Advances</w:t>
      </w:r>
      <w:r>
        <w:t xml:space="preserve"> (an advance amount, tied to a claim event, requested ahead of the trip and later linked to the claim(s) it is reconciled against).</w:t>
      </w:r>
    </w:p>
    <w:p>
      <w:pPr>
        <w:spacing w:after="160"/>
        <w:jc w:val="both"/>
      </w:pPr>
      <w:r>
        <w:rPr>
          <w:b/>
          <w:bCs/>
        </w:rPr>
        <w:t xml:space="preserve">Key features &amp; business rules:</w:t>
      </w:r>
    </w:p>
    <w:p>
      <w:pPr>
        <w:pStyle w:val="ListParagraph"/>
        <w:numPr>
          <w:ilvl w:val="0"/>
          <w:numId w:val="1"/>
        </w:numPr>
        <w:spacing w:after="60"/>
      </w:pPr>
      <w:r>
        <w:rPr>
          <w:b/>
          <w:bCs/>
        </w:rPr>
        <w:t xml:space="preserve">Workflow:</w:t>
      </w:r>
      <w:r>
        <w:t xml:space="preserve"> Initiated → Submitted → Approved/Rejected → Paid, with Cancel reachable from multiple states; the specific role- and state-dependent transition table is resolved through the shared workflow engine (Section 3.2), and the caller's currently valid actions should always be returned alongside the record so the UI shows only legal buttons.</w:t>
      </w:r>
    </w:p>
    <w:p>
      <w:pPr>
        <w:pStyle w:val="ListParagraph"/>
        <w:numPr>
          <w:ilvl w:val="0"/>
          <w:numId w:val="1"/>
        </w:numPr>
        <w:spacing w:after="60"/>
      </w:pPr>
      <w:r>
        <w:rPr>
          <w:b/>
          <w:bCs/>
        </w:rPr>
        <w:t xml:space="preserve">Amount-based second approval:</w:t>
      </w:r>
      <w:r>
        <w:t xml:space="preserve"> an Admin-configurable claim-amount threshold (unset by default — single-level approval until an Admin sets one) routes any claim above it through a second, higher-level approver before it can move to Paid, using the same workflow engine rather than special-cased logic.</w:t>
      </w:r>
    </w:p>
    <w:p>
      <w:pPr>
        <w:pStyle w:val="ListParagraph"/>
        <w:numPr>
          <w:ilvl w:val="0"/>
          <w:numId w:val="1"/>
        </w:numPr>
        <w:spacing w:after="60"/>
      </w:pPr>
      <w:r>
        <w:rPr>
          <w:b/>
          <w:bCs/>
        </w:rPr>
        <w:t xml:space="preserve">Editability rule:</w:t>
      </w:r>
      <w:r>
        <w:t xml:space="preserve"> expense line items and attachments may only be added/changed while the claim is still in a pre-submission (draft) state; once submitted, they are locked.</w:t>
      </w:r>
    </w:p>
    <w:p>
      <w:pPr>
        <w:pStyle w:val="ListParagraph"/>
        <w:numPr>
          <w:ilvl w:val="0"/>
          <w:numId w:val="1"/>
        </w:numPr>
        <w:spacing w:after="60"/>
      </w:pPr>
      <w:r>
        <w:rPr>
          <w:b/>
          <w:bCs/>
        </w:rPr>
        <w:t xml:space="preserve">Reference numbering:</w:t>
      </w:r>
      <w:r>
        <w:t xml:space="preserve"> a human-readable, date-prefixed sequential reference number generated at claim creation.</w:t>
      </w:r>
    </w:p>
    <w:p>
      <w:pPr>
        <w:pStyle w:val="ListParagraph"/>
        <w:numPr>
          <w:ilvl w:val="0"/>
          <w:numId w:val="1"/>
        </w:numPr>
        <w:spacing w:after="60"/>
      </w:pPr>
      <w:r>
        <w:t xml:space="preserve">Claim Events and Expense Types cannot have their name changed once referenced by an existing claim/expense (other fields such as description or active status remain editable), and only active master values may be selected on a new claim.</w:t>
      </w:r>
    </w:p>
    <w:p>
      <w:pPr>
        <w:pStyle w:val="ListParagraph"/>
        <w:numPr>
          <w:ilvl w:val="0"/>
          <w:numId w:val="1"/>
        </w:numPr>
        <w:spacing w:after="60"/>
      </w:pPr>
      <w:r>
        <w:rPr>
          <w:b/>
          <w:bCs/>
        </w:rPr>
        <w:t xml:space="preserve">Per-type rate/cap validation:</w:t>
      </w:r>
      <w:r>
        <w:t xml:space="preserve"> if an Expense Type has a default rate or cap configured, a line item of that type is validated against it at entry (flagged, not necessarily hard-blocked, so a legitimate exception can still be submitted with justification).</w:t>
      </w:r>
    </w:p>
    <w:p>
      <w:pPr>
        <w:pStyle w:val="ListParagraph"/>
        <w:numPr>
          <w:ilvl w:val="0"/>
          <w:numId w:val="1"/>
        </w:numPr>
        <w:spacing w:after="60"/>
      </w:pPr>
      <w:r>
        <w:t xml:space="preserve">Self-service "My Claims" and an HR/Admin "assign claim to an employee" path share the same underlying logic, differing only in whose employee number is used.</w:t>
      </w:r>
    </w:p>
    <w:p>
      <w:pPr>
        <w:pStyle w:val="ListParagraph"/>
        <w:numPr>
          <w:ilvl w:val="0"/>
          <w:numId w:val="1"/>
        </w:numPr>
        <w:spacing w:after="60"/>
      </w:pPr>
      <w:r>
        <w:t xml:space="preserve">List filtering by reference number, status, event, employee, and submission-date range, including an option to include claims of terminated employees.</w:t>
      </w:r>
    </w:p>
    <w:p>
      <w:pPr>
        <w:pStyle w:val="ListParagraph"/>
        <w:numPr>
          <w:ilvl w:val="0"/>
          <w:numId w:val="1"/>
        </w:numPr>
        <w:spacing w:after="60"/>
      </w:pPr>
      <w:r>
        <w:t xml:space="preserve">A row lock protects concurrent edits to the same claim during a status transition or line-item change.</w:t>
      </w:r>
    </w:p>
    <w:p>
      <w:pPr>
        <w:pStyle w:val="ListParagraph"/>
        <w:numPr>
          <w:ilvl w:val="0"/>
          <w:numId w:val="1"/>
        </w:numPr>
        <w:spacing w:after="60"/>
      </w:pPr>
      <w:r>
        <w:rPr>
          <w:b/>
          <w:bCs/>
        </w:rPr>
        <w:t xml:space="preserve">Payment tracking:</w:t>
      </w:r>
      <w:r>
        <w:t xml:space="preserve"> marking a claim Paid requires a Payment Method and Payment Reference, recorded alongside the Paid Date — closing the reference-system gap where "Paid" was a bare status with no evidence behind it. Actual payment execution remains outside this system's scope (Section 5/6), consistent with the payroll-integration decision elsewhere in this document.</w:t>
      </w:r>
    </w:p>
    <w:p>
      <w:pPr>
        <w:pStyle w:val="ListParagraph"/>
        <w:numPr>
          <w:ilvl w:val="0"/>
          <w:numId w:val="1"/>
        </w:numPr>
        <w:spacing w:after="60"/>
      </w:pPr>
      <w:r>
        <w:rPr>
          <w:b/>
          <w:bCs/>
        </w:rPr>
        <w:t xml:space="preserve">Notification Center wiring (closing a gap versus other modules):</w:t>
      </w:r>
      <w:r>
        <w:t xml:space="preserve"> every status change (submitted, approved, rejected, paid) now fires a Notification Center (Section A7) event to the relevant party, matching the pattern already used by Leave, Discipline, and every other workflow-driven module.</w:t>
      </w:r>
    </w:p>
    <w:p>
      <w:pPr>
        <w:spacing w:after="160"/>
        <w:jc w:val="both"/>
      </w:pPr>
      <w:r>
        <w:rPr>
          <w:b/>
          <w:bCs/>
        </w:rPr>
        <w:t xml:space="preserve">Travel Advance &amp; Reconciliation (new this iteration).</w:t>
      </w:r>
    </w:p>
    <w:p>
      <w:pPr>
        <w:pStyle w:val="ListParagraph"/>
        <w:numPr>
          <w:ilvl w:val="0"/>
          <w:numId w:val="1"/>
        </w:numPr>
        <w:spacing w:after="60"/>
      </w:pPr>
      <w:r>
        <w:t xml:space="preserve">An employee (or HR/Admin on their behalf) may request a Travel Advance against a Claim Event before the trip, following its own lightweight approval (via the workflow engine) independent of any specific claim, since the claim(s) it will be reconciled against don't exist yet.</w:t>
      </w:r>
    </w:p>
    <w:p>
      <w:pPr>
        <w:pStyle w:val="ListParagraph"/>
        <w:numPr>
          <w:ilvl w:val="0"/>
          <w:numId w:val="1"/>
        </w:numPr>
        <w:spacing w:after="60"/>
      </w:pPr>
      <w:r>
        <w:t xml:space="preserve">Once approved and paid out (same Payment Method/Reference/Paid Date fields as a claim), the advance is linked to the Claim Event it was raised for.</w:t>
      </w:r>
    </w:p>
    <w:p>
      <w:pPr>
        <w:pStyle w:val="ListParagraph"/>
        <w:numPr>
          <w:ilvl w:val="0"/>
          <w:numId w:val="1"/>
        </w:numPr>
        <w:spacing w:after="60"/>
      </w:pPr>
      <w:r>
        <w:t xml:space="preserve">Expense claims subsequently submitted against that same event display the outstanding advance balance, and on approval the claim's total is automatically reconciled against it — the claim record shows the variance (amount owed to the employee, or owed back by the employee) rather than leaving that calculation to a spreadsheet outside the system.</w:t>
      </w:r>
    </w:p>
    <w:p>
      <w:pPr>
        <w:pStyle w:val="ListParagraph"/>
        <w:numPr>
          <w:ilvl w:val="0"/>
          <w:numId w:val="1"/>
        </w:numPr>
        <w:spacing w:after="60"/>
      </w:pPr>
      <w:r>
        <w:t xml:space="preserve">An advance with no reconciling claim submitted within a configurable window (Admin-set, e.g., 30 days after the claim event's end) surfaces on an "Unreconciled Advances" report for HR/Admin follow-up.</w:t>
      </w:r>
    </w:p>
    <w:p>
      <w:pPr>
        <w:pStyle w:val="Heading3"/>
        <w:spacing w:after="160" w:before="280"/>
      </w:pPr>
      <w:r>
        <w:t xml:space="preserve">E2. Asset Management</w:t>
      </w:r>
    </w:p>
    <w:p>
      <w:pPr>
        <w:spacing w:after="160"/>
        <w:jc w:val="both"/>
      </w:pPr>
      <w:r>
        <w:rPr>
          <w:b/>
          <w:bCs/>
        </w:rPr>
        <w:t xml:space="preserve">Overview.</w:t>
      </w:r>
      <w:r>
        <w:t xml:space="preserve"> A company asset inventory register with categorization and current-assignment tracking. Per SI's explicit requirement, self-service visibility is scoped to "assets assigned to me" only. Extended this iteration with warranty/service-contract tracking, a maintenance/repair log, admin-definable custom fields (matching Vehicle), and an offboarding return check.</w:t>
      </w:r>
    </w:p>
    <w:p>
      <w:pPr>
        <w:spacing w:after="160"/>
        <w:jc w:val="both"/>
      </w:pPr>
      <w:r>
        <w:rPr>
          <w:b/>
          <w:bCs/>
        </w:rPr>
        <w:t xml:space="preserve">Key data:</w:t>
      </w:r>
      <w:r>
        <w:t xml:space="preserve"> Asset Categories; Assets (unique tag, name, category, serial number, purchase date/cost, status, current assignee, assignment date, notes); Asset Assignment History (a fully gapless log of every employee who has held the asset and when — see below); Asset Custom Fields (admin-defined label/type/order, applied to every asset) and their per-asset values — new this iteration, matching Vehicle's existing custom-field pattern; </w:t>
      </w:r>
      <w:r>
        <w:rPr>
          <w:b/>
          <w:bCs/>
        </w:rPr>
        <w:t xml:space="preserve">Asset Warranties/Service Contracts</w:t>
      </w:r>
      <w:r>
        <w:t xml:space="preserve"> (provider, contract/reference number, issue/expiry dates, notes — registered against the shared Renewal &amp; Compliance Reminder Engine, Section 3.2); </w:t>
      </w:r>
      <w:r>
        <w:rPr>
          <w:b/>
          <w:bCs/>
        </w:rPr>
        <w:t xml:space="preserve">Asset Maintenance/Repair Log</w:t>
      </w:r>
      <w:r>
        <w:t xml:space="preserve"> (date, description, cost, vendor — a history of events behind the "In Repair" status, rather than that status standing alone with nothing behind it).</w:t>
      </w:r>
    </w:p>
    <w:p>
      <w:pPr>
        <w:spacing w:after="160"/>
        <w:jc w:val="both"/>
      </w:pPr>
      <w:r>
        <w:rPr>
          <w:b/>
          <w:bCs/>
        </w:rPr>
        <w:t xml:space="preserve">Key features &amp; business rules:</w:t>
      </w:r>
    </w:p>
    <w:p>
      <w:pPr>
        <w:pStyle w:val="ListParagraph"/>
        <w:numPr>
          <w:ilvl w:val="0"/>
          <w:numId w:val="1"/>
        </w:numPr>
        <w:spacing w:after="60"/>
      </w:pPr>
      <w:r>
        <w:t xml:space="preserve">Status values: Available, Assigned, In Repair, Retired.</w:t>
      </w:r>
    </w:p>
    <w:p>
      <w:pPr>
        <w:pStyle w:val="ListParagraph"/>
        <w:numPr>
          <w:ilvl w:val="0"/>
          <w:numId w:val="1"/>
        </w:numPr>
        <w:spacing w:after="60"/>
      </w:pPr>
      <w:r>
        <w:rPr>
          <w:b/>
          <w:bCs/>
        </w:rPr>
        <w:t xml:space="preserve">Assignment history, and status/assignee consistency, are now definitive requirements, not merely recommendations:</w:t>
      </w:r>
      <w:r>
        <w:t xml:space="preserve"> the reference implementation tracked only a *current* assignee with no history table and no server-side rule tying `status` to whether an assignee is actually set (the two could drift out of sync). The new build maintains a full assignment-history log (the same pattern as Vehicle Fleet Management, Section E3 — any reassignment closes the prior history period and opens a new one automatically) and enforces status/assignee consistency server-side: status cannot be "Assigned" without an assignee, and assigning an asset is a dedicated action, never an incidental side effect of an unrelated field update.</w:t>
      </w:r>
    </w:p>
    <w:p>
      <w:pPr>
        <w:pStyle w:val="ListParagraph"/>
        <w:numPr>
          <w:ilvl w:val="0"/>
          <w:numId w:val="1"/>
        </w:numPr>
        <w:spacing w:after="60"/>
      </w:pPr>
      <w:r>
        <w:t xml:space="preserve">Uniqueness enforcement on the asset tag.</w:t>
      </w:r>
    </w:p>
    <w:p>
      <w:pPr>
        <w:pStyle w:val="ListParagraph"/>
        <w:numPr>
          <w:ilvl w:val="0"/>
          <w:numId w:val="1"/>
        </w:numPr>
        <w:spacing w:after="60"/>
      </w:pPr>
      <w:r>
        <w:rPr>
          <w:b/>
          <w:bCs/>
        </w:rPr>
        <w:t xml:space="preserve">Visibility (definitive, per SI policy):</w:t>
      </w:r>
      <w:r>
        <w:t xml:space="preserve"> Admin/HR Admin/HR Officer may view and manage the full register; an ordinary ESS user sees </w:t>
      </w:r>
      <w:r>
        <w:rPr>
          <w:b/>
          <w:bCs/>
        </w:rPr>
        <w:t xml:space="preserve">only assets currently assigned to them</w:t>
      </w:r>
      <w:r>
        <w:t xml:space="preserve"> (plus their own assignment history) — resolving the reference system's inconsistency between the Asset and Vehicle modules deliberately, in favor of the self-only model, matching the requirement stated for both asset types.</w:t>
      </w:r>
    </w:p>
    <w:p>
      <w:pPr>
        <w:pStyle w:val="ListParagraph"/>
        <w:numPr>
          <w:ilvl w:val="0"/>
          <w:numId w:val="1"/>
        </w:numPr>
        <w:spacing w:after="60"/>
      </w:pPr>
      <w:r>
        <w:rPr>
          <w:b/>
          <w:bCs/>
        </w:rPr>
        <w:t xml:space="preserve">Warranty/service-contract tracking (new this iteration):</w:t>
      </w:r>
      <w:r>
        <w:t xml:space="preserve"> an asset (particularly higher-value AV/integration equipment) can carry one or more warranty/service-contract records, registered against the Renewal &amp; Compliance Reminder Engine (Section 3.2) exactly like Vehicle Renewals — Admin-configurable reminder tiers, notified via email and the Notification Center, to whichever roles are on that asset category's notify list.</w:t>
      </w:r>
    </w:p>
    <w:p>
      <w:pPr>
        <w:pStyle w:val="ListParagraph"/>
        <w:numPr>
          <w:ilvl w:val="0"/>
          <w:numId w:val="1"/>
        </w:numPr>
        <w:spacing w:after="60"/>
      </w:pPr>
      <w:r>
        <w:rPr>
          <w:b/>
          <w:bCs/>
        </w:rPr>
        <w:t xml:space="preserve">Maintenance/repair log:</w:t>
      </w:r>
      <w:r>
        <w:t xml:space="preserve"> transitioning an asset to "In Repair" (or logging a repair against any status) creates a dated entry recording what was done, its cost, and the vendor — giving a real repair history rather than a status flag with nothing behind it.</w:t>
      </w:r>
    </w:p>
    <w:p>
      <w:pPr>
        <w:pStyle w:val="ListParagraph"/>
        <w:numPr>
          <w:ilvl w:val="0"/>
          <w:numId w:val="1"/>
        </w:numPr>
        <w:spacing w:after="60"/>
      </w:pPr>
      <w:r>
        <w:rPr>
          <w:b/>
          <w:bCs/>
        </w:rPr>
        <w:t xml:space="preserve">Admin-definable custom fields</w:t>
      </w:r>
      <w:r>
        <w:t xml:space="preserve">, matching Vehicle Fleet Management for consistency between the two registers — values stored generically as text, same trade-off noted in Section E3.</w:t>
      </w:r>
    </w:p>
    <w:p>
      <w:pPr>
        <w:pStyle w:val="ListParagraph"/>
        <w:numPr>
          <w:ilvl w:val="0"/>
          <w:numId w:val="1"/>
        </w:numPr>
        <w:spacing w:after="60"/>
      </w:pPr>
      <w:r>
        <w:rPr>
          <w:b/>
          <w:bCs/>
        </w:rPr>
        <w:t xml:space="preserve">Offboarding return check (new this iteration):</w:t>
      </w:r>
      <w:r>
        <w:t xml:space="preserve"> an employee's offboarding (Section B3) cannot be marked complete while they still have assets assigned to them — this is a hard block, not a soft reminder, forcing the return/reassignment step to actually happen before the record closes out.</w:t>
      </w:r>
    </w:p>
    <w:p>
      <w:pPr>
        <w:pStyle w:val="Heading3"/>
        <w:spacing w:after="160" w:before="280"/>
      </w:pPr>
      <w:r>
        <w:t xml:space="preserve">E3. Vehicle Fleet Management</w:t>
      </w:r>
    </w:p>
    <w:p>
      <w:pPr>
        <w:spacing w:after="160"/>
        <w:jc w:val="both"/>
      </w:pPr>
      <w:r>
        <w:rPr>
          <w:b/>
          <w:bCs/>
        </w:rPr>
        <w:t xml:space="preserve">Overview.</w:t>
      </w:r>
      <w:r>
        <w:t xml:space="preserve"> A more mature register than Asset Management: full assignment history, admin-definable custom fields, and a compliance/renewals tracker with automated reminders. Visibility is updated in this iteration to match Asset Management's self-only policy, and this iteration adds an offboarding return check, driving-license validation at assignment, and fuel/mileage logging with odometer-based maintenance triggers.</w:t>
      </w:r>
    </w:p>
    <w:p>
      <w:pPr>
        <w:spacing w:after="160"/>
        <w:jc w:val="both"/>
      </w:pPr>
      <w:r>
        <w:rPr>
          <w:b/>
          <w:bCs/>
        </w:rPr>
        <w:t xml:space="preserve">Key data:</w:t>
      </w:r>
      <w:r>
        <w:t xml:space="preserve"> Vehicles (make, model, year, unique VIN, engine/registration numbers, color, status, current assignment to either an employee or a department — mutually exclusive, never both — assignment date, notes); Vehicle Assignment History (a fully gapless log of every employee/department that has held the vehicle and when, kept in sync automatically whenever the current assignment changes); Vehicle Custom Fields (admin-defined label/type/order, applied to every vehicle) and their per-vehicle values; Vehicle Renewals (a freeform label — insurance, license, etc. — provider, reference number, issue/expiry dates, notes; re-renewing creates a new row rather than overwriting the old one, preserving history) — now registered against the shared </w:t>
      </w:r>
      <w:r>
        <w:rPr>
          <w:b/>
          <w:bCs/>
        </w:rPr>
        <w:t xml:space="preserve">Renewal &amp; Compliance Reminder Engine</w:t>
      </w:r>
      <w:r>
        <w:t xml:space="preserve"> (Section 3.2) rather than its own bespoke reminder logic; </w:t>
      </w:r>
      <w:r>
        <w:rPr>
          <w:b/>
          <w:bCs/>
        </w:rPr>
        <w:t xml:space="preserve">Fuel/Mileage Logs</w:t>
      </w:r>
      <w:r>
        <w:t xml:space="preserve"> (date, odometer reading, fuel cost, notes — new this iteration).</w:t>
      </w:r>
    </w:p>
    <w:p>
      <w:pPr>
        <w:spacing w:after="160"/>
        <w:jc w:val="both"/>
      </w:pPr>
      <w:r>
        <w:rPr>
          <w:b/>
          <w:bCs/>
        </w:rPr>
        <w:t xml:space="preserve">Key features &amp; business rules:</w:t>
      </w:r>
    </w:p>
    <w:p>
      <w:pPr>
        <w:pStyle w:val="ListParagraph"/>
        <w:numPr>
          <w:ilvl w:val="0"/>
          <w:numId w:val="1"/>
        </w:numPr>
        <w:spacing w:after="60"/>
      </w:pPr>
      <w:r>
        <w:t xml:space="preserve">Status values: Active, In Service, Retired.</w:t>
      </w:r>
    </w:p>
    <w:p>
      <w:pPr>
        <w:pStyle w:val="ListParagraph"/>
        <w:numPr>
          <w:ilvl w:val="0"/>
          <w:numId w:val="1"/>
        </w:numPr>
        <w:spacing w:after="60"/>
      </w:pPr>
      <w:r>
        <w:rPr>
          <w:b/>
          <w:bCs/>
        </w:rPr>
        <w:t xml:space="preserve">Assignment history is maintained automatically</w:t>
      </w:r>
      <w:r>
        <w:t xml:space="preserve">: any change to the current assignee closes out the previously open history period and opens a new one; this is the same pattern used for Assets (Section E2).</w:t>
      </w:r>
    </w:p>
    <w:p>
      <w:pPr>
        <w:pStyle w:val="ListParagraph"/>
        <w:numPr>
          <w:ilvl w:val="0"/>
          <w:numId w:val="1"/>
        </w:numPr>
        <w:spacing w:after="60"/>
      </w:pPr>
      <w:r>
        <w:rPr>
          <w:b/>
          <w:bCs/>
        </w:rPr>
        <w:t xml:space="preserve">Renewal reminders via the shared engine:</w:t>
      </w:r>
      <w:r>
        <w:t xml:space="preserve"> Vehicle Renewals now gets the full Renewal &amp; Compliance Reminder Engine treatment — Admin-configurable multiple reminder tiers (not a single window), delivered by email and the Notification Center to a per-vehicle/category notify list, with a persistent "Expired" alert if a renewal lapses unrenewed, rather than a one-time digest that goes quiet. Renewing (editing the expiry date / adding a new renewal row) resets the reminder cycle, same as before.</w:t>
      </w:r>
    </w:p>
    <w:p>
      <w:pPr>
        <w:pStyle w:val="ListParagraph"/>
        <w:numPr>
          <w:ilvl w:val="0"/>
          <w:numId w:val="1"/>
        </w:numPr>
        <w:spacing w:after="60"/>
      </w:pPr>
      <w:r>
        <w:rPr>
          <w:b/>
          <w:bCs/>
        </w:rPr>
        <w:t xml:space="preserve">New: fuel/mileage logging and odometer-based maintenance.</w:t>
      </w:r>
      <w:r>
        <w:t xml:space="preserve"> Each fill-up or mileage check can be logged against a vehicle; in addition to the existing calendar-based renewal reminders, a renewal or a maintenance-log entry can optionally be configured with a mileage threshold (e.g., "service due every 10,000 miles"), and the reminder engine evaluates both the calendar and the odometer, firing whichever condition is met first.</w:t>
      </w:r>
    </w:p>
    <w:p>
      <w:pPr>
        <w:pStyle w:val="ListParagraph"/>
        <w:numPr>
          <w:ilvl w:val="0"/>
          <w:numId w:val="1"/>
        </w:numPr>
        <w:spacing w:after="60"/>
      </w:pPr>
      <w:r>
        <w:rPr>
          <w:b/>
          <w:bCs/>
        </w:rPr>
        <w:t xml:space="preserve">Driving-license validation at assignment (new this iteration):</w:t>
      </w:r>
      <w:r>
        <w:t xml:space="preserve"> assigning a vehicle to an employee checks that employee's driving-license record in B2 (Qualifications tab); if the license is missing or expired, the assignment is not silently allowed — the assigning Admin/HR Admin sees a warning and must provide an explicit, logged override to proceed. This is a warning-with-override, not a hard block, since license data may not yet be complete for every existing employee at go-live.</w:t>
      </w:r>
    </w:p>
    <w:p>
      <w:pPr>
        <w:pStyle w:val="ListParagraph"/>
        <w:numPr>
          <w:ilvl w:val="0"/>
          <w:numId w:val="1"/>
        </w:numPr>
        <w:spacing w:after="60"/>
      </w:pPr>
      <w:r>
        <w:rPr>
          <w:b/>
          <w:bCs/>
        </w:rPr>
        <w:t xml:space="preserve">Offboarding return check (new this iteration):</w:t>
      </w:r>
      <w:r>
        <w:t xml:space="preserve"> matching Asset Management, an employee's offboarding (Section B3) cannot be marked complete while they still have a vehicle assigned to them — a hard block, not a soft reminder.</w:t>
      </w:r>
    </w:p>
    <w:p>
      <w:pPr>
        <w:pStyle w:val="ListParagraph"/>
        <w:numPr>
          <w:ilvl w:val="0"/>
          <w:numId w:val="1"/>
        </w:numPr>
        <w:spacing w:after="60"/>
      </w:pPr>
      <w:r>
        <w:t xml:space="preserve">Cascading delete: removing a vehicle removes its dependent renewal, custom-field-value, history, and fuel/mileage-log records in a safe order.</w:t>
      </w:r>
    </w:p>
    <w:p>
      <w:pPr>
        <w:pStyle w:val="ListParagraph"/>
        <w:numPr>
          <w:ilvl w:val="0"/>
          <w:numId w:val="1"/>
        </w:numPr>
        <w:spacing w:after="60"/>
      </w:pPr>
      <w:r>
        <w:t xml:space="preserve">Custom field values are always stored generically (as text) with the field's declared type driving only client-side input rendering, not server-side typing — acceptable for simple attributes, but the new design should weigh whether typed storage is worth the added complexity if custom fields will be used in filtering/reporting.</w:t>
      </w:r>
    </w:p>
    <w:p>
      <w:pPr>
        <w:pStyle w:val="ListParagraph"/>
        <w:numPr>
          <w:ilvl w:val="0"/>
          <w:numId w:val="1"/>
        </w:numPr>
        <w:spacing w:after="60"/>
      </w:pPr>
      <w:r>
        <w:rPr>
          <w:b/>
          <w:bCs/>
        </w:rPr>
        <w:t xml:space="preserve">Visibility (updated, per SI policy — "same for vehicles"):</w:t>
      </w:r>
      <w:r>
        <w:t xml:space="preserve"> Admin/HR Admin/HR Officer may view and manage the full fleet register; an ordinary ESS user sees </w:t>
      </w:r>
      <w:r>
        <w:rPr>
          <w:b/>
          <w:bCs/>
        </w:rPr>
        <w:t xml:space="preserve">only vehicles currently assigned to them</w:t>
      </w:r>
      <w:r>
        <w:t xml:space="preserve"> (individually — not vehicles assigned to their department, which remain visible only to Admin/HR unless the employee is the named individual assignee), plus their own assignment history. This replaces the reference system's whole-register visibility for all employees.</w:t>
      </w:r>
    </w:p>
    <w:p>
      <w:pPr>
        <w:pStyle w:val="Heading3"/>
        <w:spacing w:after="160" w:before="280"/>
      </w:pPr>
      <w:r>
        <w:t xml:space="preserve">E4. Policy Document Management</w:t>
      </w:r>
    </w:p>
    <w:p>
      <w:pPr>
        <w:spacing w:after="160"/>
        <w:jc w:val="both"/>
      </w:pPr>
      <w:r>
        <w:rPr>
          <w:b/>
          <w:bCs/>
        </w:rPr>
        <w:t xml:space="preserve">Overview.</w:t>
      </w:r>
      <w:r>
        <w:t xml:space="preserve"> A company policy repository with categorization, immutable versioning, per-employee acknowledgement/compliance tracking, new-hire enrollment into outstanding acknowledgements, file-level access control, and e-signature-backed acknowledgement — extended in this iteration per SI's explicit requirements.</w:t>
      </w:r>
    </w:p>
    <w:p>
      <w:pPr>
        <w:spacing w:after="160"/>
        <w:jc w:val="both"/>
      </w:pPr>
      <w:r>
        <w:rPr>
          <w:b/>
          <w:bCs/>
        </w:rPr>
        <w:t xml:space="preserve">Key data:</w:t>
      </w:r>
      <w:r>
        <w:t xml:space="preserve"> Policy Categories (name, description, display order, an optional </w:t>
      </w:r>
      <w:r>
        <w:rPr>
          <w:b/>
          <w:bCs/>
        </w:rPr>
        <w:t xml:space="preserve">restricted-access flag</w:t>
      </w:r>
      <w:r>
        <w:t xml:space="preserve"> — see below); Policy Documents (title, category, active flag); Policy Document Versions (immutable — each new version is an additive record, never an overwrite — with a version label, change notes, effective date, and the file itself, stored in object storage per Section 3.5 rather than inline); Acknowledgements (one record per employee per version, idempotent, now backed by a Signature Event — Section A8 — rather than a bare boolean); a File Access Grant table for restricted-category documents (see below).</w:t>
      </w:r>
    </w:p>
    <w:p>
      <w:pPr>
        <w:spacing w:after="160"/>
        <w:jc w:val="both"/>
      </w:pPr>
      <w:r>
        <w:rPr>
          <w:b/>
          <w:bCs/>
        </w:rPr>
        <w:t xml:space="preserve">Key features &amp; business rules:</w:t>
      </w:r>
    </w:p>
    <w:p>
      <w:pPr>
        <w:pStyle w:val="ListParagraph"/>
        <w:numPr>
          <w:ilvl w:val="0"/>
          <w:numId w:val="1"/>
        </w:numPr>
        <w:spacing w:after="60"/>
      </w:pPr>
      <w:r>
        <w:t xml:space="preserve">Every employee can browse and download active policy documents they have access to; only HR/Admin manage categories, documents, and versions.</w:t>
      </w:r>
    </w:p>
    <w:p>
      <w:pPr>
        <w:pStyle w:val="ListParagraph"/>
        <w:numPr>
          <w:ilvl w:val="0"/>
          <w:numId w:val="1"/>
        </w:numPr>
        <w:spacing w:after="60"/>
      </w:pPr>
      <w:r>
        <w:rPr>
          <w:b/>
          <w:bCs/>
        </w:rPr>
        <w:t xml:space="preserve">New-hire acknowledgement enrollment (definitive requirement):</w:t>
      </w:r>
      <w:r>
        <w:t xml:space="preserve"> "new hire employees must also acknowledge the current version of a document since the document applies to them as well." On employee activation (Section B3 onboarding completion), the system automatically enrolls the new employee against the </w:t>
      </w:r>
      <w:r>
        <w:rPr>
          <w:b/>
          <w:bCs/>
        </w:rPr>
        <w:t xml:space="preserve">currently active version of every applicable policy document</w:t>
      </w:r>
      <w:r>
        <w:t xml:space="preserve"> — these appear immediately in their "Outstanding Acknowledgements" list rather than only surfacing the next time a version is republished. This closes the reference-system gap where compliance reporting only tracked employees who existed at a version's original publish date.</w:t>
      </w:r>
    </w:p>
    <w:p>
      <w:pPr>
        <w:pStyle w:val="ListParagraph"/>
        <w:numPr>
          <w:ilvl w:val="0"/>
          <w:numId w:val="1"/>
        </w:numPr>
        <w:spacing w:after="60"/>
      </w:pPr>
      <w:r>
        <w:t xml:space="preserve">Acknowledging a version is a one-time, idempotent, self-service action always tied to the authenticated employee (never a client-supplied identity), and is now performed through the </w:t>
      </w:r>
      <w:r>
        <w:rPr>
          <w:b/>
          <w:bCs/>
        </w:rPr>
        <w:t xml:space="preserve">E-Signature &amp; Digital Consent Service</w:t>
      </w:r>
      <w:r>
        <w:t xml:space="preserve"> (Section A8) using the click-to-sign/typed-consent method by default (configurable to drawn signature per document category) — giving each acknowledgement a tamper-evident, exact-version-hashed evidence record rather than a bare timestamp.</w:t>
      </w:r>
    </w:p>
    <w:p>
      <w:pPr>
        <w:pStyle w:val="ListParagraph"/>
        <w:numPr>
          <w:ilvl w:val="0"/>
          <w:numId w:val="1"/>
        </w:numPr>
        <w:spacing w:after="60"/>
      </w:pPr>
      <w:r>
        <w:rPr>
          <w:b/>
          <w:bCs/>
        </w:rPr>
        <w:t xml:space="preserve">Compliance reporting</w:t>
      </w:r>
      <w:r>
        <w:t xml:space="preserve"> computes outstanding acknowledgements against every currently active employee (including new hires per the enrollment rule above); terminated and GDPR-purged employees are excluded.</w:t>
      </w:r>
    </w:p>
    <w:p>
      <w:pPr>
        <w:pStyle w:val="ListParagraph"/>
        <w:numPr>
          <w:ilvl w:val="0"/>
          <w:numId w:val="1"/>
        </w:numPr>
        <w:spacing w:after="60"/>
      </w:pPr>
      <w:r>
        <w:t xml:space="preserve">New versions do not invalidate prior acknowledgements and do not retroactively require re-acknowledgement by employees who signed a prior version — compliance tracking naturally resets only for the new version, and existing employees are enrolled against the new version the same way new hires are enrolled against the current one.</w:t>
      </w:r>
    </w:p>
    <w:p>
      <w:pPr>
        <w:pStyle w:val="ListParagraph"/>
        <w:numPr>
          <w:ilvl w:val="0"/>
          <w:numId w:val="1"/>
        </w:numPr>
        <w:spacing w:after="60"/>
      </w:pPr>
      <w:r>
        <w:rPr>
          <w:b/>
          <w:bCs/>
        </w:rPr>
        <w:t xml:space="preserve">File-level access control (definitive requirement, closing the reference-system gap):</w:t>
      </w:r>
      <w:r>
        <w:t xml:space="preserve"> a Policy Category can be marked restricted; documents in a restricted category are not resolvable by direct URL to anyone outside an explicit File Access Grant list (by role or by named employee) — access is checked server-side on every file request, not only at the listing layer, and every access to a restricted file is written to the audit log. Non-restricted categories remain visible/downloadable to all active employees as before.</w:t>
      </w:r>
    </w:p>
    <w:p>
      <w:pPr>
        <w:pStyle w:val="Heading3"/>
        <w:spacing w:after="160" w:before="280"/>
      </w:pPr>
      <w:r>
        <w:t xml:space="preserve">E5. Company Registration &amp; Compliance Documents</w:t>
      </w:r>
    </w:p>
    <w:p>
      <w:pPr>
        <w:spacing w:after="160"/>
        <w:jc w:val="both"/>
      </w:pPr>
      <w:r>
        <w:rPr>
          <w:b/>
          <w:bCs/>
        </w:rPr>
        <w:t xml:space="preserve">Overview.</w:t>
      </w:r>
      <w:r>
        <w:t xml:space="preserve"> New module requested by SI: a repository for sensitive company-level documents, licenses, and permits — Employer's Liability Insurance Certificate, Health Insurance policy documents, business permits, and similar — distinct from Policy Document Management (E4), which holds employee-facing HR policies rather than company legal/compliance instruments. Renewable documents are tracked through the shared Renewal &amp; Compliance Reminder Engine (Section 3.2), the same mechanism Vehicle Renewals (E3) and Asset warranties (E2) use.</w:t>
      </w:r>
    </w:p>
    <w:p>
      <w:pPr>
        <w:spacing w:after="160"/>
        <w:jc w:val="both"/>
      </w:pPr>
      <w:r>
        <w:rPr>
          <w:b/>
          <w:bCs/>
        </w:rPr>
        <w:t xml:space="preserve">Key data:</w:t>
      </w:r>
      <w:r>
        <w:t xml:space="preserve"> Document Categories (Insurance, License, Permit, Certificate, and any others HR Admin defines — an HR-Admin-managed master list, the same pattern as Policy Categories in E4); Company Registration Documents (title, category, description, an `isRenewable` flag set at upload); Document Versions (immutable — every renewal is a new version with its own file and issue/expiry dates, never an overwrite, per SI's decision to keep full version history — the same additive-versioning pattern as Policy Document Versions in E4); a Reminder Policy per document/category (reminder tier count and day-offsets before expiry, defaulting to an org-wide setting of 60/30/14/7 days, Admin-editable in both count and spacing); a Notify List per document/category (roles and/or named individuals, defaulting to Admin + HR Admin); a File Access Grant table (restricted by default — see below).</w:t>
      </w:r>
    </w:p>
    <w:p>
      <w:pPr>
        <w:spacing w:after="160"/>
        <w:jc w:val="both"/>
      </w:pPr>
      <w:r>
        <w:rPr>
          <w:b/>
          <w:bCs/>
        </w:rPr>
        <w:t xml:space="preserve">Key features &amp; business rules:</w:t>
      </w:r>
    </w:p>
    <w:p>
      <w:pPr>
        <w:pStyle w:val="ListParagraph"/>
        <w:numPr>
          <w:ilvl w:val="0"/>
          <w:numId w:val="1"/>
        </w:numPr>
        <w:spacing w:after="60"/>
      </w:pPr>
      <w:r>
        <w:rPr>
          <w:b/>
          <w:bCs/>
        </w:rPr>
        <w:t xml:space="preserve">Upload by HR Admin (Admin also, by role hierarchy):</w:t>
      </w:r>
      <w:r>
        <w:t xml:space="preserve"> at upload, HR Admin marks the document renewable or not. If renewable, issue date and expiry/renewal date are required at that point — there is no separate "configure later" step.</w:t>
      </w:r>
    </w:p>
    <w:p>
      <w:pPr>
        <w:pStyle w:val="ListParagraph"/>
        <w:numPr>
          <w:ilvl w:val="0"/>
          <w:numId w:val="1"/>
        </w:numPr>
        <w:spacing w:after="60"/>
      </w:pPr>
      <w:r>
        <w:rPr>
          <w:b/>
          <w:bCs/>
        </w:rPr>
        <w:t xml:space="preserve">Non-renewable documents</w:t>
      </w:r>
      <w:r>
        <w:t xml:space="preserve"> (e.g., a one-time certificate of incorporation) are simply archived with no reminder scheduling.</w:t>
      </w:r>
    </w:p>
    <w:p>
      <w:pPr>
        <w:pStyle w:val="ListParagraph"/>
        <w:numPr>
          <w:ilvl w:val="0"/>
          <w:numId w:val="1"/>
        </w:numPr>
        <w:spacing w:after="60"/>
      </w:pPr>
      <w:r>
        <w:rPr>
          <w:b/>
          <w:bCs/>
        </w:rPr>
        <w:t xml:space="preserve">Renewal creates a new version, full history retained (per SI's decision):</w:t>
      </w:r>
      <w:r>
        <w:t xml:space="preserve"> renewing a document uploads a new file and records new issue/expiry dates as an additive version, exactly like Policy Document Versions (E4) — every prior certificate stays retrievable, which matters for audit purposes on documents like insurance certificates that may be requested by a client or auditor after renewal.</w:t>
      </w:r>
    </w:p>
    <w:p>
      <w:pPr>
        <w:pStyle w:val="ListParagraph"/>
        <w:numPr>
          <w:ilvl w:val="0"/>
          <w:numId w:val="1"/>
        </w:numPr>
        <w:spacing w:after="60"/>
      </w:pPr>
      <w:r>
        <w:rPr>
          <w:b/>
          <w:bCs/>
        </w:rPr>
        <w:t xml:space="preserve">Reminders via the shared Renewal &amp; Compliance Reminder Engine (Section 3.2):</w:t>
      </w:r>
      <w:r>
        <w:t xml:space="preserve"> each configured tier fires once per renewal cycle, delivered by email and the in-app Notification Center (A7) to that document's Notify List; renewing the document (a new version) resets the cycle so reminders begin counting down again from the new expiry date.</w:t>
      </w:r>
    </w:p>
    <w:p>
      <w:pPr>
        <w:pStyle w:val="ListParagraph"/>
        <w:numPr>
          <w:ilvl w:val="0"/>
          <w:numId w:val="1"/>
        </w:numPr>
        <w:spacing w:after="60"/>
      </w:pPr>
      <w:r>
        <w:rPr>
          <w:b/>
          <w:bCs/>
        </w:rPr>
        <w:t xml:space="preserve">Persistent expiry alert:</w:t>
      </w:r>
      <w:r>
        <w:t xml:space="preserve"> if a document lapses unrenewed, it moves to a persistent "Expired" state that continues surfacing on the document list and the Dashboard's Renewals &amp; Compliance widget (Section F2) until either renewed or explicitly acknowledged/dismissed by an Admin — not a one-time final reminder that then goes quiet, since these are compliance-critical documents.</w:t>
      </w:r>
    </w:p>
    <w:p>
      <w:pPr>
        <w:pStyle w:val="ListParagraph"/>
        <w:numPr>
          <w:ilvl w:val="0"/>
          <w:numId w:val="1"/>
        </w:numPr>
        <w:spacing w:after="60"/>
      </w:pPr>
      <w:r>
        <w:rPr>
          <w:b/>
          <w:bCs/>
        </w:rPr>
        <w:t xml:space="preserve">File-level access control, restricted by default (my recommendation, since these are sensitive company documents rather than employee-facing policy):</w:t>
      </w:r>
      <w:r>
        <w:t xml:space="preserve"> documents in this module are not resolvable by direct URL to anyone outside an explicit File Access Grant list, defaulting to Admin + HR Admin — the same enforcement pattern as E4's restricted Policy categories (checked server-side on every file request, not only at the listing layer). A specific document or category can be granted broader visibility (e.g., a category an external auditor or client may need to see) via the same grant mechanism.</w:t>
      </w:r>
    </w:p>
    <w:p>
      <w:pPr>
        <w:pStyle w:val="ListParagraph"/>
        <w:numPr>
          <w:ilvl w:val="0"/>
          <w:numId w:val="1"/>
        </w:numPr>
        <w:spacing w:after="60"/>
      </w:pPr>
      <w:r>
        <w:rPr>
          <w:b/>
          <w:bCs/>
        </w:rPr>
        <w:t xml:space="preserve">Audit logging:</w:t>
      </w:r>
      <w:r>
        <w:t xml:space="preserve"> every upload, view, download, and renewal action against a Company Registration Document is written to the audit log, given the sensitivity of this document class.</w:t>
      </w:r>
    </w:p>
    <w:p>
      <w:r>
        <w:br w:type="page"/>
      </w:r>
    </w:p>
    <w:p>
      <w:pPr>
        <w:pStyle w:val="Heading2"/>
        <w:spacing w:after="160" w:before="280"/>
      </w:pPr>
      <w:r>
        <w:t xml:space="preserve">Domain F — Engagement, Analytics &amp; Auxiliary Services</w:t>
      </w:r>
    </w:p>
    <w:p>
      <w:pPr>
        <w:pStyle w:val="Heading3"/>
        <w:spacing w:after="160" w:before="280"/>
      </w:pPr>
      <w:r>
        <w:t xml:space="preserve">F1. Employee Social Feed ("Buzz")</w:t>
      </w:r>
    </w:p>
    <w:p>
      <w:pPr>
        <w:spacing w:after="160"/>
        <w:jc w:val="both"/>
      </w:pPr>
      <w:r>
        <w:rPr>
          <w:b/>
          <w:bCs/>
        </w:rPr>
        <w:t xml:space="preserve">Overview.</w:t>
      </w:r>
      <w:r>
        <w:t xml:space="preserve"> A company-wide internal social feed: text/photo/video posts, likes, comments, and resharing.</w:t>
      </w:r>
    </w:p>
    <w:p>
      <w:pPr>
        <w:spacing w:after="160"/>
        <w:jc w:val="both"/>
      </w:pPr>
      <w:r>
        <w:rPr>
          <w:b/>
          <w:bCs/>
        </w:rPr>
        <w:t xml:space="preserve">Key data:</w:t>
      </w:r>
      <w:r>
        <w:t xml:space="preserve"> Posts (the immutable content: text, photos, embeddable video links); Shares (every *appearance* of a post in the feed — the original posting and every reshare are both "shares" of the same underlying post, each carrying its own independent like/comment counts and, for reshares, an optional caption); Comments (attached to a share); Likes on shares and on comments (one per employee per target); embedded links and photos as child records of a post.</w:t>
      </w:r>
    </w:p>
    <w:p>
      <w:pPr>
        <w:spacing w:after="160"/>
        <w:jc w:val="both"/>
      </w:pPr>
      <w:r>
        <w:rPr>
          <w:b/>
          <w:bCs/>
        </w:rPr>
        <w:t xml:space="preserve">Key features &amp; business rules:</w:t>
      </w:r>
    </w:p>
    <w:p>
      <w:pPr>
        <w:pStyle w:val="ListParagraph"/>
        <w:numPr>
          <w:ilvl w:val="0"/>
          <w:numId w:val="1"/>
        </w:numPr>
        <w:spacing w:after="60"/>
      </w:pPr>
      <w:r>
        <w:rPr>
          <w:b/>
          <w:bCs/>
        </w:rPr>
        <w:t xml:space="preserve">Post/Share separation is the key modeling decision</w:t>
      </w:r>
      <w:r>
        <w:t xml:space="preserve">: resharing creates a new share record pointing at the same underlying post content, with its own independent likes/comments thread — this avoids duplicating content while letting each share accrue engagement independently, and should be preserved in the new design.</w:t>
      </w:r>
    </w:p>
    <w:p>
      <w:pPr>
        <w:pStyle w:val="ListParagraph"/>
        <w:numPr>
          <w:ilvl w:val="0"/>
          <w:numId w:val="1"/>
        </w:numPr>
        <w:spacing w:after="60"/>
      </w:pPr>
      <w:r>
        <w:t xml:space="preserve">Post types: text, photo (multiple images per post, size/type-limited), or video (pasted link resolved to an embeddable form for supported providers); type is fixed once a post is created.</w:t>
      </w:r>
    </w:p>
    <w:p>
      <w:pPr>
        <w:pStyle w:val="ListParagraph"/>
        <w:numPr>
          <w:ilvl w:val="0"/>
          <w:numId w:val="1"/>
        </w:numPr>
        <w:spacing w:after="60"/>
      </w:pPr>
      <w:r>
        <w:t xml:space="preserve">Ownership-based edit/delete rights (authors manage their own content; administrators can moderate others') via the standard data-group permission model (Section 3.2), not a Buzz-specific rule set.</w:t>
      </w:r>
    </w:p>
    <w:p>
      <w:pPr>
        <w:pStyle w:val="ListParagraph"/>
        <w:numPr>
          <w:ilvl w:val="0"/>
          <w:numId w:val="1"/>
        </w:numPr>
        <w:spacing w:after="60"/>
      </w:pPr>
      <w:r>
        <w:t xml:space="preserve">A denormalized like/comment count on each share, kept consistent by a periodic reconciliation job as a correctness backstop in addition to inline updates.</w:t>
      </w:r>
    </w:p>
    <w:p>
      <w:pPr>
        <w:pStyle w:val="ListParagraph"/>
        <w:numPr>
          <w:ilvl w:val="0"/>
          <w:numId w:val="1"/>
        </w:numPr>
        <w:spacing w:after="60"/>
      </w:pPr>
      <w:r>
        <w:t xml:space="preserve">Feed excludes content from purged/soft-deleted employees; no other audience/visibility scoping (company-wide by design).</w:t>
      </w:r>
    </w:p>
    <w:p>
      <w:pPr>
        <w:pStyle w:val="ListParagraph"/>
        <w:numPr>
          <w:ilvl w:val="0"/>
          <w:numId w:val="1"/>
        </w:numPr>
        <w:spacing w:after="60"/>
      </w:pPr>
      <w:r>
        <w:t xml:space="preserve">A "responses card" convention (a lean list model and a richer, fully joined "detailed" model behind the same endpoint) avoids extra round trips when rendering the feed.</w:t>
      </w:r>
    </w:p>
    <w:p>
      <w:pPr>
        <w:pStyle w:val="ListParagraph"/>
        <w:numPr>
          <w:ilvl w:val="0"/>
          <w:numId w:val="1"/>
        </w:numPr>
        <w:spacing w:after="60"/>
      </w:pPr>
      <w:r>
        <w:t xml:space="preserve">Supplementary "upcoming work anniversaries" widget computed from join dates.</w:t>
      </w:r>
    </w:p>
    <w:p>
      <w:pPr>
        <w:pStyle w:val="Heading3"/>
        <w:spacing w:after="160" w:before="280"/>
      </w:pPr>
      <w:r>
        <w:t xml:space="preserve">F2. Dashboard &amp; HR Analytics</w:t>
      </w:r>
    </w:p>
    <w:p>
      <w:pPr>
        <w:spacing w:after="160"/>
        <w:jc w:val="both"/>
      </w:pPr>
      <w:r>
        <w:rPr>
          <w:b/>
          <w:bCs/>
        </w:rPr>
        <w:t xml:space="preserve">Overview.</w:t>
      </w:r>
      <w:r>
        <w:t xml:space="preserve"> The post-login landing page: independently permissioned widgets, plus a proper time-series HR metrics capability. Extended this iteration with a consolidated renewals/compliance view, an engagement tile, a Helpdesk summary, and live-updating approval counts.</w:t>
      </w:r>
    </w:p>
    <w:p>
      <w:pPr>
        <w:spacing w:after="160"/>
        <w:jc w:val="both"/>
      </w:pPr>
      <w:r>
        <w:rPr>
          <w:b/>
          <w:bCs/>
        </w:rPr>
        <w:t xml:space="preserve">Key data:</w:t>
      </w:r>
      <w:r>
        <w:t xml:space="preserve"> A daily HR-metrics snapshot (active headcount, new hires and terminations in a trailing window, turnover rate, open requisitions, pending leave requests, average tenure) — one row per calendar day, computed nightly, giving genuine historical trend data that a live-query-only design cannot provide.</w:t>
      </w:r>
    </w:p>
    <w:p>
      <w:pPr>
        <w:spacing w:after="160"/>
        <w:jc w:val="both"/>
      </w:pPr>
      <w:r>
        <w:rPr>
          <w:b/>
          <w:bCs/>
        </w:rPr>
        <w:t xml:space="preserve">Key features &amp; business rules:</w:t>
      </w:r>
    </w:p>
    <w:p>
      <w:pPr>
        <w:pStyle w:val="ListParagraph"/>
        <w:numPr>
          <w:ilvl w:val="0"/>
          <w:numId w:val="1"/>
        </w:numPr>
        <w:spacing w:after="60"/>
      </w:pPr>
      <w:r>
        <w:t xml:space="preserve">Widgets: quick-launch shortcuts (module- and permission-gated); a personal/team "action summary" (pending approvals across leave, timesheets, reviews, interviews — each included only if its source module is enabled); headcount-by-department and headcount-by-location charts; "who's on leave today" (with a configurable scope: everyone vs. only employees the viewer has access to); personal weekly clocked-time; a rolling HR-metrics trend (latest snapshot plus up to 12 monthly points).</w:t>
      </w:r>
    </w:p>
    <w:p>
      <w:pPr>
        <w:pStyle w:val="ListParagraph"/>
        <w:numPr>
          <w:ilvl w:val="0"/>
          <w:numId w:val="1"/>
        </w:numPr>
        <w:spacing w:after="60"/>
      </w:pPr>
      <w:r>
        <w:rPr>
          <w:b/>
          <w:bCs/>
        </w:rPr>
        <w:t xml:space="preserve">New: "Upcoming Renewals &amp; Compliance" widget</w:t>
      </w:r>
      <w:r>
        <w:t xml:space="preserve"> (Admin/HR Admin only) — a single consolidated view across every consumer of the Renewal &amp; Compliance Reminder Engine (Section 3.2): Vehicle Renewals (E3), Asset warranties (E2), and Company Registration Documents (E5), rather than three separate places to check what's expiring soon.</w:t>
      </w:r>
    </w:p>
    <w:p>
      <w:pPr>
        <w:pStyle w:val="ListParagraph"/>
        <w:numPr>
          <w:ilvl w:val="0"/>
          <w:numId w:val="1"/>
        </w:numPr>
        <w:spacing w:after="60"/>
      </w:pPr>
      <w:r>
        <w:rPr>
          <w:b/>
          <w:bCs/>
        </w:rPr>
        <w:t xml:space="preserve">New: latest eNPS tile</w:t>
      </w:r>
      <w:r>
        <w:t xml:space="preserve">, surfacing the most recent Pulse Survey (Section F8) score and its trend direction — this module predates F8 in the original spec, so the two were never connected until now.</w:t>
      </w:r>
    </w:p>
    <w:p>
      <w:pPr>
        <w:pStyle w:val="ListParagraph"/>
        <w:numPr>
          <w:ilvl w:val="0"/>
          <w:numId w:val="1"/>
        </w:numPr>
        <w:spacing w:after="60"/>
      </w:pPr>
      <w:r>
        <w:rPr>
          <w:b/>
          <w:bCs/>
        </w:rPr>
        <w:t xml:space="preserve">New: open Helpdesk tickets summary</w:t>
      </w:r>
      <w:r>
        <w:t xml:space="preserve"> (Admin/HR Admin), showing open-ticket counts by category (excluding the confidential Grievance/Whistleblower category from anyone outside its restricted handler list, per Section F4).</w:t>
      </w:r>
    </w:p>
    <w:p>
      <w:pPr>
        <w:pStyle w:val="ListParagraph"/>
        <w:numPr>
          <w:ilvl w:val="0"/>
          <w:numId w:val="1"/>
        </w:numPr>
        <w:spacing w:after="60"/>
      </w:pPr>
      <w:r>
        <w:rPr>
          <w:b/>
          <w:bCs/>
        </w:rPr>
        <w:t xml:space="preserve">Pending-approval counts now update live</w:t>
      </w:r>
      <w:r>
        <w:t xml:space="preserve"> over the existing WebSocket layer (Section 3.5) rather than only on page load, consistent with how the Notification Center already delivers live updates.</w:t>
      </w:r>
    </w:p>
    <w:p>
      <w:pPr>
        <w:pStyle w:val="ListParagraph"/>
        <w:numPr>
          <w:ilvl w:val="0"/>
          <w:numId w:val="1"/>
        </w:numPr>
        <w:spacing w:after="60"/>
      </w:pPr>
      <w:r>
        <w:rPr>
          <w:b/>
          <w:bCs/>
        </w:rPr>
        <w:t xml:space="preserve">Each widget's visibility is governed by the same data-group permission model used everywhere else</w:t>
      </w:r>
      <w:r>
        <w:t xml:space="preserve"> (Section 3.2), not hardcoded by role — and automatically hides when its source module (Buzz, Leave, Time) is disabled system-wide, via an event-driven subscription to module status changes rather than ad hoc checks.</w:t>
      </w:r>
    </w:p>
    <w:p>
      <w:pPr>
        <w:pStyle w:val="ListParagraph"/>
        <w:numPr>
          <w:ilvl w:val="0"/>
          <w:numId w:val="1"/>
        </w:numPr>
        <w:spacing w:after="60"/>
      </w:pPr>
      <w:r>
        <w:t xml:space="preserve">The nightly snapshot job is the recommended pattern for any other "trend over time" reporting need in the new system — compute and store daily facts rather than re-aggregating history live at every page load.</w:t>
      </w:r>
    </w:p>
    <w:p>
      <w:pPr>
        <w:pStyle w:val="Heading3"/>
        <w:spacing w:after="160" w:before="280"/>
      </w:pPr>
      <w:r>
        <w:t xml:space="preserve">F3. Corporate Directory</w:t>
      </w:r>
    </w:p>
    <w:p>
      <w:pPr>
        <w:spacing w:after="160"/>
        <w:jc w:val="both"/>
      </w:pPr>
      <w:r>
        <w:rPr>
          <w:b/>
          <w:bCs/>
        </w:rPr>
        <w:t xml:space="preserve">Overview.</w:t>
      </w:r>
      <w:r>
        <w:t xml:space="preserve"> A searchable, browsable company directory — deliberately a thin, read-only projection of the Employee master, not its own data store.</w:t>
      </w:r>
    </w:p>
    <w:p>
      <w:pPr>
        <w:spacing w:after="160"/>
        <w:jc w:val="both"/>
      </w:pPr>
      <w:r>
        <w:rPr>
          <w:b/>
          <w:bCs/>
        </w:rPr>
        <w:t xml:space="preserve">Key features:</w:t>
      </w:r>
      <w:r>
        <w:t xml:space="preserve"> search/filter by name-or-ID, job title, or location; a lean listing model (name, title, sub-unit, location) and a detailed model adding work contact info; terminated employees excluded from browsing by default but still findable by direct name/ID search; purged employees always excluded regardless of filters. </w:t>
      </w:r>
      <w:r>
        <w:rPr>
          <w:b/>
          <w:bCs/>
        </w:rPr>
        <w:t xml:space="preserve">Design guidance:</w:t>
      </w:r>
      <w:r>
        <w:t xml:space="preserve"> keep this module as a pure projection over Employee data (no independent storage) unless a specific performance need at very large headcount justifies a dedicated read model.</w:t>
      </w:r>
    </w:p>
    <w:p>
      <w:pPr>
        <w:pStyle w:val="Heading3"/>
        <w:spacing w:after="160" w:before="280"/>
      </w:pPr>
      <w:r>
        <w:t xml:space="preserve">F4. Helpdesk / Support Ticketing (incl. Employee Voice / Grievance Reporting)</w:t>
      </w:r>
    </w:p>
    <w:p>
      <w:pPr>
        <w:spacing w:after="160"/>
        <w:jc w:val="both"/>
      </w:pPr>
      <w:r>
        <w:rPr>
          <w:b/>
          <w:bCs/>
        </w:rPr>
        <w:t xml:space="preserve">Overview.</w:t>
      </w:r>
      <w:r>
        <w:t xml:space="preserve"> An internal support-ticket system for employees to raise HR/IT requests, separate from Employee Relations/Discipline. Extended in this iteration with a </w:t>
      </w:r>
      <w:r>
        <w:rPr>
          <w:b/>
          <w:bCs/>
        </w:rPr>
        <w:t xml:space="preserve">Grievance / Whistleblower</w:t>
      </w:r>
      <w:r>
        <w:t xml:space="preserve"> ticket category, per SI's request — implemented deliberately as a specialized category on top of the existing Helpdesk model rather than a separate module, per SI's own "too complicated to build [as a dedicated module]" guidance.</w:t>
      </w:r>
    </w:p>
    <w:p>
      <w:pPr>
        <w:spacing w:after="160"/>
        <w:jc w:val="both"/>
      </w:pPr>
      <w:r>
        <w:rPr>
          <w:b/>
          <w:bCs/>
        </w:rPr>
        <w:t xml:space="preserve">Key data:</w:t>
      </w:r>
      <w:r>
        <w:t xml:space="preserve"> Helpdesk Categories (active/inactive, plus a new </w:t>
      </w:r>
      <w:r>
        <w:rPr>
          <w:b/>
          <w:bCs/>
        </w:rPr>
        <w:t xml:space="preserve">`isConfidential`</w:t>
      </w:r>
      <w:r>
        <w:t xml:space="preserve"> flag and an optional </w:t>
      </w:r>
      <w:r>
        <w:rPr>
          <w:b/>
          <w:bCs/>
        </w:rPr>
        <w:t xml:space="preserve">restricted-handler list</w:t>
      </w:r>
      <w:r>
        <w:t xml:space="preserve"> — see below); Tickets (subject, description, category, status, raised-by employee, assigned-to employee, created/resolved dates, plus a new </w:t>
      </w:r>
      <w:r>
        <w:rPr>
          <w:b/>
          <w:bCs/>
        </w:rPr>
        <w:t xml:space="preserve">`isAnonymous`</w:t>
      </w:r>
      <w:r>
        <w:t xml:space="preserve"> flag); threaded Ticket Comments.</w:t>
      </w:r>
    </w:p>
    <w:p>
      <w:pPr>
        <w:spacing w:after="160"/>
        <w:jc w:val="both"/>
      </w:pPr>
      <w:r>
        <w:rPr>
          <w:b/>
          <w:bCs/>
        </w:rPr>
        <w:t xml:space="preserve">Key features &amp; business rules:</w:t>
      </w:r>
    </w:p>
    <w:p>
      <w:pPr>
        <w:pStyle w:val="ListParagraph"/>
        <w:numPr>
          <w:ilvl w:val="0"/>
          <w:numId w:val="1"/>
        </w:numPr>
        <w:spacing w:after="60"/>
      </w:pPr>
      <w:r>
        <w:rPr>
          <w:b/>
          <w:bCs/>
        </w:rPr>
        <w:t xml:space="preserve">Status lifecycle:</w:t>
      </w:r>
      <w:r>
        <w:t xml:space="preserve"> Open → In Progress → Resolved/Closed, with resolved-date bookkeeping stamped once and cleared if reopened.</w:t>
      </w:r>
    </w:p>
    <w:p>
      <w:pPr>
        <w:pStyle w:val="ListParagraph"/>
        <w:numPr>
          <w:ilvl w:val="0"/>
          <w:numId w:val="1"/>
        </w:numPr>
        <w:spacing w:after="60"/>
      </w:pPr>
      <w:r>
        <w:t xml:space="preserve">Any employee may raise a ticket for themselves only (no raising on behalf of another employee).</w:t>
      </w:r>
    </w:p>
    <w:p>
      <w:pPr>
        <w:pStyle w:val="ListParagraph"/>
        <w:numPr>
          <w:ilvl w:val="0"/>
          <w:numId w:val="1"/>
        </w:numPr>
        <w:spacing w:after="60"/>
      </w:pPr>
      <w:r>
        <w:rPr>
          <w:b/>
          <w:bCs/>
        </w:rPr>
        <w:t xml:space="preserve">Privacy-scoped visibility:</w:t>
      </w:r>
      <w:r>
        <w:t xml:space="preserve"> a ticket and its comment thread are visible only to the raiser and to HR/Admin — deliberately *not* to the raiser's manager chain, since tickets may concern sensitive personal requests. Only HR/Admin may change status or assignment.</w:t>
      </w:r>
    </w:p>
    <w:p>
      <w:pPr>
        <w:pStyle w:val="ListParagraph"/>
        <w:numPr>
          <w:ilvl w:val="0"/>
          <w:numId w:val="1"/>
        </w:numPr>
        <w:spacing w:after="60"/>
      </w:pPr>
      <w:r>
        <w:t xml:space="preserve">Non-admin ticket listings default to "my tickets only"; HR/Admin see everything by default with an optional "mine only" filter.</w:t>
      </w:r>
    </w:p>
    <w:p>
      <w:pPr>
        <w:pStyle w:val="ListParagraph"/>
        <w:numPr>
          <w:ilvl w:val="0"/>
          <w:numId w:val="1"/>
        </w:numPr>
        <w:spacing w:after="60"/>
      </w:pPr>
      <w:r>
        <w:t xml:space="preserve">Category management is HR/Admin only; employees raising a ticket see only active categories.</w:t>
      </w:r>
    </w:p>
    <w:p>
      <w:pPr>
        <w:pStyle w:val="ListParagraph"/>
        <w:numPr>
          <w:ilvl w:val="0"/>
          <w:numId w:val="1"/>
        </w:numPr>
        <w:spacing w:after="60"/>
      </w:pPr>
      <w:r>
        <w:rPr>
          <w:b/>
          <w:bCs/>
        </w:rPr>
        <w:t xml:space="preserve">Grievance / Whistleblower category (simplified, per SI's request):</w:t>
      </w:r>
      <w:r>
        <w:t xml:space="preserve"> a seeded, confidential (`isConfidential = true`) ticket category with visibility restricted to a small, Admin-designated </w:t>
      </w:r>
      <w:r>
        <w:rPr>
          <w:b/>
          <w:bCs/>
        </w:rPr>
        <w:t xml:space="preserve">handler list</w:t>
      </w:r>
      <w:r>
        <w:t xml:space="preserve"> (e.g., HR Admin plus a named compliance contact) rather than every HR Admin/Officer as with ordinary tickets — a materially narrower audience than standard Helpdesk visibility.</w:t>
      </w:r>
    </w:p>
    <w:p>
      <w:pPr>
        <w:pStyle w:val="ListParagraph"/>
        <w:numPr>
          <w:ilvl w:val="0"/>
          <w:numId w:val="1"/>
        </w:numPr>
        <w:spacing w:after="60"/>
      </w:pPr>
      <w:r>
        <w:rPr>
          <w:b/>
          <w:bCs/>
        </w:rPr>
        <w:t xml:space="preserve">Anonymous submission toggle:</w:t>
      </w:r>
      <w:r>
        <w:t xml:space="preserve"> when raising a ticket in this category, the employee may mark it `isAnonymous`. The submitter's identity is masked from anyone viewing the ticket (raiser shown as "Anonymous") while still being stored internally and logged whenever an Admin/Owner specifically looks it up — a deliberate, access-restricted, fully-audited exception, included only to deter bad-faith anonymous reports without ever exposing identity to ordinary handlers.</w:t>
      </w:r>
    </w:p>
    <w:p>
      <w:pPr>
        <w:pStyle w:val="ListParagraph"/>
        <w:numPr>
          <w:ilvl w:val="0"/>
          <w:numId w:val="1"/>
        </w:numPr>
        <w:spacing w:after="60"/>
      </w:pPr>
      <w:r>
        <w:rPr>
          <w:b/>
          <w:bCs/>
        </w:rPr>
        <w:t xml:space="preserve">Explicitly out of scope, as SI directed ("too complicated to build")</w:t>
      </w:r>
      <w:r>
        <w:t xml:space="preserve">: case-management workflow (multi-stage investigation states), external ombudsperson routing, statutory whistleblower-protection tracking, and anonymous two-way messaging infrastructure beyond the standard ticket comment thread. If a regulatory requirement later makes a dedicated module necessary, this category's data model (confidential category + anonymized-identity pattern) is the natural migration starting point.</w:t>
      </w:r>
    </w:p>
    <w:p>
      <w:pPr>
        <w:pStyle w:val="Heading3"/>
        <w:spacing w:after="160" w:before="280"/>
      </w:pPr>
      <w:r>
        <w:t xml:space="preserve">F5. Help &amp; Support Integration</w:t>
      </w:r>
    </w:p>
    <w:p>
      <w:pPr>
        <w:spacing w:after="160"/>
        <w:jc w:val="both"/>
      </w:pPr>
      <w:r>
        <w:rPr>
          <w:b/>
          <w:bCs/>
        </w:rPr>
        <w:t xml:space="preserve">Overview.</w:t>
      </w:r>
      <w:r>
        <w:t xml:space="preserve"> A thin, swappable integration layer providing an in-app "Help" link and contextual per-screen deep links into an external help center, rather than a built-in knowledge base.</w:t>
      </w:r>
    </w:p>
    <w:p>
      <w:pPr>
        <w:spacing w:after="160"/>
        <w:jc w:val="both"/>
      </w:pPr>
      <w:r>
        <w:rPr>
          <w:b/>
          <w:bCs/>
        </w:rPr>
        <w:t xml:space="preserve">Key features:</w:t>
      </w:r>
      <w:r>
        <w:t xml:space="preserve"> a pluggable help-provider interface (the reference system ships an implementation for a common third-party help-desk/knowledge-base platform) so the destination can be swapped or replaced with an in-app article system without touching calling code; per-screen contextual help via a label/tag mapped to help-center search; graceful fallback to a default help-center URL if a specific article lookup fails; URL validation before the help link is shown at all.</w:t>
      </w:r>
    </w:p>
    <w:p>
      <w:pPr>
        <w:pStyle w:val="Heading3"/>
        <w:spacing w:after="160" w:before="280"/>
      </w:pPr>
      <w:r>
        <w:t xml:space="preserve">F6. Mobile API Coverage</w:t>
      </w:r>
    </w:p>
    <w:p>
      <w:pPr>
        <w:spacing w:after="160"/>
        <w:jc w:val="both"/>
      </w:pPr>
      <w:r>
        <w:rPr>
          <w:b/>
          <w:bCs/>
        </w:rPr>
        <w:t xml:space="preserve">Overview.</w:t>
      </w:r>
      <w:r>
        <w:t xml:space="preserve"> SI confirmed the earlier "install a mobile PWA" plan is no longer required — this build is a responsive web application, full stop (Section 3.5). What remains a </w:t>
      </w:r>
      <w:r>
        <w:rPr>
          <w:b/>
          <w:bCs/>
        </w:rPr>
        <w:t xml:space="preserve">definitive requirement</w:t>
      </w:r>
      <w:r>
        <w:t xml:space="preserve"> is full API coverage across every module, so mobile access today means "use the responsive web app from a phone's browser," and so that a dedicated mobile client (native or PWA) remains a straightforward future addition rather than a re-architecture, should SI want one later. Push notifications are handled as a web-app-wide capability under the Notification Center (Section A7), not as something specific to this section.</w:t>
      </w:r>
    </w:p>
    <w:p>
      <w:pPr>
        <w:spacing w:after="160"/>
        <w:jc w:val="both"/>
      </w:pPr>
      <w:r>
        <w:rPr>
          <w:b/>
          <w:bCs/>
        </w:rPr>
        <w:t xml:space="preserve">Key data:</w:t>
      </w:r>
      <w:r>
        <w:t xml:space="preserve"> the existing "menus" nav-tree response (unchanged in shape) scoped to enabled modules and the caller's role.</w:t>
      </w:r>
    </w:p>
    <w:p>
      <w:pPr>
        <w:spacing w:after="160"/>
        <w:jc w:val="both"/>
      </w:pPr>
      <w:r>
        <w:rPr>
          <w:b/>
          <w:bCs/>
        </w:rPr>
        <w:t xml:space="preserve">Key features &amp; business rules:</w:t>
      </w:r>
    </w:p>
    <w:p>
      <w:pPr>
        <w:pStyle w:val="ListParagraph"/>
        <w:numPr>
          <w:ilvl w:val="0"/>
          <w:numId w:val="1"/>
        </w:numPr>
        <w:spacing w:after="60"/>
      </w:pPr>
      <w:r>
        <w:rPr>
          <w:b/>
          <w:bCs/>
        </w:rPr>
        <w:t xml:space="preserve">Full API-per-module coverage (definitive requirement — "Add APIs across all modules for mobile app access"):</w:t>
      </w:r>
      <w:r>
        <w:t xml:space="preserve"> every module in Domains B–F exposes the same REST API surface the web frontend consumes — leave application/approval, expense claims, attendance/time clock, asset/vehicle self-view, policy acknowledgement, helpdesk tickets, corporate directory, notifications, and pulse surveys (Section F8) all included, not a curated subset. There is deliberately </w:t>
      </w:r>
      <w:r>
        <w:rPr>
          <w:b/>
          <w:bCs/>
        </w:rPr>
        <w:t xml:space="preserve">one API per module</w:t>
      </w:r>
      <w:r>
        <w:t xml:space="preserve">, rather than a separate "mobile API" — this is what makes any future dedicated client (native app, or a PWA revisited later) an additive frontend on top of an already-complete API, not a second backend.</w:t>
      </w:r>
    </w:p>
    <w:p>
      <w:pPr>
        <w:pStyle w:val="ListParagraph"/>
        <w:numPr>
          <w:ilvl w:val="0"/>
          <w:numId w:val="1"/>
        </w:numPr>
        <w:spacing w:after="60"/>
      </w:pPr>
      <w:r>
        <w:t xml:space="preserve">The existing "menus" endpoint returns a nav tree scoped to enabled modules and the caller's role (Section 3.2 RBAC), so a lean, phone-optimized rendering of the web app can show only what a given user actually needs — including the role-aware quick-access actions described functionally in Section 3.4 (Apply for Leave, Submit a Claim, Punch In/Out, Raise a Ticket for ESS; approval queues for Supervisor/HR).</w:t>
      </w:r>
    </w:p>
    <w:p>
      <w:pPr>
        <w:pStyle w:val="ListParagraph"/>
        <w:numPr>
          <w:ilvl w:val="0"/>
          <w:numId w:val="1"/>
        </w:numPr>
        <w:spacing w:after="60"/>
      </w:pPr>
      <w:r>
        <w:t xml:space="preserve">Response metadata continues to indicate whether prerequisite configuration (e.g., a defined leave period or timesheet period) exists, so the client knows which actions are actually usable yet.</w:t>
      </w:r>
    </w:p>
    <w:p>
      <w:pPr>
        <w:pStyle w:val="ListParagraph"/>
        <w:numPr>
          <w:ilvl w:val="0"/>
          <w:numId w:val="1"/>
        </w:numPr>
        <w:spacing w:after="60"/>
      </w:pPr>
      <w:r>
        <w:t xml:space="preserve">Mobile authentication reuses the general-purpose OAuth2 server (Section A3) rather than a mobile-specific mechanism, so a future dedicated client authenticates the same way any other API consumer would.</w:t>
      </w:r>
    </w:p>
    <w:p>
      <w:pPr>
        <w:pStyle w:val="ListParagraph"/>
        <w:numPr>
          <w:ilvl w:val="0"/>
          <w:numId w:val="1"/>
        </w:numPr>
        <w:spacing w:after="60"/>
      </w:pPr>
      <w:r>
        <w:rPr>
          <w:b/>
          <w:bCs/>
        </w:rPr>
        <w:t xml:space="preserve">Explicitly out of scope for this build:</w:t>
      </w:r>
      <w:r>
        <w:t xml:space="preserve"> an installable PWA or native app, offline caching, and any mobile-specific push mechanism beyond the browser push already covered generally in Section A7. If SI later wants an installable/offline mobile experience, that is a scoped addition on top of this section's API surface, not a redesign of it.</w:t>
      </w:r>
    </w:p>
    <w:p>
      <w:pPr>
        <w:pStyle w:val="Heading3"/>
        <w:spacing w:after="160" w:before="280"/>
      </w:pPr>
      <w:r>
        <w:t xml:space="preserve">F7. Workspace Notifications (Outbound Webhook Broadcasting) — Descoped</w:t>
      </w:r>
    </w:p>
    <w:p>
      <w:pPr>
        <w:spacing w:after="160"/>
        <w:jc w:val="both"/>
      </w:pPr>
      <w:r>
        <w:rPr>
          <w:b/>
          <w:bCs/>
        </w:rPr>
        <w:t xml:space="preserve">Status: not an important feature for this build, per SI's explicit direction.</w:t>
      </w:r>
      <w:r>
        <w:t xml:space="preserve"> Retained here only as a reference note in case it is revisited later, and removed from the development schedule (Section 7) and roadmap (Section 8).</w:t>
      </w:r>
    </w:p>
    <w:p>
      <w:pPr>
        <w:spacing w:after="160"/>
        <w:jc w:val="both"/>
      </w:pPr>
      <w:r>
        <w:rPr>
          <w:b/>
          <w:bCs/>
        </w:rPr>
        <w:t xml:space="preserve">Overview (reference only).</w:t>
      </w:r>
      <w:r>
        <w:t xml:space="preserve"> Not an in-app notification inbox (that requirement is now met by Section A7) — this would have been an admin-configured broadcaster posting scheduled digest messages to external chat platforms (e.g., Slack, Google Chat, Microsoft Teams) for select HR events (birthdays, "on leave today," etc.). Since SI has an in-app Notification Center (A7) and has not asked for external chat-platform broadcasting, this is left undesigned; if wanted later, it is additive — a new outbound integration alongside the notification event bus already built for A7, not a prerequisite for anything else in this specification.</w:t>
      </w:r>
    </w:p>
    <w:p>
      <w:pPr>
        <w:pStyle w:val="Heading3"/>
        <w:spacing w:after="160" w:before="280"/>
      </w:pPr>
      <w:r>
        <w:t xml:space="preserve">F8. Employee Engagement &amp; Pulse Surveys</w:t>
      </w:r>
    </w:p>
    <w:p>
      <w:pPr>
        <w:spacing w:after="160"/>
        <w:jc w:val="both"/>
      </w:pPr>
      <w:r>
        <w:rPr>
          <w:b/>
          <w:bCs/>
        </w:rPr>
        <w:t xml:space="preserve">Overview.</w:t>
      </w:r>
      <w:r>
        <w:t xml:space="preserve"> New module proposed in response to SI's request to "propose how to implement employee engagement / pulse surveys." Designed as a lightweight, recurring, largely-anonymous survey tool — distinct from the existing Performance Management 360°-feedback flow (Section D2), which is named, periodic, and role-based rather than anonymous and continuous.</w:t>
      </w:r>
    </w:p>
    <w:p>
      <w:pPr>
        <w:spacing w:after="160"/>
        <w:jc w:val="both"/>
      </w:pPr>
      <w:r>
        <w:rPr>
          <w:b/>
          <w:bCs/>
        </w:rPr>
        <w:t xml:space="preserve">Key data:</w:t>
      </w:r>
      <w:r>
        <w:t xml:space="preserve"> Pulse Survey Templates (a short set of questions — recommended: mostly a 1–5 or eNPS-style 0–10 scale question plus one optional free-text question, kept short by design so completion rates stay high); Pulse Survey Runs (a scheduled instance of a template — launch date, close date, target audience scope such as all employees / a department / a location); Responses (per run, per respondent — </w:t>
      </w:r>
      <w:r>
        <w:rPr>
          <w:b/>
          <w:bCs/>
        </w:rPr>
        <w:t xml:space="preserve">not</w:t>
      </w:r>
      <w:r>
        <w:t xml:space="preserve"> linked to the identifiable employee in any UI or export; see the anonymization approach below); an aggregated Results snapshot per run (computed, not raw responses, is what HR/Admin ever sees at individual-department granularity).</w:t>
      </w:r>
    </w:p>
    <w:p>
      <w:pPr>
        <w:spacing w:after="160"/>
        <w:jc w:val="both"/>
      </w:pPr>
      <w:r>
        <w:rPr>
          <w:b/>
          <w:bCs/>
        </w:rPr>
        <w:t xml:space="preserve">Key features &amp; business rules:</w:t>
      </w:r>
    </w:p>
    <w:p>
      <w:pPr>
        <w:pStyle w:val="ListParagraph"/>
        <w:numPr>
          <w:ilvl w:val="0"/>
          <w:numId w:val="1"/>
        </w:numPr>
        <w:spacing w:after="60"/>
      </w:pPr>
      <w:r>
        <w:rPr>
          <w:b/>
          <w:bCs/>
        </w:rPr>
        <w:t xml:space="preserve">Recurring cadence:</w:t>
      </w:r>
      <w:r>
        <w:t xml:space="preserve"> a run is either one-off or on a recurring schedule (e.g., quarterly), launched automatically by a scheduled job (Section 3.5) which also handles reminder pushes/emails to non-respondents partway through the open window.</w:t>
      </w:r>
    </w:p>
    <w:p>
      <w:pPr>
        <w:pStyle w:val="ListParagraph"/>
        <w:numPr>
          <w:ilvl w:val="0"/>
          <w:numId w:val="1"/>
        </w:numPr>
        <w:spacing w:after="60"/>
      </w:pPr>
      <w:r>
        <w:rPr>
          <w:b/>
          <w:bCs/>
        </w:rPr>
        <w:t xml:space="preserve">Anonymization pattern reused from 360° Feedback:</w:t>
      </w:r>
      <w:r>
        <w:t xml:space="preserve"> the same "response recorded without a durable link back to respondent identity, with a minimum-N threshold before any breakdown is shown" pattern already used for 360° reviewer feedback (Section D2) is reused here — a department/team-level breakdown is only shown once a configurable minimum number of responses (default 5) have been received for that slice, so no individual can be inferred from a small group's aggregate.</w:t>
      </w:r>
    </w:p>
    <w:p>
      <w:pPr>
        <w:pStyle w:val="ListParagraph"/>
        <w:numPr>
          <w:ilvl w:val="0"/>
          <w:numId w:val="1"/>
        </w:numPr>
        <w:spacing w:after="60"/>
      </w:pPr>
      <w:r>
        <w:rPr>
          <w:b/>
          <w:bCs/>
        </w:rPr>
        <w:t xml:space="preserve">eNPS-style scoring:</w:t>
      </w:r>
      <w:r>
        <w:t xml:space="preserve"> if the primary question is the standard 0–10 "how likely are you to recommend working here" format, the system computes the standard eNPS score (%Promoters [9–10] − %Detractors [0–6]) automatically per run and tracks it over time on a trend chart — giving HR a single, comparable engagement metric across quarters without designing a bespoke scoring scheme.</w:t>
      </w:r>
    </w:p>
    <w:p>
      <w:pPr>
        <w:pStyle w:val="ListParagraph"/>
        <w:numPr>
          <w:ilvl w:val="0"/>
          <w:numId w:val="1"/>
        </w:numPr>
        <w:spacing w:after="60"/>
      </w:pPr>
      <w:r>
        <w:rPr>
          <w:b/>
          <w:bCs/>
        </w:rPr>
        <w:t xml:space="preserve">Participation tracking without identity leakage:</w:t>
      </w:r>
      <w:r>
        <w:t xml:space="preserve"> the system can report *who has not yet responded* (needed to send reminders) without exposing *what* any specific respondent answered — these are two separate, deliberately-unlinked records (a participation flag, and an anonymous response), not one record with a name attached.</w:t>
      </w:r>
    </w:p>
    <w:p>
      <w:pPr>
        <w:pStyle w:val="ListParagraph"/>
        <w:numPr>
          <w:ilvl w:val="0"/>
          <w:numId w:val="1"/>
        </w:numPr>
        <w:spacing w:after="60"/>
      </w:pPr>
      <w:r>
        <w:rPr>
          <w:b/>
          <w:bCs/>
        </w:rPr>
        <w:t xml:space="preserve">Free-text moderation:</w:t>
      </w:r>
      <w:r>
        <w:t xml:space="preserve"> optional free-text responses are shown to HR/Admin only in the aggregate results view (not attributed), with a lightweight profanity/abuse filter flagging entries for review before they're surfaced, consistent with the confidentiality expectations pulse surveys depend on.</w:t>
      </w:r>
    </w:p>
    <w:p>
      <w:pPr>
        <w:pStyle w:val="ListParagraph"/>
        <w:numPr>
          <w:ilvl w:val="0"/>
          <w:numId w:val="1"/>
        </w:numPr>
        <w:spacing w:after="60"/>
      </w:pPr>
      <w:r>
        <w:rPr>
          <w:b/>
          <w:bCs/>
        </w:rPr>
        <w:t xml:space="preserve">Delivery:</w:t>
      </w:r>
      <w:r>
        <w:t xml:space="preserve"> survey-open and reminder notifications go out through the same shared `NotificationService` (Section A7) — in-app, email, and push — as every other module, rather than a bespoke survey-invite mechanism.</w:t>
      </w:r>
    </w:p>
    <w:p>
      <w:r>
        <w:br w:type="page"/>
      </w:r>
    </w:p>
    <w:p>
      <w:pPr>
        <w:pStyle w:val="Heading1"/>
        <w:spacing w:after="160" w:before="280"/>
      </w:pPr>
      <w:r>
        <w:t xml:space="preserve">5. Non-Functional Requirements</w:t>
      </w:r>
    </w:p>
    <w:p>
      <w:pPr>
        <w:spacing w:after="160"/>
        <w:jc w:val="both"/>
      </w:pPr>
      <w:r>
        <w:rPr>
          <w:b/>
          <w:bCs/>
        </w:rPr>
        <w:t xml:space="preserve">Security.</w:t>
      </w:r>
      <w:r>
        <w:t xml:space="preserve"> Password hashing with a modern algorithm; encryption at rest for identified PII/financial fields (Section 3.2); TLS everywhere; CSRF protection on all state-changing requests; rate limiting on authentication and password-reset endpoints; a central authorization check (Section 3.2) rather than per-endpoint ad hoc logic, to eliminate an entire class of "forgot to check permissions on this new endpoint" defects; secrets (SMTP credentials, OAuth client secrets, webhook URLs) encrypted at rest and never returned in plaintext by read APIs.</w:t>
      </w:r>
    </w:p>
    <w:p>
      <w:pPr>
        <w:spacing w:after="160"/>
        <w:jc w:val="both"/>
      </w:pPr>
      <w:r>
        <w:rPr>
          <w:b/>
          <w:bCs/>
        </w:rPr>
        <w:t xml:space="preserve">Auditability.</w:t>
      </w:r>
      <w:r>
        <w:t xml:space="preserve"> Every data mutation attributable to an actor and timestamp with field-level change history (Section 3.2), retained per the organization's records-retention policy; a browsable, filterable audit log available to administrators.</w:t>
      </w:r>
    </w:p>
    <w:p>
      <w:pPr>
        <w:spacing w:after="160"/>
        <w:jc w:val="both"/>
      </w:pPr>
      <w:r>
        <w:rPr>
          <w:b/>
          <w:bCs/>
        </w:rPr>
        <w:t xml:space="preserve">Data Privacy &amp; Compliance.</w:t>
      </w:r>
      <w:r>
        <w:t xml:space="preserve"> GDPR-aligned purge/anonymization tooling (Section A6) covering both employees and recruitment candidates; a data-retention policy for audit logs, login history, and notification logs; explicit consent capture for candidate data retention (already present in the reference candidate model) generalized to any other module capturing personal data from non-employees.</w:t>
      </w:r>
    </w:p>
    <w:p>
      <w:pPr>
        <w:spacing w:after="160"/>
        <w:jc w:val="both"/>
      </w:pPr>
      <w:r>
        <w:rPr>
          <w:b/>
          <w:bCs/>
        </w:rPr>
        <w:t xml:space="preserve">Availability &amp; Performance.</w:t>
      </w:r>
      <w:r>
        <w:t xml:space="preserve"> The system should target standard business-hours-plus-buffer availability for an internal HR system (exact SLA to be agreed with Systems Intelligenz IT); read-heavy screens (directory, dashboard, employee list) should be designed for consistent sub-second response at the organization's expected headcount; scheduled/background jobs (GDPR purge sweeps, renewal reminders, HR metrics snapshots, notification digests) must not degrade interactive request latency.</w:t>
      </w:r>
    </w:p>
    <w:p>
      <w:pPr>
        <w:spacing w:after="160"/>
        <w:jc w:val="both"/>
      </w:pPr>
      <w:r>
        <w:rPr>
          <w:b/>
          <w:bCs/>
        </w:rPr>
        <w:t xml:space="preserve">Scalability.</w:t>
      </w:r>
      <w:r>
        <w:t xml:space="preserve"> Object storage for file attachments (Section 3.2) rather than database BLOBs, to keep the primary database backup/restore fast as attachment volume grows; the org-chart/department hierarchy should use a tree representation that keeps subtree queries efficient at scale.</w:t>
      </w:r>
    </w:p>
    <w:p>
      <w:pPr>
        <w:spacing w:after="160"/>
        <w:jc w:val="both"/>
      </w:pPr>
      <w:r>
        <w:rPr>
          <w:b/>
          <w:bCs/>
        </w:rPr>
        <w:t xml:space="preserve">Localization.</w:t>
      </w:r>
      <w:r>
        <w:t xml:space="preserve"> Full support for the translation model in Section A4 from day one, not retrofitted later, given Systems Intelligenz's likely multi-region footprint (the reference system already models per-country operational settings for holidays, work weeks, and leave types).</w:t>
      </w:r>
    </w:p>
    <w:p>
      <w:pPr>
        <w:spacing w:after="160"/>
        <w:jc w:val="both"/>
      </w:pPr>
      <w:r>
        <w:rPr>
          <w:b/>
          <w:bCs/>
        </w:rPr>
        <w:t xml:space="preserve">Accessibility.</w:t>
      </w:r>
      <w:r>
        <w:t xml:space="preserve"> The web UI should target a recognized accessibility standard (e.g., WCAG 2.1 AA) given this is a system every employee, regardless of role, must be able to use.</w:t>
      </w:r>
    </w:p>
    <w:p>
      <w:pPr>
        <w:spacing w:after="160"/>
        <w:jc w:val="both"/>
      </w:pPr>
      <w:r>
        <w:rPr>
          <w:b/>
          <w:bCs/>
        </w:rPr>
        <w:t xml:space="preserve">Browser &amp; Mobile Support.</w:t>
      </w:r>
      <w:r>
        <w:t xml:space="preserve"> Current major evergreen browsers; a mobile experience at minimum equivalent to the reference system's self-service leave/time/attendance actions (Section F6), extensible to push notifications if desired.</w:t>
      </w:r>
    </w:p>
    <w:p>
      <w:r>
        <w:br w:type="page"/>
      </w:r>
    </w:p>
    <w:p>
      <w:pPr>
        <w:pStyle w:val="Heading1"/>
        <w:spacing w:after="160" w:before="280"/>
      </w:pPr>
      <w:r>
        <w:t xml:space="preserve">6. Cross-Cutting Recommendations Summary</w:t>
      </w:r>
    </w:p>
    <w:p>
      <w:pPr>
        <w:spacing w:after="160"/>
        <w:jc w:val="both"/>
      </w:pPr>
      <w:r>
        <w:t xml:space="preserve">The following decisions are called out explicitly because they represent either a strength of the reference system worth deliberately preserving, or a gap/inconsistency worth deliberately fixing, rather than something to silently inherit either way:</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3360"/>
        <w:gridCol w:w="3360"/>
        <w:gridCol w:w="3360"/>
      </w:tblGrid>
      <w:tr>
        <w:trPr>
          <w:tblHeader/>
        </w:trPr>
        <w:tc>
          <w:tcPr>
            <w:tcW w:type="dxa" w:w="3360"/>
            <w:shd w:fill="1F3864" w:val="clear"/>
            <w:tcMar>
              <w:top w:type="dxa" w:w="60"/>
              <w:left w:type="dxa" w:w="100"/>
              <w:bottom w:type="dxa" w:w="60"/>
              <w:right w:type="dxa" w:w="100"/>
            </w:tcMar>
            <w:vAlign w:val="center"/>
          </w:tcPr>
          <w:p>
            <w:r>
              <w:rPr>
                <w:b/>
                <w:bCs/>
                <w:color w:val="FFFFFF"/>
                <w:sz w:val="18"/>
                <w:szCs w:val="18"/>
              </w:rPr>
              <w:t xml:space="preserve">#</w:t>
            </w:r>
          </w:p>
        </w:tc>
        <w:tc>
          <w:tcPr>
            <w:tcW w:type="dxa" w:w="3360"/>
            <w:shd w:fill="1F3864" w:val="clear"/>
            <w:tcMar>
              <w:top w:type="dxa" w:w="60"/>
              <w:left w:type="dxa" w:w="100"/>
              <w:bottom w:type="dxa" w:w="60"/>
              <w:right w:type="dxa" w:w="100"/>
            </w:tcMar>
            <w:vAlign w:val="center"/>
          </w:tcPr>
          <w:p>
            <w:r>
              <w:rPr>
                <w:b/>
                <w:bCs/>
                <w:color w:val="FFFFFF"/>
                <w:sz w:val="18"/>
                <w:szCs w:val="18"/>
              </w:rPr>
              <w:t xml:space="preserve">Recommendation</w:t>
            </w:r>
          </w:p>
        </w:tc>
        <w:tc>
          <w:tcPr>
            <w:tcW w:type="dxa" w:w="3360"/>
            <w:shd w:fill="1F3864" w:val="clear"/>
            <w:tcMar>
              <w:top w:type="dxa" w:w="60"/>
              <w:left w:type="dxa" w:w="100"/>
              <w:bottom w:type="dxa" w:w="60"/>
              <w:right w:type="dxa" w:w="100"/>
            </w:tcMar>
            <w:vAlign w:val="center"/>
          </w:tcPr>
          <w:p>
            <w:r>
              <w:rPr>
                <w:b/>
                <w:bCs/>
                <w:color w:val="FFFFFF"/>
                <w:sz w:val="18"/>
                <w:szCs w:val="18"/>
              </w:rPr>
              <w:t xml:space="preserve">Rationale</w:t>
            </w:r>
          </w:p>
        </w:tc>
      </w:tr>
      <w:tr>
        <w:trPr>
          <w:tblHeader w:val="false"/>
        </w:trPr>
        <w:tc>
          <w:tcPr>
            <w:tcW w:type="dxa" w:w="3360"/>
            <w:tcMar>
              <w:top w:type="dxa" w:w="60"/>
              <w:left w:type="dxa" w:w="100"/>
              <w:bottom w:type="dxa" w:w="60"/>
              <w:right w:type="dxa" w:w="100"/>
            </w:tcMar>
            <w:vAlign w:val="center"/>
          </w:tcPr>
          <w:p>
            <w:r>
              <w:rPr>
                <w:sz w:val="18"/>
                <w:szCs w:val="18"/>
              </w:rPr>
              <w:t xml:space="preserve">1</w:t>
            </w:r>
          </w:p>
        </w:tc>
        <w:tc>
          <w:tcPr>
            <w:tcW w:type="dxa" w:w="3360"/>
            <w:tcMar>
              <w:top w:type="dxa" w:w="60"/>
              <w:left w:type="dxa" w:w="100"/>
              <w:bottom w:type="dxa" w:w="60"/>
              <w:right w:type="dxa" w:w="100"/>
            </w:tcMar>
            <w:vAlign w:val="center"/>
          </w:tcPr>
          <w:p>
            <w:r>
              <w:rPr>
                <w:sz w:val="18"/>
                <w:szCs w:val="18"/>
              </w:rPr>
              <w:t xml:space="preserve">Implement the three-tier permission model (screen / data-group with self-scope / API) as a first-class platform capability</w:t>
            </w:r>
          </w:p>
        </w:tc>
        <w:tc>
          <w:tcPr>
            <w:tcW w:type="dxa" w:w="3360"/>
            <w:tcMar>
              <w:top w:type="dxa" w:w="60"/>
              <w:left w:type="dxa" w:w="100"/>
              <w:bottom w:type="dxa" w:w="60"/>
              <w:right w:type="dxa" w:w="100"/>
            </w:tcMar>
            <w:vAlign w:val="center"/>
          </w:tcPr>
          <w:p>
            <w:r>
              <w:rPr>
                <w:sz w:val="18"/>
                <w:szCs w:val="18"/>
              </w:rPr>
              <w:t xml:space="preserve">It is what lets every other module plug into one consistent authorization system instead of reinventing access control</w:t>
            </w:r>
          </w:p>
        </w:tc>
      </w:tr>
      <w:tr>
        <w:trPr>
          <w:tblHeader w:val="false"/>
        </w:trPr>
        <w:tc>
          <w:tcPr>
            <w:tcW w:type="dxa" w:w="3360"/>
            <w:tcMar>
              <w:top w:type="dxa" w:w="60"/>
              <w:left w:type="dxa" w:w="100"/>
              <w:bottom w:type="dxa" w:w="60"/>
              <w:right w:type="dxa" w:w="100"/>
            </w:tcMar>
            <w:vAlign w:val="center"/>
          </w:tcPr>
          <w:p>
            <w:r>
              <w:rPr>
                <w:sz w:val="18"/>
                <w:szCs w:val="18"/>
              </w:rPr>
              <w:t xml:space="preserve">2</w:t>
            </w:r>
          </w:p>
        </w:tc>
        <w:tc>
          <w:tcPr>
            <w:tcW w:type="dxa" w:w="3360"/>
            <w:tcMar>
              <w:top w:type="dxa" w:w="60"/>
              <w:left w:type="dxa" w:w="100"/>
              <w:bottom w:type="dxa" w:w="60"/>
              <w:right w:type="dxa" w:w="100"/>
            </w:tcMar>
            <w:vAlign w:val="center"/>
          </w:tcPr>
          <w:p>
            <w:r>
              <w:rPr>
                <w:sz w:val="18"/>
                <w:szCs w:val="18"/>
              </w:rPr>
              <w:t xml:space="preserve">Implement one generic, data-driven workflow-state-machine engine shared by every approval process</w:t>
            </w:r>
          </w:p>
        </w:tc>
        <w:tc>
          <w:tcPr>
            <w:tcW w:type="dxa" w:w="3360"/>
            <w:tcMar>
              <w:top w:type="dxa" w:w="60"/>
              <w:left w:type="dxa" w:w="100"/>
              <w:bottom w:type="dxa" w:w="60"/>
              <w:right w:type="dxa" w:w="100"/>
            </w:tcMar>
            <w:vAlign w:val="center"/>
          </w:tcPr>
          <w:p>
            <w:r>
              <w:rPr>
                <w:sz w:val="18"/>
                <w:szCs w:val="18"/>
              </w:rPr>
              <w:t xml:space="preserve">Proven across five modules in the reference system (Leave, Timesheet, Attendance permissions, Recruitment, Performance); avoids duplicated, drifting approval logic</w:t>
            </w:r>
          </w:p>
        </w:tc>
      </w:tr>
      <w:tr>
        <w:trPr>
          <w:tblHeader w:val="false"/>
        </w:trPr>
        <w:tc>
          <w:tcPr>
            <w:tcW w:type="dxa" w:w="3360"/>
            <w:tcMar>
              <w:top w:type="dxa" w:w="60"/>
              <w:left w:type="dxa" w:w="100"/>
              <w:bottom w:type="dxa" w:w="60"/>
              <w:right w:type="dxa" w:w="100"/>
            </w:tcMar>
            <w:vAlign w:val="center"/>
          </w:tcPr>
          <w:p>
            <w:r>
              <w:rPr>
                <w:sz w:val="18"/>
                <w:szCs w:val="18"/>
              </w:rPr>
              <w:t xml:space="preserve">3</w:t>
            </w:r>
          </w:p>
        </w:tc>
        <w:tc>
          <w:tcPr>
            <w:tcW w:type="dxa" w:w="3360"/>
            <w:tcMar>
              <w:top w:type="dxa" w:w="60"/>
              <w:left w:type="dxa" w:w="100"/>
              <w:bottom w:type="dxa" w:w="60"/>
              <w:right w:type="dxa" w:w="100"/>
            </w:tcMar>
            <w:vAlign w:val="center"/>
          </w:tcPr>
          <w:p>
            <w:r>
              <w:rPr>
                <w:sz w:val="18"/>
                <w:szCs w:val="18"/>
              </w:rPr>
              <w:t xml:space="preserve">Implement audit logging as a single, automatic, entity-level mechanism from day one</w:t>
            </w:r>
          </w:p>
        </w:tc>
        <w:tc>
          <w:tcPr>
            <w:tcW w:type="dxa" w:w="3360"/>
            <w:tcMar>
              <w:top w:type="dxa" w:w="60"/>
              <w:left w:type="dxa" w:w="100"/>
              <w:bottom w:type="dxa" w:w="60"/>
              <w:right w:type="dxa" w:w="100"/>
            </w:tcMar>
            <w:vAlign w:val="center"/>
          </w:tcPr>
          <w:p>
            <w:r>
              <w:rPr>
                <w:sz w:val="18"/>
                <w:szCs w:val="18"/>
              </w:rPr>
              <w:t xml:space="preserve">The reference system organically grew two overlapping audit mechanisms; avoid repeating that</w:t>
            </w:r>
          </w:p>
        </w:tc>
      </w:tr>
      <w:tr>
        <w:trPr>
          <w:tblHeader w:val="false"/>
        </w:trPr>
        <w:tc>
          <w:tcPr>
            <w:tcW w:type="dxa" w:w="3360"/>
            <w:tcMar>
              <w:top w:type="dxa" w:w="60"/>
              <w:left w:type="dxa" w:w="100"/>
              <w:bottom w:type="dxa" w:w="60"/>
              <w:right w:type="dxa" w:w="100"/>
            </w:tcMar>
            <w:vAlign w:val="center"/>
          </w:tcPr>
          <w:p>
            <w:r>
              <w:rPr>
                <w:sz w:val="18"/>
                <w:szCs w:val="18"/>
              </w:rPr>
              <w:t xml:space="preserve">4</w:t>
            </w:r>
          </w:p>
        </w:tc>
        <w:tc>
          <w:tcPr>
            <w:tcW w:type="dxa" w:w="3360"/>
            <w:tcMar>
              <w:top w:type="dxa" w:w="60"/>
              <w:left w:type="dxa" w:w="100"/>
              <w:bottom w:type="dxa" w:w="60"/>
              <w:right w:type="dxa" w:w="100"/>
            </w:tcMar>
            <w:vAlign w:val="center"/>
          </w:tcPr>
          <w:p>
            <w:r>
              <w:rPr>
                <w:sz w:val="18"/>
                <w:szCs w:val="18"/>
              </w:rPr>
              <w:t xml:space="preserve">Store file attachments in object storage with database metadata only</w:t>
            </w:r>
          </w:p>
        </w:tc>
        <w:tc>
          <w:tcPr>
            <w:tcW w:type="dxa" w:w="3360"/>
            <w:tcMar>
              <w:top w:type="dxa" w:w="60"/>
              <w:left w:type="dxa" w:w="100"/>
              <w:bottom w:type="dxa" w:w="60"/>
              <w:right w:type="dxa" w:w="100"/>
            </w:tcMar>
            <w:vAlign w:val="center"/>
          </w:tcPr>
          <w:p>
            <w:r>
              <w:rPr>
                <w:sz w:val="18"/>
                <w:szCs w:val="18"/>
              </w:rPr>
              <w:t xml:space="preserve">The reference system stores everything as database BLOBs, which does not scale gracefully for backups/restores</w:t>
            </w:r>
          </w:p>
        </w:tc>
      </w:tr>
      <w:tr>
        <w:trPr>
          <w:tblHeader w:val="false"/>
        </w:trPr>
        <w:tc>
          <w:tcPr>
            <w:tcW w:type="dxa" w:w="3360"/>
            <w:tcMar>
              <w:top w:type="dxa" w:w="60"/>
              <w:left w:type="dxa" w:w="100"/>
              <w:bottom w:type="dxa" w:w="60"/>
              <w:right w:type="dxa" w:w="100"/>
            </w:tcMar>
            <w:vAlign w:val="center"/>
          </w:tcPr>
          <w:p>
            <w:r>
              <w:rPr>
                <w:sz w:val="18"/>
                <w:szCs w:val="18"/>
              </w:rPr>
              <w:t xml:space="preserve">5</w:t>
            </w:r>
          </w:p>
        </w:tc>
        <w:tc>
          <w:tcPr>
            <w:tcW w:type="dxa" w:w="3360"/>
            <w:tcMar>
              <w:top w:type="dxa" w:w="60"/>
              <w:left w:type="dxa" w:w="100"/>
              <w:bottom w:type="dxa" w:w="60"/>
              <w:right w:type="dxa" w:w="100"/>
            </w:tcMar>
            <w:vAlign w:val="center"/>
          </w:tcPr>
          <w:p>
            <w:r>
              <w:rPr>
                <w:sz w:val="18"/>
                <w:szCs w:val="18"/>
              </w:rPr>
              <w:t xml:space="preserve">Make encryption-at-rest for PII/financial fields an explicit, documented decision</w:t>
            </w:r>
          </w:p>
        </w:tc>
        <w:tc>
          <w:tcPr>
            <w:tcW w:type="dxa" w:w="3360"/>
            <w:tcMar>
              <w:top w:type="dxa" w:w="60"/>
              <w:left w:type="dxa" w:w="100"/>
              <w:bottom w:type="dxa" w:w="60"/>
              <w:right w:type="dxa" w:w="100"/>
            </w:tcMar>
            <w:vAlign w:val="center"/>
          </w:tcPr>
          <w:p>
            <w:r>
              <w:rPr>
                <w:sz w:val="18"/>
                <w:szCs w:val="18"/>
              </w:rPr>
              <w:t xml:space="preserve">The reference system's oversized string columns for SSN/salary imply the intent existed but was never formalized</w:t>
            </w:r>
          </w:p>
        </w:tc>
      </w:tr>
      <w:tr>
        <w:trPr>
          <w:tblHeader w:val="false"/>
        </w:trPr>
        <w:tc>
          <w:tcPr>
            <w:tcW w:type="dxa" w:w="3360"/>
            <w:tcMar>
              <w:top w:type="dxa" w:w="60"/>
              <w:left w:type="dxa" w:w="100"/>
              <w:bottom w:type="dxa" w:w="60"/>
              <w:right w:type="dxa" w:w="100"/>
            </w:tcMar>
            <w:vAlign w:val="center"/>
          </w:tcPr>
          <w:p>
            <w:r>
              <w:rPr>
                <w:sz w:val="18"/>
                <w:szCs w:val="18"/>
              </w:rPr>
              <w:t xml:space="preserve">6</w:t>
            </w:r>
          </w:p>
        </w:tc>
        <w:tc>
          <w:tcPr>
            <w:tcW w:type="dxa" w:w="3360"/>
            <w:tcMar>
              <w:top w:type="dxa" w:w="60"/>
              <w:left w:type="dxa" w:w="100"/>
              <w:bottom w:type="dxa" w:w="60"/>
              <w:right w:type="dxa" w:w="100"/>
            </w:tcMar>
            <w:vAlign w:val="center"/>
          </w:tcPr>
          <w:p>
            <w:r>
              <w:rPr>
                <w:b/>
                <w:bCs/>
                <w:sz w:val="18"/>
                <w:szCs w:val="18"/>
              </w:rPr>
              <w:t xml:space="preserve">Resolved this iteration</w:t>
            </w:r>
            <w:r>
              <w:rPr>
                <w:sz w:val="18"/>
                <w:szCs w:val="18"/>
              </w:rPr>
              <w:t xml:space="preserve"> — Asset Management (E2) now has full assignment history and status/assignment consistency rules, matching Vehicle Fleet Management</w:t>
            </w:r>
          </w:p>
        </w:tc>
        <w:tc>
          <w:tcPr>
            <w:tcW w:type="dxa" w:w="3360"/>
            <w:tcMar>
              <w:top w:type="dxa" w:w="60"/>
              <w:left w:type="dxa" w:w="100"/>
              <w:bottom w:type="dxa" w:w="60"/>
              <w:right w:type="dxa" w:w="100"/>
            </w:tcMar>
            <w:vAlign w:val="center"/>
          </w:tcPr>
          <w:p>
            <w:r>
              <w:rPr>
                <w:sz w:val="18"/>
                <w:szCs w:val="18"/>
              </w:rPr>
              <w:t xml:space="preserve">The reference system's Asset module was a known regression relative to its own Vehicle module</w:t>
            </w:r>
          </w:p>
        </w:tc>
      </w:tr>
      <w:tr>
        <w:trPr>
          <w:tblHeader w:val="false"/>
        </w:trPr>
        <w:tc>
          <w:tcPr>
            <w:tcW w:type="dxa" w:w="3360"/>
            <w:tcMar>
              <w:top w:type="dxa" w:w="60"/>
              <w:left w:type="dxa" w:w="100"/>
              <w:bottom w:type="dxa" w:w="60"/>
              <w:right w:type="dxa" w:w="100"/>
            </w:tcMar>
            <w:vAlign w:val="center"/>
          </w:tcPr>
          <w:p>
            <w:r>
              <w:rPr>
                <w:sz w:val="18"/>
                <w:szCs w:val="18"/>
              </w:rPr>
              <w:t xml:space="preserve">7</w:t>
            </w:r>
          </w:p>
        </w:tc>
        <w:tc>
          <w:tcPr>
            <w:tcW w:type="dxa" w:w="3360"/>
            <w:tcMar>
              <w:top w:type="dxa" w:w="60"/>
              <w:left w:type="dxa" w:w="100"/>
              <w:bottom w:type="dxa" w:w="60"/>
              <w:right w:type="dxa" w:w="100"/>
            </w:tcMar>
            <w:vAlign w:val="center"/>
          </w:tcPr>
          <w:p>
            <w:r>
              <w:rPr>
                <w:b/>
                <w:bCs/>
                <w:sz w:val="18"/>
                <w:szCs w:val="18"/>
              </w:rPr>
              <w:t xml:space="preserve">Resolved this iteration, per SI's explicit direction</w:t>
            </w:r>
            <w:r>
              <w:rPr>
                <w:sz w:val="18"/>
                <w:szCs w:val="18"/>
              </w:rPr>
              <w:t xml:space="preserve"> — both Asset Management (E2) and Vehicle Fleet Management (E3) now use self-only visibility for ordinary employees</w:t>
            </w:r>
          </w:p>
        </w:tc>
        <w:tc>
          <w:tcPr>
            <w:tcW w:type="dxa" w:w="3360"/>
            <w:tcMar>
              <w:top w:type="dxa" w:w="60"/>
              <w:left w:type="dxa" w:w="100"/>
              <w:bottom w:type="dxa" w:w="60"/>
              <w:right w:type="dxa" w:w="100"/>
            </w:tcMar>
            <w:vAlign w:val="center"/>
          </w:tcPr>
          <w:p>
            <w:r>
              <w:rPr>
                <w:sz w:val="18"/>
                <w:szCs w:val="18"/>
              </w:rPr>
              <w:t xml:space="preserve">SI specified "employees should only see assets assigned to them. Same for vehicles," settling the reference system's prior inconsistency in favor of the self-only model</w:t>
            </w:r>
          </w:p>
        </w:tc>
      </w:tr>
      <w:tr>
        <w:trPr>
          <w:tblHeader w:val="false"/>
        </w:trPr>
        <w:tc>
          <w:tcPr>
            <w:tcW w:type="dxa" w:w="3360"/>
            <w:tcMar>
              <w:top w:type="dxa" w:w="60"/>
              <w:left w:type="dxa" w:w="100"/>
              <w:bottom w:type="dxa" w:w="60"/>
              <w:right w:type="dxa" w:w="100"/>
            </w:tcMar>
            <w:vAlign w:val="center"/>
          </w:tcPr>
          <w:p>
            <w:r>
              <w:rPr>
                <w:sz w:val="18"/>
                <w:szCs w:val="18"/>
              </w:rPr>
              <w:t xml:space="preserve">8</w:t>
            </w:r>
          </w:p>
        </w:tc>
        <w:tc>
          <w:tcPr>
            <w:tcW w:type="dxa" w:w="3360"/>
            <w:tcMar>
              <w:top w:type="dxa" w:w="60"/>
              <w:left w:type="dxa" w:w="100"/>
              <w:bottom w:type="dxa" w:w="60"/>
              <w:right w:type="dxa" w:w="100"/>
            </w:tcMar>
            <w:vAlign w:val="center"/>
          </w:tcPr>
          <w:p>
            <w:r>
              <w:rPr>
                <w:sz w:val="18"/>
                <w:szCs w:val="18"/>
              </w:rPr>
              <w:t xml:space="preserve">Consolidate GDPR purge and access-strategy rules as configuration data, not code</w:t>
            </w:r>
          </w:p>
        </w:tc>
        <w:tc>
          <w:tcPr>
            <w:tcW w:type="dxa" w:w="3360"/>
            <w:tcMar>
              <w:top w:type="dxa" w:w="60"/>
              <w:left w:type="dxa" w:w="100"/>
              <w:bottom w:type="dxa" w:w="60"/>
              <w:right w:type="dxa" w:w="100"/>
            </w:tcMar>
            <w:vAlign w:val="center"/>
          </w:tcPr>
          <w:p>
            <w:r>
              <w:rPr>
                <w:sz w:val="18"/>
                <w:szCs w:val="18"/>
              </w:rPr>
              <w:t xml:space="preserve">Lets new PII fields be protected by a config change rather than a deployment</w:t>
            </w:r>
          </w:p>
        </w:tc>
      </w:tr>
      <w:tr>
        <w:trPr>
          <w:tblHeader w:val="false"/>
        </w:trPr>
        <w:tc>
          <w:tcPr>
            <w:tcW w:type="dxa" w:w="3360"/>
            <w:tcMar>
              <w:top w:type="dxa" w:w="60"/>
              <w:left w:type="dxa" w:w="100"/>
              <w:bottom w:type="dxa" w:w="60"/>
              <w:right w:type="dxa" w:w="100"/>
            </w:tcMar>
            <w:vAlign w:val="center"/>
          </w:tcPr>
          <w:p>
            <w:r>
              <w:rPr>
                <w:sz w:val="18"/>
                <w:szCs w:val="18"/>
              </w:rPr>
              <w:t xml:space="preserve">9</w:t>
            </w:r>
          </w:p>
        </w:tc>
        <w:tc>
          <w:tcPr>
            <w:tcW w:type="dxa" w:w="3360"/>
            <w:tcMar>
              <w:top w:type="dxa" w:w="60"/>
              <w:left w:type="dxa" w:w="100"/>
              <w:bottom w:type="dxa" w:w="60"/>
              <w:right w:type="dxa" w:w="100"/>
            </w:tcMar>
            <w:vAlign w:val="center"/>
          </w:tcPr>
          <w:p>
            <w:r>
              <w:rPr>
                <w:sz w:val="18"/>
                <w:szCs w:val="18"/>
              </w:rPr>
              <w:t xml:space="preserve">Treat notification delivery as best-effort and non-blocking everywhere</w:t>
            </w:r>
          </w:p>
        </w:tc>
        <w:tc>
          <w:tcPr>
            <w:tcW w:type="dxa" w:w="3360"/>
            <w:tcMar>
              <w:top w:type="dxa" w:w="60"/>
              <w:left w:type="dxa" w:w="100"/>
              <w:bottom w:type="dxa" w:w="60"/>
              <w:right w:type="dxa" w:w="100"/>
            </w:tcMar>
            <w:vAlign w:val="center"/>
          </w:tcPr>
          <w:p>
            <w:r>
              <w:rPr>
                <w:sz w:val="18"/>
                <w:szCs w:val="18"/>
              </w:rPr>
              <w:t xml:space="preserve">The reference system consistently avoids letting a failed email break the underlying business action — this must remain true in every module of the new system, not just the ones that happened to implement it that way</w:t>
            </w:r>
          </w:p>
        </w:tc>
      </w:tr>
      <w:tr>
        <w:trPr>
          <w:tblHeader w:val="false"/>
        </w:trPr>
        <w:tc>
          <w:tcPr>
            <w:tcW w:type="dxa" w:w="3360"/>
            <w:tcMar>
              <w:top w:type="dxa" w:w="60"/>
              <w:left w:type="dxa" w:w="100"/>
              <w:bottom w:type="dxa" w:w="60"/>
              <w:right w:type="dxa" w:w="100"/>
            </w:tcMar>
            <w:vAlign w:val="center"/>
          </w:tcPr>
          <w:p>
            <w:r>
              <w:rPr>
                <w:sz w:val="18"/>
                <w:szCs w:val="18"/>
              </w:rPr>
              <w:t xml:space="preserve">10</w:t>
            </w:r>
          </w:p>
        </w:tc>
        <w:tc>
          <w:tcPr>
            <w:tcW w:type="dxa" w:w="3360"/>
            <w:tcMar>
              <w:top w:type="dxa" w:w="60"/>
              <w:left w:type="dxa" w:w="100"/>
              <w:bottom w:type="dxa" w:w="60"/>
              <w:right w:type="dxa" w:w="100"/>
            </w:tcMar>
            <w:vAlign w:val="center"/>
          </w:tcPr>
          <w:p>
            <w:r>
              <w:rPr>
                <w:b/>
                <w:bCs/>
                <w:sz w:val="18"/>
                <w:szCs w:val="18"/>
              </w:rPr>
              <w:t xml:space="preserve">Resolved this iteration</w:t>
            </w:r>
            <w:r>
              <w:rPr>
                <w:sz w:val="18"/>
                <w:szCs w:val="18"/>
              </w:rPr>
              <w:t xml:space="preserve"> — an explicit in-app Notification Center (A7) has been added, alongside email and browser push, as a shared platform service used by every module</w:t>
            </w:r>
          </w:p>
        </w:tc>
        <w:tc>
          <w:tcPr>
            <w:tcW w:type="dxa" w:w="3360"/>
            <w:tcMar>
              <w:top w:type="dxa" w:w="60"/>
              <w:left w:type="dxa" w:w="100"/>
              <w:bottom w:type="dxa" w:w="60"/>
              <w:right w:type="dxa" w:w="100"/>
            </w:tcMar>
            <w:vAlign w:val="center"/>
          </w:tcPr>
          <w:p>
            <w:r>
              <w:rPr>
                <w:sz w:val="18"/>
                <w:szCs w:val="18"/>
              </w:rPr>
              <w:t xml:space="preserve">SI confirmed this is wanted: "each user when logged in should have a notification panel," with mark read/unread and clear</w:t>
            </w:r>
          </w:p>
        </w:tc>
      </w:tr>
      <w:tr>
        <w:trPr>
          <w:tblHeader w:val="false"/>
        </w:trPr>
        <w:tc>
          <w:tcPr>
            <w:tcW w:type="dxa" w:w="3360"/>
            <w:tcMar>
              <w:top w:type="dxa" w:w="60"/>
              <w:left w:type="dxa" w:w="100"/>
              <w:bottom w:type="dxa" w:w="60"/>
              <w:right w:type="dxa" w:w="100"/>
            </w:tcMar>
            <w:vAlign w:val="center"/>
          </w:tcPr>
          <w:p>
            <w:r>
              <w:rPr>
                <w:sz w:val="18"/>
                <w:szCs w:val="18"/>
              </w:rPr>
              <w:t xml:space="preserve">11</w:t>
            </w:r>
          </w:p>
        </w:tc>
        <w:tc>
          <w:tcPr>
            <w:tcW w:type="dxa" w:w="3360"/>
            <w:tcMar>
              <w:top w:type="dxa" w:w="60"/>
              <w:left w:type="dxa" w:w="100"/>
              <w:bottom w:type="dxa" w:w="60"/>
              <w:right w:type="dxa" w:w="100"/>
            </w:tcMar>
            <w:vAlign w:val="center"/>
          </w:tcPr>
          <w:p>
            <w:r>
              <w:rPr>
                <w:b/>
                <w:bCs/>
                <w:sz w:val="18"/>
                <w:szCs w:val="18"/>
              </w:rPr>
              <w:t xml:space="preserve">New this iteration</w:t>
            </w:r>
            <w:r>
              <w:rPr>
                <w:sz w:val="18"/>
                <w:szCs w:val="18"/>
              </w:rPr>
              <w:t xml:space="preserve"> — basic 2FA with a </w:t>
            </w:r>
            <w:r>
              <w:rPr>
                <w:b/>
                <w:bCs/>
                <w:sz w:val="18"/>
                <w:szCs w:val="18"/>
              </w:rPr>
              <w:t xml:space="preserve">choice of TOTP or emailed one-time code</w:t>
            </w:r>
            <w:r>
              <w:rPr>
                <w:sz w:val="18"/>
                <w:szCs w:val="18"/>
              </w:rPr>
              <w:t xml:space="preserve">, a self-service trusted-device skip, and Admin-configurable enforcement/method policy</w:t>
            </w:r>
          </w:p>
        </w:tc>
        <w:tc>
          <w:tcPr>
            <w:tcW w:type="dxa" w:w="3360"/>
            <w:tcMar>
              <w:top w:type="dxa" w:w="60"/>
              <w:left w:type="dxa" w:w="100"/>
              <w:bottom w:type="dxa" w:w="60"/>
              <w:right w:type="dxa" w:w="100"/>
            </w:tcMar>
            <w:vAlign w:val="center"/>
          </w:tcPr>
          <w:p>
            <w:r>
              <w:rPr>
                <w:sz w:val="18"/>
                <w:szCs w:val="18"/>
              </w:rPr>
              <w:t xml:space="preserve">SI's explicit requirement, including that an authenticator app must not be compulsory; designed as a policy-driven step independent of which authentication provider (local/LDAP/OIDC) authenticated the user</w:t>
            </w:r>
          </w:p>
        </w:tc>
      </w:tr>
      <w:tr>
        <w:trPr>
          <w:tblHeader w:val="false"/>
        </w:trPr>
        <w:tc>
          <w:tcPr>
            <w:tcW w:type="dxa" w:w="3360"/>
            <w:tcMar>
              <w:top w:type="dxa" w:w="60"/>
              <w:left w:type="dxa" w:w="100"/>
              <w:bottom w:type="dxa" w:w="60"/>
              <w:right w:type="dxa" w:w="100"/>
            </w:tcMar>
            <w:vAlign w:val="center"/>
          </w:tcPr>
          <w:p>
            <w:r>
              <w:rPr>
                <w:sz w:val="18"/>
                <w:szCs w:val="18"/>
              </w:rPr>
              <w:t xml:space="preserve">12</w:t>
            </w:r>
          </w:p>
        </w:tc>
        <w:tc>
          <w:tcPr>
            <w:tcW w:type="dxa" w:w="3360"/>
            <w:tcMar>
              <w:top w:type="dxa" w:w="60"/>
              <w:left w:type="dxa" w:w="100"/>
              <w:bottom w:type="dxa" w:w="60"/>
              <w:right w:type="dxa" w:w="100"/>
            </w:tcMar>
            <w:vAlign w:val="center"/>
          </w:tcPr>
          <w:p>
            <w:r>
              <w:rPr>
                <w:b/>
                <w:bCs/>
                <w:sz w:val="18"/>
                <w:szCs w:val="18"/>
              </w:rPr>
              <w:t xml:space="preserve">New this iteration</w:t>
            </w:r>
            <w:r>
              <w:rPr>
                <w:sz w:val="18"/>
                <w:szCs w:val="18"/>
              </w:rPr>
              <w:t xml:space="preserve"> — RBAC extended with a concrete role catalog (Admin, HR Admin, HR Officer, Supervisor, ESS) plus a fully data-driven custom role-builder (clone + permission-matrix editor)</w:t>
            </w:r>
          </w:p>
        </w:tc>
        <w:tc>
          <w:tcPr>
            <w:tcW w:type="dxa" w:w="3360"/>
            <w:tcMar>
              <w:top w:type="dxa" w:w="60"/>
              <w:left w:type="dxa" w:w="100"/>
              <w:bottom w:type="dxa" w:w="60"/>
              <w:right w:type="dxa" w:w="100"/>
            </w:tcMar>
            <w:vAlign w:val="center"/>
          </w:tcPr>
          <w:p>
            <w:r>
              <w:rPr>
                <w:sz w:val="18"/>
                <w:szCs w:val="18"/>
              </w:rPr>
              <w:t xml:space="preserve">SI's explicit requirement to make roles "flexible such that new roles can be created with selectable access rights," without hard-coded per-role logic anywhere in the guard layer</w:t>
            </w:r>
          </w:p>
        </w:tc>
      </w:tr>
      <w:tr>
        <w:trPr>
          <w:tblHeader w:val="false"/>
        </w:trPr>
        <w:tc>
          <w:tcPr>
            <w:tcW w:type="dxa" w:w="3360"/>
            <w:tcMar>
              <w:top w:type="dxa" w:w="60"/>
              <w:left w:type="dxa" w:w="100"/>
              <w:bottom w:type="dxa" w:w="60"/>
              <w:right w:type="dxa" w:w="100"/>
            </w:tcMar>
            <w:vAlign w:val="center"/>
          </w:tcPr>
          <w:p>
            <w:r>
              <w:rPr>
                <w:sz w:val="18"/>
                <w:szCs w:val="18"/>
              </w:rPr>
              <w:t xml:space="preserve">13</w:t>
            </w:r>
          </w:p>
        </w:tc>
        <w:tc>
          <w:tcPr>
            <w:tcW w:type="dxa" w:w="3360"/>
            <w:tcMar>
              <w:top w:type="dxa" w:w="60"/>
              <w:left w:type="dxa" w:w="100"/>
              <w:bottom w:type="dxa" w:w="60"/>
              <w:right w:type="dxa" w:w="100"/>
            </w:tcMar>
            <w:vAlign w:val="center"/>
          </w:tcPr>
          <w:p>
            <w:r>
              <w:rPr>
                <w:b/>
                <w:bCs/>
                <w:sz w:val="18"/>
                <w:szCs w:val="18"/>
              </w:rPr>
              <w:t xml:space="preserve">New this iteration</w:t>
            </w:r>
            <w:r>
              <w:rPr>
                <w:sz w:val="18"/>
                <w:szCs w:val="18"/>
              </w:rPr>
              <w:t xml:space="preserve"> — a shared E-Signature &amp; Digital Consent Service (A8), used by Recruitment offer letters, Performance reviewer sign-off, and Policy Document acknowledgement</w:t>
            </w:r>
          </w:p>
        </w:tc>
        <w:tc>
          <w:tcPr>
            <w:tcW w:type="dxa" w:w="3360"/>
            <w:tcMar>
              <w:top w:type="dxa" w:w="60"/>
              <w:left w:type="dxa" w:w="100"/>
              <w:bottom w:type="dxa" w:w="60"/>
              <w:right w:type="dxa" w:w="100"/>
            </w:tcMar>
            <w:vAlign w:val="center"/>
          </w:tcPr>
          <w:p>
            <w:r>
              <w:rPr>
                <w:sz w:val="18"/>
                <w:szCs w:val="18"/>
              </w:rPr>
              <w:t xml:space="preserve">Building it once as a platform service, rather than per-module, avoids three different half-built signing mechanisms and gives every acknowledgement the same tamper-evident evidence record</w:t>
            </w:r>
          </w:p>
        </w:tc>
      </w:tr>
      <w:tr>
        <w:trPr>
          <w:tblHeader w:val="false"/>
        </w:trPr>
        <w:tc>
          <w:tcPr>
            <w:tcW w:type="dxa" w:w="3360"/>
            <w:tcMar>
              <w:top w:type="dxa" w:w="60"/>
              <w:left w:type="dxa" w:w="100"/>
              <w:bottom w:type="dxa" w:w="60"/>
              <w:right w:type="dxa" w:w="100"/>
            </w:tcMar>
            <w:vAlign w:val="center"/>
          </w:tcPr>
          <w:p>
            <w:r>
              <w:rPr>
                <w:sz w:val="18"/>
                <w:szCs w:val="18"/>
              </w:rPr>
              <w:t xml:space="preserve">14</w:t>
            </w:r>
          </w:p>
        </w:tc>
        <w:tc>
          <w:tcPr>
            <w:tcW w:type="dxa" w:w="3360"/>
            <w:tcMar>
              <w:top w:type="dxa" w:w="60"/>
              <w:left w:type="dxa" w:w="100"/>
              <w:bottom w:type="dxa" w:w="60"/>
              <w:right w:type="dxa" w:w="100"/>
            </w:tcMar>
            <w:vAlign w:val="center"/>
          </w:tcPr>
          <w:p>
            <w:r>
              <w:rPr>
                <w:b/>
                <w:bCs/>
                <w:sz w:val="18"/>
                <w:szCs w:val="18"/>
              </w:rPr>
              <w:t xml:space="preserve">New this iteration</w:t>
            </w:r>
            <w:r>
              <w:rPr>
                <w:sz w:val="18"/>
                <w:szCs w:val="18"/>
              </w:rPr>
              <w:t xml:space="preserve"> — an automatic Leave Accrual &amp; Carry-Over Engine (C1): 1-year new-hire waiting period, first-year proration, and Q1-expiring year-end carryover of unused Annual Leave only</w:t>
            </w:r>
          </w:p>
        </w:tc>
        <w:tc>
          <w:tcPr>
            <w:tcW w:type="dxa" w:w="3360"/>
            <w:tcMar>
              <w:top w:type="dxa" w:w="60"/>
              <w:left w:type="dxa" w:w="100"/>
              <w:bottom w:type="dxa" w:w="60"/>
              <w:right w:type="dxa" w:w="100"/>
            </w:tcMar>
            <w:vAlign w:val="center"/>
          </w:tcPr>
          <w:p>
            <w:r>
              <w:rPr>
                <w:sz w:val="18"/>
                <w:szCs w:val="18"/>
              </w:rPr>
              <w:t xml:space="preserve">SI's explicit policy requirement; implemented as configuration (`minimumTenureMonths`, `carriesOverAtYearEnd` per leave type) rather than hard-coded to Annual Leave specifically, so policy changes don't require code changes</w:t>
            </w:r>
          </w:p>
        </w:tc>
      </w:tr>
      <w:tr>
        <w:trPr>
          <w:tblHeader w:val="false"/>
        </w:trPr>
        <w:tc>
          <w:tcPr>
            <w:tcW w:type="dxa" w:w="3360"/>
            <w:tcMar>
              <w:top w:type="dxa" w:w="60"/>
              <w:left w:type="dxa" w:w="100"/>
              <w:bottom w:type="dxa" w:w="60"/>
              <w:right w:type="dxa" w:w="100"/>
            </w:tcMar>
            <w:vAlign w:val="center"/>
          </w:tcPr>
          <w:p>
            <w:r>
              <w:rPr>
                <w:sz w:val="18"/>
                <w:szCs w:val="18"/>
              </w:rPr>
              <w:t xml:space="preserve">15</w:t>
            </w:r>
          </w:p>
        </w:tc>
        <w:tc>
          <w:tcPr>
            <w:tcW w:type="dxa" w:w="3360"/>
            <w:tcMar>
              <w:top w:type="dxa" w:w="60"/>
              <w:left w:type="dxa" w:w="100"/>
              <w:bottom w:type="dxa" w:w="60"/>
              <w:right w:type="dxa" w:w="100"/>
            </w:tcMar>
            <w:vAlign w:val="center"/>
          </w:tcPr>
          <w:p>
            <w:r>
              <w:rPr>
                <w:b/>
                <w:bCs/>
                <w:sz w:val="18"/>
                <w:szCs w:val="18"/>
              </w:rPr>
              <w:t xml:space="preserve">Explicitly descoped, per SI's direction</w:t>
            </w:r>
            <w:r>
              <w:rPr>
                <w:sz w:val="18"/>
                <w:szCs w:val="18"/>
              </w:rPr>
              <w:t xml:space="preserve"> — Shift Roster/Scheduling (Section 8) is not built in this specification</w:t>
            </w:r>
          </w:p>
        </w:tc>
        <w:tc>
          <w:tcPr>
            <w:tcW w:type="dxa" w:w="3360"/>
            <w:tcMar>
              <w:top w:type="dxa" w:w="60"/>
              <w:left w:type="dxa" w:w="100"/>
              <w:bottom w:type="dxa" w:w="60"/>
              <w:right w:type="dxa" w:w="100"/>
            </w:tcMar>
            <w:vAlign w:val="center"/>
          </w:tcPr>
          <w:p>
            <w:r>
              <w:rPr>
                <w:sz w:val="18"/>
                <w:szCs w:val="18"/>
              </w:rPr>
              <w:t xml:space="preserve">SI confirmed this is not an important feature</w:t>
            </w:r>
          </w:p>
        </w:tc>
      </w:tr>
      <w:tr>
        <w:trPr>
          <w:tblHeader w:val="false"/>
        </w:trPr>
        <w:tc>
          <w:tcPr>
            <w:tcW w:type="dxa" w:w="3360"/>
            <w:tcMar>
              <w:top w:type="dxa" w:w="60"/>
              <w:left w:type="dxa" w:w="100"/>
              <w:bottom w:type="dxa" w:w="60"/>
              <w:right w:type="dxa" w:w="100"/>
            </w:tcMar>
            <w:vAlign w:val="center"/>
          </w:tcPr>
          <w:p>
            <w:r>
              <w:rPr>
                <w:sz w:val="18"/>
                <w:szCs w:val="18"/>
              </w:rPr>
              <w:t xml:space="preserve">16</w:t>
            </w:r>
          </w:p>
        </w:tc>
        <w:tc>
          <w:tcPr>
            <w:tcW w:type="dxa" w:w="3360"/>
            <w:tcMar>
              <w:top w:type="dxa" w:w="60"/>
              <w:left w:type="dxa" w:w="100"/>
              <w:bottom w:type="dxa" w:w="60"/>
              <w:right w:type="dxa" w:w="100"/>
            </w:tcMar>
            <w:vAlign w:val="center"/>
          </w:tcPr>
          <w:p>
            <w:r>
              <w:rPr>
                <w:b/>
                <w:bCs/>
                <w:sz w:val="18"/>
                <w:szCs w:val="18"/>
              </w:rPr>
              <w:t xml:space="preserve">Descoped this iteration, per SI's direction</w:t>
            </w:r>
            <w:r>
              <w:rPr>
                <w:sz w:val="18"/>
                <w:szCs w:val="18"/>
              </w:rPr>
              <w:t xml:space="preserve"> — the build is a responsive web application only; no installable PWA or native mobile client ships. Browser push notifications are retained (A7) despite this; mobile-specific push and offline/install capability are dropped</w:t>
            </w:r>
          </w:p>
        </w:tc>
        <w:tc>
          <w:tcPr>
            <w:tcW w:type="dxa" w:w="3360"/>
            <w:tcMar>
              <w:top w:type="dxa" w:w="60"/>
              <w:left w:type="dxa" w:w="100"/>
              <w:bottom w:type="dxa" w:w="60"/>
              <w:right w:type="dxa" w:w="100"/>
            </w:tcMar>
            <w:vAlign w:val="center"/>
          </w:tcPr>
          <w:p>
            <w:r>
              <w:rPr>
                <w:sz w:val="18"/>
                <w:szCs w:val="18"/>
              </w:rPr>
              <w:t xml:space="preserve">SI confirmed push is still wanted without an installable app, and that push can be dropped specifically for mobile; the API-first architecture (Section 3.1) keeps a future dedicated mobile client an additive build, not a redesign</w:t>
            </w:r>
          </w:p>
        </w:tc>
      </w:tr>
      <w:tr>
        <w:trPr>
          <w:tblHeader w:val="false"/>
        </w:trPr>
        <w:tc>
          <w:tcPr>
            <w:tcW w:type="dxa" w:w="3360"/>
            <w:tcMar>
              <w:top w:type="dxa" w:w="60"/>
              <w:left w:type="dxa" w:w="100"/>
              <w:bottom w:type="dxa" w:w="60"/>
              <w:right w:type="dxa" w:w="100"/>
            </w:tcMar>
            <w:vAlign w:val="center"/>
          </w:tcPr>
          <w:p>
            <w:r>
              <w:rPr>
                <w:sz w:val="18"/>
                <w:szCs w:val="18"/>
              </w:rPr>
              <w:t xml:space="preserve">17</w:t>
            </w:r>
          </w:p>
        </w:tc>
        <w:tc>
          <w:tcPr>
            <w:tcW w:type="dxa" w:w="3360"/>
            <w:tcMar>
              <w:top w:type="dxa" w:w="60"/>
              <w:left w:type="dxa" w:w="100"/>
              <w:bottom w:type="dxa" w:w="60"/>
              <w:right w:type="dxa" w:w="100"/>
            </w:tcMar>
            <w:vAlign w:val="center"/>
          </w:tcPr>
          <w:p>
            <w:r>
              <w:rPr>
                <w:b/>
                <w:bCs/>
                <w:sz w:val="18"/>
                <w:szCs w:val="18"/>
              </w:rPr>
              <w:t xml:space="preserve">Discarded this iteration, per SI's direction</w:t>
            </w:r>
            <w:r>
              <w:rPr>
                <w:sz w:val="18"/>
                <w:szCs w:val="18"/>
              </w:rPr>
              <w:t xml:space="preserve"> — the reference UI/UX layout pulled from a different SI portal (Procurement &amp; Inventory) is no longer part of this specification; UI/UX design is deferred to a Phase 0 build-time design pass evaluated against functional requirements (Section 3.4)</w:t>
            </w:r>
          </w:p>
        </w:tc>
        <w:tc>
          <w:tcPr>
            <w:tcW w:type="dxa" w:w="3360"/>
            <w:tcMar>
              <w:top w:type="dxa" w:w="60"/>
              <w:left w:type="dxa" w:w="100"/>
              <w:bottom w:type="dxa" w:w="60"/>
              <w:right w:type="dxa" w:w="100"/>
            </w:tcMar>
            <w:vAlign w:val="center"/>
          </w:tcPr>
          <w:p>
            <w:r>
              <w:rPr>
                <w:sz w:val="18"/>
                <w:szCs w:val="18"/>
              </w:rPr>
              <w:t xml:space="preserve">SI wants a fresh, functionally efficient design for this specific application rather than visual parity with an unrelated product</w:t>
            </w:r>
          </w:p>
        </w:tc>
      </w:tr>
      <w:tr>
        <w:trPr>
          <w:tblHeader w:val="false"/>
        </w:trPr>
        <w:tc>
          <w:tcPr>
            <w:tcW w:type="dxa" w:w="3360"/>
            <w:tcMar>
              <w:top w:type="dxa" w:w="60"/>
              <w:left w:type="dxa" w:w="100"/>
              <w:bottom w:type="dxa" w:w="60"/>
              <w:right w:type="dxa" w:w="100"/>
            </w:tcMar>
            <w:vAlign w:val="center"/>
          </w:tcPr>
          <w:p>
            <w:r>
              <w:rPr>
                <w:sz w:val="18"/>
                <w:szCs w:val="18"/>
              </w:rPr>
              <w:t xml:space="preserve">18</w:t>
            </w:r>
          </w:p>
        </w:tc>
        <w:tc>
          <w:tcPr>
            <w:tcW w:type="dxa" w:w="3360"/>
            <w:tcMar>
              <w:top w:type="dxa" w:w="60"/>
              <w:left w:type="dxa" w:w="100"/>
              <w:bottom w:type="dxa" w:w="60"/>
              <w:right w:type="dxa" w:w="100"/>
            </w:tcMar>
            <w:vAlign w:val="center"/>
          </w:tcPr>
          <w:p>
            <w:r>
              <w:rPr>
                <w:b/>
                <w:bCs/>
                <w:sz w:val="18"/>
                <w:szCs w:val="18"/>
              </w:rPr>
              <w:t xml:space="preserve">New this iteration</w:t>
            </w:r>
            <w:r>
              <w:rPr>
                <w:sz w:val="18"/>
                <w:szCs w:val="18"/>
              </w:rPr>
              <w:t xml:space="preserve"> — automatic, Admin-configurable Employee ID generation (B2): a format-template engine (default `SIL{YY}{MM}{SEQ}`), auto-incrementing serial, Admin/HR Admin override, and permanent non-reassignment once issued</w:t>
            </w:r>
          </w:p>
        </w:tc>
        <w:tc>
          <w:tcPr>
            <w:tcW w:type="dxa" w:w="3360"/>
            <w:tcMar>
              <w:top w:type="dxa" w:w="60"/>
              <w:left w:type="dxa" w:w="100"/>
              <w:bottom w:type="dxa" w:w="60"/>
              <w:right w:type="dxa" w:w="100"/>
            </w:tcMar>
            <w:vAlign w:val="center"/>
          </w:tcPr>
          <w:p>
            <w:r>
              <w:rPr>
                <w:sz w:val="18"/>
                <w:szCs w:val="18"/>
              </w:rPr>
              <w:t xml:space="preserve">SI's explicit requirement, including that IDs must never be reused even after an employee leaves. Confirmed by SI: the `{SEQ}` counter is a single, continuous, organization-wide count that never resets by month or year, regardless of which date tokens appear elsewhere in the format</w:t>
            </w:r>
          </w:p>
        </w:tc>
      </w:tr>
      <w:tr>
        <w:trPr>
          <w:tblHeader w:val="false"/>
        </w:trPr>
        <w:tc>
          <w:tcPr>
            <w:tcW w:type="dxa" w:w="3360"/>
            <w:tcMar>
              <w:top w:type="dxa" w:w="60"/>
              <w:left w:type="dxa" w:w="100"/>
              <w:bottom w:type="dxa" w:w="60"/>
              <w:right w:type="dxa" w:w="100"/>
            </w:tcMar>
            <w:vAlign w:val="center"/>
          </w:tcPr>
          <w:p>
            <w:r>
              <w:rPr>
                <w:sz w:val="18"/>
                <w:szCs w:val="18"/>
              </w:rPr>
              <w:t xml:space="preserve">19</w:t>
            </w:r>
          </w:p>
        </w:tc>
        <w:tc>
          <w:tcPr>
            <w:tcW w:type="dxa" w:w="3360"/>
            <w:tcMar>
              <w:top w:type="dxa" w:w="60"/>
              <w:left w:type="dxa" w:w="100"/>
              <w:bottom w:type="dxa" w:w="60"/>
              <w:right w:type="dxa" w:w="100"/>
            </w:tcMar>
            <w:vAlign w:val="center"/>
          </w:tcPr>
          <w:p>
            <w:r>
              <w:rPr>
                <w:b/>
                <w:bCs/>
                <w:sz w:val="18"/>
                <w:szCs w:val="18"/>
              </w:rPr>
              <w:t xml:space="preserve">New this iteration</w:t>
            </w:r>
            <w:r>
              <w:rPr>
                <w:sz w:val="18"/>
                <w:szCs w:val="18"/>
              </w:rPr>
              <w:t xml:space="preserve"> — a shared Renewal &amp; Compliance Reminder Engine (Section 3.2), used by Vehicle Renewals (E3), Asset Warranties/Service Contracts (E2), and Company Registration Documents (E5)</w:t>
            </w:r>
          </w:p>
        </w:tc>
        <w:tc>
          <w:tcPr>
            <w:tcW w:type="dxa" w:w="3360"/>
            <w:tcMar>
              <w:top w:type="dxa" w:w="60"/>
              <w:left w:type="dxa" w:w="100"/>
              <w:bottom w:type="dxa" w:w="60"/>
              <w:right w:type="dxa" w:w="100"/>
            </w:tcMar>
            <w:vAlign w:val="center"/>
          </w:tcPr>
          <w:p>
            <w:r>
              <w:rPr>
                <w:sz w:val="18"/>
                <w:szCs w:val="18"/>
              </w:rPr>
              <w:t xml:space="preserve">Consolidates one "renewable item + Admin-configurable reminder tiers + notify list + scheduled sweep + persistent post-expiry alert" implementation instead of building the same scheduling/notification logic three times</w:t>
            </w:r>
          </w:p>
        </w:tc>
      </w:tr>
      <w:tr>
        <w:trPr>
          <w:tblHeader w:val="false"/>
        </w:trPr>
        <w:tc>
          <w:tcPr>
            <w:tcW w:type="dxa" w:w="3360"/>
            <w:tcMar>
              <w:top w:type="dxa" w:w="60"/>
              <w:left w:type="dxa" w:w="100"/>
              <w:bottom w:type="dxa" w:w="60"/>
              <w:right w:type="dxa" w:w="100"/>
            </w:tcMar>
            <w:vAlign w:val="center"/>
          </w:tcPr>
          <w:p>
            <w:r>
              <w:rPr>
                <w:sz w:val="18"/>
                <w:szCs w:val="18"/>
              </w:rPr>
              <w:t xml:space="preserve">20</w:t>
            </w:r>
          </w:p>
        </w:tc>
        <w:tc>
          <w:tcPr>
            <w:tcW w:type="dxa" w:w="3360"/>
            <w:tcMar>
              <w:top w:type="dxa" w:w="60"/>
              <w:left w:type="dxa" w:w="100"/>
              <w:bottom w:type="dxa" w:w="60"/>
              <w:right w:type="dxa" w:w="100"/>
            </w:tcMar>
            <w:vAlign w:val="center"/>
          </w:tcPr>
          <w:p>
            <w:r>
              <w:rPr>
                <w:b/>
                <w:bCs/>
                <w:sz w:val="18"/>
                <w:szCs w:val="18"/>
              </w:rPr>
              <w:t xml:space="preserve">New this iteration</w:t>
            </w:r>
            <w:r>
              <w:rPr>
                <w:sz w:val="18"/>
                <w:szCs w:val="18"/>
              </w:rPr>
              <w:t xml:space="preserve"> — Employee Relations / Discipline Case Management (D3) now supports file attachments, a structured outcome taxonomy, mandatory e-signature (via A8) for Written Warning and above, and is restricted to HR Admin and above (HR Officer excluded, matching Compensation-tier sensitivity)</w:t>
            </w:r>
          </w:p>
        </w:tc>
        <w:tc>
          <w:tcPr>
            <w:tcW w:type="dxa" w:w="3360"/>
            <w:tcMar>
              <w:top w:type="dxa" w:w="60"/>
              <w:left w:type="dxa" w:w="100"/>
              <w:bottom w:type="dxa" w:w="60"/>
              <w:right w:type="dxa" w:w="100"/>
            </w:tcMar>
            <w:vAlign w:val="center"/>
          </w:tcPr>
          <w:p>
            <w:r>
              <w:rPr>
                <w:sz w:val="18"/>
                <w:szCs w:val="18"/>
              </w:rPr>
              <w:t xml:space="preserve">Requested improvement; visibility tier confirmed by SI ("HR Admin and above only") given the sensitivity of disciplinary records</w:t>
            </w:r>
          </w:p>
        </w:tc>
      </w:tr>
      <w:tr>
        <w:trPr>
          <w:tblHeader w:val="false"/>
        </w:trPr>
        <w:tc>
          <w:tcPr>
            <w:tcW w:type="dxa" w:w="3360"/>
            <w:tcMar>
              <w:top w:type="dxa" w:w="60"/>
              <w:left w:type="dxa" w:w="100"/>
              <w:bottom w:type="dxa" w:w="60"/>
              <w:right w:type="dxa" w:w="100"/>
            </w:tcMar>
            <w:vAlign w:val="center"/>
          </w:tcPr>
          <w:p>
            <w:r>
              <w:rPr>
                <w:sz w:val="18"/>
                <w:szCs w:val="18"/>
              </w:rPr>
              <w:t xml:space="preserve">21</w:t>
            </w:r>
          </w:p>
        </w:tc>
        <w:tc>
          <w:tcPr>
            <w:tcW w:type="dxa" w:w="3360"/>
            <w:tcMar>
              <w:top w:type="dxa" w:w="60"/>
              <w:left w:type="dxa" w:w="100"/>
              <w:bottom w:type="dxa" w:w="60"/>
              <w:right w:type="dxa" w:w="100"/>
            </w:tcMar>
            <w:vAlign w:val="center"/>
          </w:tcPr>
          <w:p>
            <w:r>
              <w:rPr>
                <w:b/>
                <w:bCs/>
                <w:sz w:val="18"/>
                <w:szCs w:val="18"/>
              </w:rPr>
              <w:t xml:space="preserve">New this iteration</w:t>
            </w:r>
            <w:r>
              <w:rPr>
                <w:sz w:val="18"/>
                <w:szCs w:val="18"/>
              </w:rPr>
              <w:t xml:space="preserve"> — a hard block preventing employee offboarding (B3) from completing while Assets (E2) or Vehicles (E3) remain assigned to that employee</w:t>
            </w:r>
          </w:p>
        </w:tc>
        <w:tc>
          <w:tcPr>
            <w:tcW w:type="dxa" w:w="3360"/>
            <w:tcMar>
              <w:top w:type="dxa" w:w="60"/>
              <w:left w:type="dxa" w:w="100"/>
              <w:bottom w:type="dxa" w:w="60"/>
              <w:right w:type="dxa" w:w="100"/>
            </w:tcMar>
            <w:vAlign w:val="center"/>
          </w:tcPr>
          <w:p>
            <w:r>
              <w:rPr>
                <w:sz w:val="18"/>
                <w:szCs w:val="18"/>
              </w:rPr>
              <w:t xml:space="preserve">Confirmed by SI ("hard block until cleared"); flagged as a cross-phase dependency since B3 ships in Phase 1 but E2/E3 don't exist until Phase 4 — the check is scaffolded in Phase 1 and actually wired in Phase 4</w:t>
            </w:r>
          </w:p>
        </w:tc>
      </w:tr>
      <w:tr>
        <w:trPr>
          <w:tblHeader w:val="false"/>
        </w:trPr>
        <w:tc>
          <w:tcPr>
            <w:tcW w:type="dxa" w:w="3360"/>
            <w:tcMar>
              <w:top w:type="dxa" w:w="60"/>
              <w:left w:type="dxa" w:w="100"/>
              <w:bottom w:type="dxa" w:w="60"/>
              <w:right w:type="dxa" w:w="100"/>
            </w:tcMar>
            <w:vAlign w:val="center"/>
          </w:tcPr>
          <w:p>
            <w:r>
              <w:rPr>
                <w:sz w:val="18"/>
                <w:szCs w:val="18"/>
              </w:rPr>
              <w:t xml:space="preserve">22</w:t>
            </w:r>
          </w:p>
        </w:tc>
        <w:tc>
          <w:tcPr>
            <w:tcW w:type="dxa" w:w="3360"/>
            <w:tcMar>
              <w:top w:type="dxa" w:w="60"/>
              <w:left w:type="dxa" w:w="100"/>
              <w:bottom w:type="dxa" w:w="60"/>
              <w:right w:type="dxa" w:w="100"/>
            </w:tcMar>
            <w:vAlign w:val="center"/>
          </w:tcPr>
          <w:p>
            <w:r>
              <w:rPr>
                <w:b/>
                <w:bCs/>
                <w:sz w:val="18"/>
                <w:szCs w:val="18"/>
              </w:rPr>
              <w:t xml:space="preserve">New this iteration</w:t>
            </w:r>
            <w:r>
              <w:rPr>
                <w:sz w:val="18"/>
                <w:szCs w:val="18"/>
              </w:rPr>
              <w:t xml:space="preserve"> — Travel Advance &amp; Reconciliation (E1): an advance can be requested/approved against a Claim Event before travel, then reconciled against submitted claims with a computed variance, plus an "Unreconciled Advances" report</w:t>
            </w:r>
          </w:p>
        </w:tc>
        <w:tc>
          <w:tcPr>
            <w:tcW w:type="dxa" w:w="3360"/>
            <w:tcMar>
              <w:top w:type="dxa" w:w="60"/>
              <w:left w:type="dxa" w:w="100"/>
              <w:bottom w:type="dxa" w:w="60"/>
              <w:right w:type="dxa" w:w="100"/>
            </w:tcMar>
            <w:vAlign w:val="center"/>
          </w:tcPr>
          <w:p>
            <w:r>
              <w:rPr>
                <w:sz w:val="18"/>
                <w:szCs w:val="18"/>
              </w:rPr>
              <w:t xml:space="preserve">Requested improvement; SI elected to build this now rather than defer it to the post-launch roadmap</w:t>
            </w:r>
          </w:p>
        </w:tc>
      </w:tr>
      <w:tr>
        <w:trPr>
          <w:tblHeader w:val="false"/>
        </w:trPr>
        <w:tc>
          <w:tcPr>
            <w:tcW w:type="dxa" w:w="3360"/>
            <w:tcMar>
              <w:top w:type="dxa" w:w="60"/>
              <w:left w:type="dxa" w:w="100"/>
              <w:bottom w:type="dxa" w:w="60"/>
              <w:right w:type="dxa" w:w="100"/>
            </w:tcMar>
            <w:vAlign w:val="center"/>
          </w:tcPr>
          <w:p>
            <w:r>
              <w:rPr>
                <w:sz w:val="18"/>
                <w:szCs w:val="18"/>
              </w:rPr>
              <w:t xml:space="preserve">23</w:t>
            </w:r>
          </w:p>
        </w:tc>
        <w:tc>
          <w:tcPr>
            <w:tcW w:type="dxa" w:w="3360"/>
            <w:tcMar>
              <w:top w:type="dxa" w:w="60"/>
              <w:left w:type="dxa" w:w="100"/>
              <w:bottom w:type="dxa" w:w="60"/>
              <w:right w:type="dxa" w:w="100"/>
            </w:tcMar>
            <w:vAlign w:val="center"/>
          </w:tcPr>
          <w:p>
            <w:r>
              <w:rPr>
                <w:b/>
                <w:bCs/>
                <w:sz w:val="18"/>
                <w:szCs w:val="18"/>
              </w:rPr>
              <w:t xml:space="preserve">New this iteration</w:t>
            </w:r>
            <w:r>
              <w:rPr>
                <w:sz w:val="18"/>
                <w:szCs w:val="18"/>
              </w:rPr>
              <w:t xml:space="preserve"> — Company Registration &amp; Compliance Documents (E5): HR-Admin-only upload of sensitive company licenses/certificates/permits, each optionally marked renewable with a renewal date, full version history retained on renewal, and reminders driven by the shared Renewal &amp; Compliance Reminder Engine</w:t>
            </w:r>
          </w:p>
        </w:tc>
        <w:tc>
          <w:tcPr>
            <w:tcW w:type="dxa" w:w="3360"/>
            <w:tcMar>
              <w:top w:type="dxa" w:w="60"/>
              <w:left w:type="dxa" w:w="100"/>
              <w:bottom w:type="dxa" w:w="60"/>
              <w:right w:type="dxa" w:w="100"/>
            </w:tcMar>
            <w:vAlign w:val="center"/>
          </w:tcPr>
          <w:p>
            <w:r>
              <w:rPr>
                <w:sz w:val="18"/>
                <w:szCs w:val="18"/>
              </w:rPr>
              <w:t xml:space="preserve">Requested improvement; version-retention model confirmed by SI ("keep full version history") to preserve an auditable compliance record rather than overwriting prior versions</w:t>
            </w:r>
          </w:p>
        </w:tc>
      </w:tr>
      <w:tr>
        <w:trPr>
          <w:tblHeader w:val="false"/>
        </w:trPr>
        <w:tc>
          <w:tcPr>
            <w:tcW w:type="dxa" w:w="3360"/>
            <w:tcMar>
              <w:top w:type="dxa" w:w="60"/>
              <w:left w:type="dxa" w:w="100"/>
              <w:bottom w:type="dxa" w:w="60"/>
              <w:right w:type="dxa" w:w="100"/>
            </w:tcMar>
            <w:vAlign w:val="center"/>
          </w:tcPr>
          <w:p>
            <w:r>
              <w:rPr>
                <w:sz w:val="18"/>
                <w:szCs w:val="18"/>
              </w:rPr>
              <w:t xml:space="preserve">24</w:t>
            </w:r>
          </w:p>
        </w:tc>
        <w:tc>
          <w:tcPr>
            <w:tcW w:type="dxa" w:w="3360"/>
            <w:tcMar>
              <w:top w:type="dxa" w:w="60"/>
              <w:left w:type="dxa" w:w="100"/>
              <w:bottom w:type="dxa" w:w="60"/>
              <w:right w:type="dxa" w:w="100"/>
            </w:tcMar>
            <w:vAlign w:val="center"/>
          </w:tcPr>
          <w:p>
            <w:r>
              <w:rPr>
                <w:b/>
                <w:bCs/>
                <w:sz w:val="18"/>
                <w:szCs w:val="18"/>
              </w:rPr>
              <w:t xml:space="preserve">Changed this iteration, per SI's explicit direction</w:t>
            </w:r>
            <w:r>
              <w:rPr>
                <w:sz w:val="18"/>
                <w:szCs w:val="18"/>
              </w:rPr>
              <w:t xml:space="preserve"> — the recommended technology stack (Section 3.5) is now Laravel 11 (PHP 8.3) + Livewire 3, replacing the earlier Node.js/NestJS/React recommendation; the web UI calls each module's service layer directly in-process rather than through its own REST API (Section 3.1)</w:t>
            </w:r>
          </w:p>
        </w:tc>
        <w:tc>
          <w:tcPr>
            <w:tcW w:type="dxa" w:w="3360"/>
            <w:tcMar>
              <w:top w:type="dxa" w:w="60"/>
              <w:left w:type="dxa" w:w="100"/>
              <w:bottom w:type="dxa" w:w="60"/>
              <w:right w:type="dxa" w:w="100"/>
            </w:tcMar>
            <w:vAlign w:val="center"/>
          </w:tcPr>
          <w:p>
            <w:r>
              <w:rPr>
                <w:sz w:val="18"/>
                <w:szCs w:val="18"/>
              </w:rPr>
              <w:t xml:space="preserve">SI already runs this stack on a development server and it matches the team's existing skill set; no module boundary, RBAC rule, or domain specification changes as a result — only the implementation layer</w:t>
            </w:r>
          </w:p>
        </w:tc>
      </w:tr>
      <w:tr>
        <w:trPr>
          <w:tblHeader w:val="false"/>
        </w:trPr>
        <w:tc>
          <w:tcPr>
            <w:tcW w:type="dxa" w:w="3360"/>
            <w:tcMar>
              <w:top w:type="dxa" w:w="60"/>
              <w:left w:type="dxa" w:w="100"/>
              <w:bottom w:type="dxa" w:w="60"/>
              <w:right w:type="dxa" w:w="100"/>
            </w:tcMar>
            <w:vAlign w:val="center"/>
          </w:tcPr>
          <w:p>
            <w:r>
              <w:rPr>
                <w:sz w:val="18"/>
                <w:szCs w:val="18"/>
              </w:rPr>
              <w:t xml:space="preserve">25</w:t>
            </w:r>
          </w:p>
        </w:tc>
        <w:tc>
          <w:tcPr>
            <w:tcW w:type="dxa" w:w="3360"/>
            <w:tcMar>
              <w:top w:type="dxa" w:w="60"/>
              <w:left w:type="dxa" w:w="100"/>
              <w:bottom w:type="dxa" w:w="60"/>
              <w:right w:type="dxa" w:w="100"/>
            </w:tcMar>
            <w:vAlign w:val="center"/>
          </w:tcPr>
          <w:p>
            <w:r>
              <w:rPr>
                <w:b/>
                <w:bCs/>
                <w:sz w:val="18"/>
                <w:szCs w:val="18"/>
              </w:rPr>
              <w:t xml:space="preserve">New this iteration</w:t>
            </w:r>
            <w:r>
              <w:rPr>
                <w:sz w:val="18"/>
                <w:szCs w:val="18"/>
              </w:rPr>
              <w:t xml:space="preserve"> — a purpose-built UI/UX design system (Section 3.4), adopted from SI's own working prototype (Login, 2FA, Employee Home, Apply Leave, Approvals, Expense Claim), replacing the prior "decide visual design at build time with no reference" position</w:t>
            </w:r>
          </w:p>
        </w:tc>
        <w:tc>
          <w:tcPr>
            <w:tcW w:type="dxa" w:w="3360"/>
            <w:tcMar>
              <w:top w:type="dxa" w:w="60"/>
              <w:left w:type="dxa" w:w="100"/>
              <w:bottom w:type="dxa" w:w="60"/>
              <w:right w:type="dxa" w:w="100"/>
            </w:tcMar>
            <w:vAlign w:val="center"/>
          </w:tcPr>
          <w:p>
            <w:r>
              <w:rPr>
                <w:sz w:val="18"/>
                <w:szCs w:val="18"/>
              </w:rPr>
              <w:t xml:space="preserve">SI supplied a working click-through prototype covering the core flows; Phase 0 UX work is now extending this design language to the remaining modules rather than inventing one from nothing</w:t>
            </w:r>
          </w:p>
        </w:tc>
      </w:tr>
    </w:tbl>
    <w:p>
      <w:pPr>
        <w:spacing w:after="120"/>
      </w:pPr>
    </w:p>
    <w:p>
      <w:r>
        <w:br w:type="page"/>
      </w:r>
    </w:p>
    <w:p>
      <w:pPr>
        <w:pStyle w:val="Heading1"/>
        <w:spacing w:after="160" w:before="280"/>
      </w:pPr>
      <w:r>
        <w:t xml:space="preserve">7. Development Schedule</w:t>
      </w:r>
    </w:p>
    <w:p>
      <w:pPr>
        <w:pStyle w:val="Heading2"/>
        <w:spacing w:after="160" w:before="280"/>
      </w:pPr>
      <w:r>
        <w:t xml:space="preserve">7.1 Phasing Strategy &amp; Rationale</w:t>
      </w:r>
    </w:p>
    <w:p>
      <w:pPr>
        <w:spacing w:after="160"/>
        <w:jc w:val="both"/>
      </w:pPr>
      <w:r>
        <w:t xml:space="preserve">The build is sequenced so that each phase only depends on capabilities already delivered by an earlier phase, minimizing rework and letting later modules be built against a stable, tested foundation rather than in parallel with it. This mirrors the module domains in Sections 2–4 directly: </w:t>
      </w:r>
      <w:r>
        <w:rPr>
          <w:b/>
          <w:bCs/>
        </w:rPr>
        <w:t xml:space="preserve">Platform → Employee Data → Core HR Operations → Talent Management → Operational/Financial Extensions → Engagement &amp; Analytics → Hardening &amp; Launch.</w:t>
      </w:r>
    </w:p>
    <w:p>
      <w:pPr>
        <w:spacing w:after="160"/>
        <w:jc w:val="both"/>
      </w:pPr>
      <w:r>
        <w:t xml:space="preserve">Within a phase, modules that do not depend on each other may be built in parallel by separate workstreams; the ordering below only constrains *cross-phase* dependencies. Duration estimates assume a team as described in Section 7.4 and should be recalibrated once the organization's actual team size and starting technology stack are confirmed; they are provided as planning-level guidance, not a committed schedule.</w:t>
      </w:r>
    </w:p>
    <w:p>
      <w:pPr>
        <w:pStyle w:val="Heading2"/>
        <w:spacing w:after="160" w:before="280"/>
      </w:pPr>
      <w:r>
        <w:t xml:space="preserve">7.2 Phase Breakdown</w:t>
      </w:r>
    </w:p>
    <w:p>
      <w:pPr>
        <w:spacing w:after="160"/>
        <w:jc w:val="both"/>
      </w:pPr>
      <w:r>
        <w:rPr>
          <w:b/>
          <w:bCs/>
        </w:rPr>
        <w:t xml:space="preserve">Phase 0 — Platform Foundation (Weeks 1–10)</w:t>
      </w:r>
      <w:r>
        <w:t xml:space="preserve"> Deliverables: technology stack finalized (Section 3.5); CI/CD pipeline; database and migration tooling; the three-tier RBAC engine (Section A2) with basic user/role management, the concrete role catalog (Admin/HR Admin/HR Officer/Supervisor/ESS), and the custom role-builder (clone + permission-matrix editor); authentication (local, Section A1) with password policy, plus </w:t>
      </w:r>
      <w:r>
        <w:rPr>
          <w:b/>
          <w:bCs/>
        </w:rPr>
        <w:t xml:space="preserve">2FA with a choice of TOTP or emailed one-time code, backup codes, and the trusted-device skip mechanism</w:t>
      </w:r>
      <w:r>
        <w:t xml:space="preserve">; the in-app </w:t>
      </w:r>
      <w:r>
        <w:rPr>
          <w:b/>
          <w:bCs/>
        </w:rPr>
        <w:t xml:space="preserve">Notification Center</w:t>
      </w:r>
      <w:r>
        <w:t xml:space="preserve"> platform service (A7) — including browser push (Web Push/VAPID) as one of its three delivery channels, since push does not depend on an installable app and can be built and tested here rather than deferred — and the </w:t>
      </w:r>
      <w:r>
        <w:rPr>
          <w:b/>
          <w:bCs/>
        </w:rPr>
        <w:t xml:space="preserve">E-Signature &amp; Digital Consent Service</w:t>
      </w:r>
      <w:r>
        <w:t xml:space="preserve"> (A8), built here rather than per-module since Domain E/D modules that need them come later in the schedule; the generic REST API framework (validation, serialization, error conventions), designed from the outset for full per-module coverage (Section F6) rather than retrofitted later; the generic workflow-state-machine engine (Section 3.2); the audit-logging mechanism; the notification/email/push framework (template + queue, no module-specific templates yet); the </w:t>
      </w:r>
      <w:r>
        <w:rPr>
          <w:b/>
          <w:bCs/>
        </w:rPr>
        <w:t xml:space="preserve">Renewal &amp; Compliance Reminder Engine</w:t>
      </w:r>
      <w:r>
        <w:t xml:space="preserve"> (Section 3.2) — built here as a generic service ahead of any of its three consumers (Vehicle Renewals in Phase 4, Asset warranties in Phase 4, Company Registration Documents in Phase 4) since building it once, early, is the entire point of generalizing it; object storage integration for attachments; the scheduled-job registry; base i18n framework (English only initially, translation-key infrastructure in place); Employee ID auto-generation configuration (Section B2) built here since it needs to be in place before Phase 1 creates the first employee record. UI/UX design itself (Section 3.4) is a Phase 0 UX design-and-build activity evaluated against the functional requirements in that section, not a reference-layout implementation. </w:t>
      </w:r>
      <w:r>
        <w:rPr>
          <w:b/>
          <w:bCs/>
        </w:rPr>
        <w:t xml:space="preserve">Nothing in later phases can begin in earnest until the RBAC, API, notification, and workflow engines exist</w:t>
      </w:r>
      <w:r>
        <w:t xml:space="preserve">, since every subsequent module is built against them, and pulling 2FA/Notification Center/E-Signature into Phase 0 (rather than Phase 5, where the reference system's equivalent gaps would have placed them) avoids retrofitting every downstream module that now depends on them. *Dependency gate to Phase 1: RBAC (including the custom role-builder), 2FA, API framework, Notification Center, and audit logging must be functionally complete and tested.*</w:t>
      </w:r>
    </w:p>
    <w:p>
      <w:pPr>
        <w:spacing w:after="160"/>
        <w:jc w:val="both"/>
      </w:pPr>
      <w:r>
        <w:rPr>
          <w:b/>
          <w:bCs/>
        </w:rPr>
        <w:t xml:space="preserve">Phase 1 — Organization &amp; Employee Master Data (Weeks 9–18, overlapping the tail of Phase 0)</w:t>
      </w:r>
      <w:r>
        <w:t xml:space="preserve"> Deliverables: Domain B in full — Organization &amp; Master Data Administration (B1), Employee Information Management (B2, including the </w:t>
      </w:r>
      <w:r>
        <w:rPr>
          <w:b/>
          <w:bCs/>
        </w:rPr>
        <w:t xml:space="preserve">Employee ID auto-generation engine</w:t>
      </w:r>
      <w:r>
        <w:t xml:space="preserve"> — format template, a single continuous non-resetting sequence counter, and Admin/HR Admin override, configured in Phase 0 and exercised for real from this phase's first hire onward), Onboarding/Offboarding &amp; Career Development (B3, including the offboarding checklist mechanism — its hard block on outstanding assets/vehicles cannot be wired in yet since Asset/Vehicle Management don't exist until Phase 4, so offboarding ships in this phase without that specific check, and Phase 4 adds it retroactively once E2/E3 exist). This is the largest single phase by data-model surface area, since nearly every later module either stores data against an Employee or references B1's master lists. SSO (LDAP/OIDC, Section A3) and system branding/health checks (A5) can be built in parallel within this phase, as can the GDPR/purge framework (A6) once the Employee entity's field list is finalized. *Dependency gate to Phase 2: Employee entity, org structure, reporting-line graph, and RBAC data-group scoping (self/supervisor) must be stable, since Leave/Time/Attendance approval scoping depends directly on the reporting-line graph.*</w:t>
      </w:r>
    </w:p>
    <w:p>
      <w:pPr>
        <w:spacing w:after="160"/>
        <w:jc w:val="both"/>
      </w:pPr>
      <w:r>
        <w:rPr>
          <w:b/>
          <w:bCs/>
        </w:rPr>
        <w:t xml:space="preserve">Phase 2 — Core HR Operations (Weeks 17–26, overlapping the tail of Phase 1)</w:t>
      </w:r>
      <w:r>
        <w:t xml:space="preserve"> Deliverables: Leave Management (C1) — including the </w:t>
      </w:r>
      <w:r>
        <w:rPr>
          <w:b/>
          <w:bCs/>
        </w:rPr>
        <w:t xml:space="preserve">Accrual &amp; Carry-Over Engine</w:t>
      </w:r>
      <w:r>
        <w:t xml:space="preserve"> (new-hire waiting period, first-year proration, and the year-end carryover/expiry scheduled job), which is scheduled here rather than as a later add-on since it changes the Leave Entitlement data model itself and every leave balance calculation from day one — Time &amp; Project Tracking (C2), Attendance (C3), all three consuming the workflow engine and the reporting-line-based access scoping delivered in Phase 1. Dashboard's leave/time/attendance-dependent widgets (part of F2) can be stubbed in this phase and completed in Phase 5. *Dependency gate to Phase 3: workflow engine proven correct under Leave/Timesheet's real approval scenarios, and the carry-over job validated against at least one full simulated year-end cycle; recruitment and performance both reuse the identical workflow engine, so defects found here should be fixed before Phase 3 builds on the same foundation.*</w:t>
      </w:r>
    </w:p>
    <w:p>
      <w:pPr>
        <w:spacing w:after="160"/>
        <w:jc w:val="both"/>
      </w:pPr>
      <w:r>
        <w:rPr>
          <w:b/>
          <w:bCs/>
        </w:rPr>
        <w:t xml:space="preserve">Phase 3 — Talent Management (Weeks 25–36, overlapping the tail of Phase 2)</w:t>
      </w:r>
      <w:r>
        <w:t xml:space="preserve"> Deliverables: Recruitment (D1, including the requisition pre-approval step, public job board, and </w:t>
      </w:r>
      <w:r>
        <w:rPr>
          <w:b/>
          <w:bCs/>
        </w:rPr>
        <w:t xml:space="preserve">offer-letter e-signature via the Phase 0 E-Signature Service</w:t>
      </w:r>
      <w:r>
        <w:t xml:space="preserve">), Performance Management including 360° Feedback and </w:t>
      </w:r>
      <w:r>
        <w:rPr>
          <w:b/>
          <w:bCs/>
        </w:rPr>
        <w:t xml:space="preserve">e-signature-backed reviewer sign-off</w:t>
      </w:r>
      <w:r>
        <w:t xml:space="preserve"> (D2), Employee Relations/Discipline (D3, including </w:t>
      </w:r>
      <w:r>
        <w:rPr>
          <w:b/>
          <w:bCs/>
        </w:rPr>
        <w:t xml:space="preserve">attachments at the case and response level, the structured outcome taxonomy, e-signature-backed acknowledgement for Written Warning and above, and HR-Admin-and-above visibility</w:t>
      </w:r>
      <w:r>
        <w:t xml:space="preserve"> — the Helpdesk-escalation path is deferred to Phase 5 since it depends on F4, which doesn't exist yet). These three are largely independent of each other and can run as parallel workstreams within the phase; all three depend on Phase 1's reporting-line graph for scoping (hiring-manager/interviewer assignment, reviewer eligibility, supervisor case-raising rights), Phase 0's workflow engine, and Phase 0's E-Signature Service.</w:t>
      </w:r>
    </w:p>
    <w:p>
      <w:pPr>
        <w:spacing w:after="160"/>
        <w:jc w:val="both"/>
      </w:pPr>
      <w:r>
        <w:rPr>
          <w:b/>
          <w:bCs/>
        </w:rPr>
        <w:t xml:space="preserve">Phase 4 — Operational &amp; Financial Extensions (Weeks 35–46, overlapping the tail of Phase 3)</w:t>
      </w:r>
      <w:r>
        <w:t xml:space="preserve"> Deliverables: Expense Claims (E1, using the workflow engine, with </w:t>
      </w:r>
      <w:r>
        <w:rPr>
          <w:b/>
          <w:bCs/>
        </w:rPr>
        <w:t xml:space="preserve">amount-based second-approval routing, payment tracking, per-type rate/cap validation, and the Travel Advance &amp; Reconciliation workflow</w:t>
      </w:r>
      <w:r>
        <w:t xml:space="preserve">), Asset Management (E2, with full assignment history, </w:t>
      </w:r>
      <w:r>
        <w:rPr>
          <w:b/>
          <w:bCs/>
        </w:rPr>
        <w:t xml:space="preserve">self-only employee visibility</w:t>
      </w:r>
      <w:r>
        <w:t xml:space="preserve">, </w:t>
      </w:r>
      <w:r>
        <w:rPr>
          <w:b/>
          <w:bCs/>
        </w:rPr>
        <w:t xml:space="preserve">warranty/service-contract tracking via the Renewal &amp; Compliance Reminder Engine</w:t>
      </w:r>
      <w:r>
        <w:t xml:space="preserve">, a maintenance/repair log, and admin-definable custom fields), Vehicle Fleet Management (E3, with assignment history, </w:t>
      </w:r>
      <w:r>
        <w:rPr>
          <w:b/>
          <w:bCs/>
        </w:rPr>
        <w:t xml:space="preserve">self-only employee visibility</w:t>
      </w:r>
      <w:r>
        <w:t xml:space="preserve">, </w:t>
      </w:r>
      <w:r>
        <w:rPr>
          <w:b/>
          <w:bCs/>
        </w:rPr>
        <w:t xml:space="preserve">renewals migrated onto the shared Renewal &amp; Compliance Reminder Engine</w:t>
      </w:r>
      <w:r>
        <w:t xml:space="preserve">, </w:t>
      </w:r>
      <w:r>
        <w:rPr>
          <w:b/>
          <w:bCs/>
        </w:rPr>
        <w:t xml:space="preserve">driving-license validation at assignment</w:t>
      </w:r>
      <w:r>
        <w:t xml:space="preserve">, and </w:t>
      </w:r>
      <w:r>
        <w:rPr>
          <w:b/>
          <w:bCs/>
        </w:rPr>
        <w:t xml:space="preserve">fuel/mileage logging with odometer-based maintenance triggers</w:t>
      </w:r>
      <w:r>
        <w:t xml:space="preserve">), Policy Document Management (E4, with </w:t>
      </w:r>
      <w:r>
        <w:rPr>
          <w:b/>
          <w:bCs/>
        </w:rPr>
        <w:t xml:space="preserve">new-hire acknowledgement auto-enrollment, file-level access control for restricted categories, and e-signature-backed acknowledgement</w:t>
      </w:r>
      <w:r>
        <w:t xml:space="preserve"> via the Phase 0 E-Signature Service), and </w:t>
      </w:r>
      <w:r>
        <w:rPr>
          <w:b/>
          <w:bCs/>
        </w:rPr>
        <w:t xml:space="preserve">new: Company Registration &amp; Compliance Documents (E5)</w:t>
      </w:r>
      <w:r>
        <w:t xml:space="preserve">, built on the same Renewal &amp; Compliance Reminder Engine as Asset/Vehicle renewals. Once E2/E3 exist, this phase also retroactively wires the offboarding hard-block (B3) that couldn't be completed in Phase 1. These five modules are still largely independent of each other and remain excellent candidates for workstream parallelization; none blocks any other module in this specification, though E5 shares its underlying renewal engine with E2/E3 so scheduling that trio through the same workstream may be more efficient than fully parallelizing all five.</w:t>
      </w:r>
    </w:p>
    <w:p>
      <w:pPr>
        <w:spacing w:after="160"/>
        <w:jc w:val="both"/>
      </w:pPr>
      <w:r>
        <w:rPr>
          <w:b/>
          <w:bCs/>
        </w:rPr>
        <w:t xml:space="preserve">Phase 5 — Engagement, Analytics &amp; Auxiliary Services (Weeks 45–56, overlapping the tail of Phase 4)</w:t>
      </w:r>
      <w:r>
        <w:t xml:space="preserve"> Deliverables: Buzz (F1), Dashboard &amp; HR Analytics (F2, including the nightly HR-metrics snapshot job — start this job running as early in the phase as possible so meaningful trend history exists by go-live — plus the new </w:t>
      </w:r>
      <w:r>
        <w:rPr>
          <w:b/>
          <w:bCs/>
        </w:rPr>
        <w:t xml:space="preserve">consolidated Renewals &amp; Compliance widget, latest-eNPS tile, open-Helpdesk-tickets summary, and live-updating approval counts</w:t>
      </w:r>
      <w:r>
        <w:t xml:space="preserve">), Corporate Directory (F3), Helpdesk with the </w:t>
      </w:r>
      <w:r>
        <w:rPr>
          <w:b/>
          <w:bCs/>
        </w:rPr>
        <w:t xml:space="preserve">Grievance/Whistleblower confidential category and the Discipline-case escalation path</w:t>
      </w:r>
      <w:r>
        <w:t xml:space="preserve"> (F4, the escalation path now buildable since D3 already exists from Phase 3), Help/Support Integration (F5), </w:t>
      </w:r>
      <w:r>
        <w:rPr>
          <w:b/>
          <w:bCs/>
        </w:rPr>
        <w:t xml:space="preserve">Mobile API Coverage (F6) — full API surface exposed across every already-built module</w:t>
      </w:r>
      <w:r>
        <w:t xml:space="preserve">, since the modules it exposes only exist once Phases 1–4 are complete (browser push itself was already built and tested in Phase 0 as part of the Notification Center, A7, so there is no separate mobile-push milestone here), and </w:t>
      </w:r>
      <w:r>
        <w:rPr>
          <w:b/>
          <w:bCs/>
        </w:rPr>
        <w:t xml:space="preserve">Employee Engagement &amp; Pulse Surveys (F8)</w:t>
      </w:r>
      <w:r>
        <w:t xml:space="preserve">, reusing the 360°-feedback anonymization pattern and the Phase 0 Notification Center for delivery. Workspace Notifications (F7) is </w:t>
      </w:r>
      <w:r>
        <w:rPr>
          <w:b/>
          <w:bCs/>
        </w:rPr>
        <w:t xml:space="preserve">not built</w:t>
      </w:r>
      <w:r>
        <w:t xml:space="preserve"> — explicitly descoped per SI's direction (Section 8.3). These are placed last because none of the earlier, business-critical modules depend on them, but several of them (Dashboard, Corporate Directory, Pulse Surveys) read from data created in every earlier phase, so they are genuinely blocked until those phases exist — this is not a statement that they are unimportant, only that they must come after the data they visualize.</w:t>
      </w:r>
    </w:p>
    <w:p>
      <w:pPr>
        <w:spacing w:after="160"/>
        <w:jc w:val="both"/>
      </w:pPr>
      <w:r>
        <w:rPr>
          <w:b/>
          <w:bCs/>
        </w:rPr>
        <w:t xml:space="preserve">Phase 6 — Hardening, Migration &amp; Launch (Weeks 55–64)</w:t>
      </w:r>
      <w:r>
        <w:t xml:space="preserve"> Deliverables: end-to-end security review and penetration testing; performance/load testing at expected headcount; accessibility audit; data migration tooling and a rehearsed cutover plan from the reference system (including a validated mapping from every reference-system table to its new-system equivalent, informed directly by Section 4 above); user acceptance testing with real HR/Admin/Supervisor/ESS users across every module; end-user and administrator training materials; production runbook, backup/disaster-recovery drill, and a defined go-live/rollback plan.</w:t>
      </w:r>
    </w:p>
    <w:p>
      <w:pPr>
        <w:pStyle w:val="Heading2"/>
        <w:spacing w:after="160" w:before="280"/>
      </w:pPr>
      <w:r>
        <w:t xml:space="preserve">7.3 Timeline Summary</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520"/>
        <w:gridCol w:w="2520"/>
        <w:gridCol w:w="2520"/>
        <w:gridCol w:w="2520"/>
      </w:tblGrid>
      <w:tr>
        <w:trPr>
          <w:tblHeader/>
        </w:trPr>
        <w:tc>
          <w:tcPr>
            <w:tcW w:type="dxa" w:w="2520"/>
            <w:shd w:fill="1F3864" w:val="clear"/>
            <w:tcMar>
              <w:top w:type="dxa" w:w="60"/>
              <w:left w:type="dxa" w:w="100"/>
              <w:bottom w:type="dxa" w:w="60"/>
              <w:right w:type="dxa" w:w="100"/>
            </w:tcMar>
            <w:vAlign w:val="center"/>
          </w:tcPr>
          <w:p>
            <w:r>
              <w:rPr>
                <w:b/>
                <w:bCs/>
                <w:color w:val="FFFFFF"/>
                <w:sz w:val="18"/>
                <w:szCs w:val="18"/>
              </w:rPr>
              <w:t xml:space="preserve">Phase</w:t>
            </w:r>
          </w:p>
        </w:tc>
        <w:tc>
          <w:tcPr>
            <w:tcW w:type="dxa" w:w="2520"/>
            <w:shd w:fill="1F3864" w:val="clear"/>
            <w:tcMar>
              <w:top w:type="dxa" w:w="60"/>
              <w:left w:type="dxa" w:w="100"/>
              <w:bottom w:type="dxa" w:w="60"/>
              <w:right w:type="dxa" w:w="100"/>
            </w:tcMar>
            <w:vAlign w:val="center"/>
          </w:tcPr>
          <w:p>
            <w:r>
              <w:rPr>
                <w:b/>
                <w:bCs/>
                <w:color w:val="FFFFFF"/>
                <w:sz w:val="18"/>
                <w:szCs w:val="18"/>
              </w:rPr>
              <w:t xml:space="preserve">Focus</w:t>
            </w:r>
          </w:p>
        </w:tc>
        <w:tc>
          <w:tcPr>
            <w:tcW w:type="dxa" w:w="2520"/>
            <w:shd w:fill="1F3864" w:val="clear"/>
            <w:tcMar>
              <w:top w:type="dxa" w:w="60"/>
              <w:left w:type="dxa" w:w="100"/>
              <w:bottom w:type="dxa" w:w="60"/>
              <w:right w:type="dxa" w:w="100"/>
            </w:tcMar>
            <w:vAlign w:val="center"/>
          </w:tcPr>
          <w:p>
            <w:r>
              <w:rPr>
                <w:b/>
                <w:bCs/>
                <w:color w:val="FFFFFF"/>
                <w:sz w:val="18"/>
                <w:szCs w:val="18"/>
              </w:rPr>
              <w:t xml:space="preserve">Weeks</w:t>
            </w:r>
          </w:p>
        </w:tc>
        <w:tc>
          <w:tcPr>
            <w:tcW w:type="dxa" w:w="2520"/>
            <w:shd w:fill="1F3864" w:val="clear"/>
            <w:tcMar>
              <w:top w:type="dxa" w:w="60"/>
              <w:left w:type="dxa" w:w="100"/>
              <w:bottom w:type="dxa" w:w="60"/>
              <w:right w:type="dxa" w:w="100"/>
            </w:tcMar>
            <w:vAlign w:val="center"/>
          </w:tcPr>
          <w:p>
            <w:r>
              <w:rPr>
                <w:b/>
                <w:bCs/>
                <w:color w:val="FFFFFF"/>
                <w:sz w:val="18"/>
                <w:szCs w:val="18"/>
              </w:rPr>
              <w:t xml:space="preserve">Can start after</w:t>
            </w:r>
          </w:p>
        </w:tc>
      </w:tr>
      <w:tr>
        <w:trPr>
          <w:tblHeader w:val="false"/>
        </w:trPr>
        <w:tc>
          <w:tcPr>
            <w:tcW w:type="dxa" w:w="2520"/>
            <w:tcMar>
              <w:top w:type="dxa" w:w="60"/>
              <w:left w:type="dxa" w:w="100"/>
              <w:bottom w:type="dxa" w:w="60"/>
              <w:right w:type="dxa" w:w="100"/>
            </w:tcMar>
            <w:vAlign w:val="center"/>
          </w:tcPr>
          <w:p>
            <w:r>
              <w:rPr>
                <w:sz w:val="18"/>
                <w:szCs w:val="18"/>
              </w:rPr>
              <w:t xml:space="preserve">0</w:t>
            </w:r>
          </w:p>
        </w:tc>
        <w:tc>
          <w:tcPr>
            <w:tcW w:type="dxa" w:w="2520"/>
            <w:tcMar>
              <w:top w:type="dxa" w:w="60"/>
              <w:left w:type="dxa" w:w="100"/>
              <w:bottom w:type="dxa" w:w="60"/>
              <w:right w:type="dxa" w:w="100"/>
            </w:tcMar>
            <w:vAlign w:val="center"/>
          </w:tcPr>
          <w:p>
            <w:r>
              <w:rPr>
                <w:sz w:val="18"/>
                <w:szCs w:val="18"/>
              </w:rPr>
              <w:t xml:space="preserve">Platform Foundation (incl. 2FA, custom-role RBAC, Notification Center, E-Signature Service)</w:t>
            </w:r>
          </w:p>
        </w:tc>
        <w:tc>
          <w:tcPr>
            <w:tcW w:type="dxa" w:w="2520"/>
            <w:tcMar>
              <w:top w:type="dxa" w:w="60"/>
              <w:left w:type="dxa" w:w="100"/>
              <w:bottom w:type="dxa" w:w="60"/>
              <w:right w:type="dxa" w:w="100"/>
            </w:tcMar>
            <w:vAlign w:val="center"/>
          </w:tcPr>
          <w:p>
            <w:r>
              <w:rPr>
                <w:sz w:val="18"/>
                <w:szCs w:val="18"/>
              </w:rPr>
              <w:t xml:space="preserve">1–10</w:t>
            </w:r>
          </w:p>
        </w:tc>
        <w:tc>
          <w:tcPr>
            <w:tcW w:type="dxa" w:w="2520"/>
            <w:tcMar>
              <w:top w:type="dxa" w:w="60"/>
              <w:left w:type="dxa" w:w="100"/>
              <w:bottom w:type="dxa" w:w="60"/>
              <w:right w:type="dxa" w:w="100"/>
            </w:tcMar>
            <w:vAlign w:val="center"/>
          </w:tcPr>
          <w:p>
            <w:r>
              <w:rPr>
                <w:sz w:val="18"/>
                <w:szCs w:val="18"/>
              </w:rPr>
              <w:t xml:space="preserve">—</w:t>
            </w:r>
          </w:p>
        </w:tc>
      </w:tr>
      <w:tr>
        <w:trPr>
          <w:tblHeader w:val="false"/>
        </w:trPr>
        <w:tc>
          <w:tcPr>
            <w:tcW w:type="dxa" w:w="2520"/>
            <w:tcMar>
              <w:top w:type="dxa" w:w="60"/>
              <w:left w:type="dxa" w:w="100"/>
              <w:bottom w:type="dxa" w:w="60"/>
              <w:right w:type="dxa" w:w="100"/>
            </w:tcMar>
            <w:vAlign w:val="center"/>
          </w:tcPr>
          <w:p>
            <w:r>
              <w:rPr>
                <w:sz w:val="18"/>
                <w:szCs w:val="18"/>
              </w:rPr>
              <w:t xml:space="preserve">1</w:t>
            </w:r>
          </w:p>
        </w:tc>
        <w:tc>
          <w:tcPr>
            <w:tcW w:type="dxa" w:w="2520"/>
            <w:tcMar>
              <w:top w:type="dxa" w:w="60"/>
              <w:left w:type="dxa" w:w="100"/>
              <w:bottom w:type="dxa" w:w="60"/>
              <w:right w:type="dxa" w:w="100"/>
            </w:tcMar>
            <w:vAlign w:val="center"/>
          </w:tcPr>
          <w:p>
            <w:r>
              <w:rPr>
                <w:sz w:val="18"/>
                <w:szCs w:val="18"/>
              </w:rPr>
              <w:t xml:space="preserve">Organization &amp; Employee Master Data</w:t>
            </w:r>
          </w:p>
        </w:tc>
        <w:tc>
          <w:tcPr>
            <w:tcW w:type="dxa" w:w="2520"/>
            <w:tcMar>
              <w:top w:type="dxa" w:w="60"/>
              <w:left w:type="dxa" w:w="100"/>
              <w:bottom w:type="dxa" w:w="60"/>
              <w:right w:type="dxa" w:w="100"/>
            </w:tcMar>
            <w:vAlign w:val="center"/>
          </w:tcPr>
          <w:p>
            <w:r>
              <w:rPr>
                <w:sz w:val="18"/>
                <w:szCs w:val="18"/>
              </w:rPr>
              <w:t xml:space="preserve">9–18</w:t>
            </w:r>
          </w:p>
        </w:tc>
        <w:tc>
          <w:tcPr>
            <w:tcW w:type="dxa" w:w="2520"/>
            <w:tcMar>
              <w:top w:type="dxa" w:w="60"/>
              <w:left w:type="dxa" w:w="100"/>
              <w:bottom w:type="dxa" w:w="60"/>
              <w:right w:type="dxa" w:w="100"/>
            </w:tcMar>
            <w:vAlign w:val="center"/>
          </w:tcPr>
          <w:p>
            <w:r>
              <w:rPr>
                <w:sz w:val="18"/>
                <w:szCs w:val="18"/>
              </w:rPr>
              <w:t xml:space="preserve">Phase 0 RBAC/API/workflow/notification gate</w:t>
            </w:r>
          </w:p>
        </w:tc>
      </w:tr>
      <w:tr>
        <w:trPr>
          <w:tblHeader w:val="false"/>
        </w:trPr>
        <w:tc>
          <w:tcPr>
            <w:tcW w:type="dxa" w:w="2520"/>
            <w:tcMar>
              <w:top w:type="dxa" w:w="60"/>
              <w:left w:type="dxa" w:w="100"/>
              <w:bottom w:type="dxa" w:w="60"/>
              <w:right w:type="dxa" w:w="100"/>
            </w:tcMar>
            <w:vAlign w:val="center"/>
          </w:tcPr>
          <w:p>
            <w:r>
              <w:rPr>
                <w:sz w:val="18"/>
                <w:szCs w:val="18"/>
              </w:rPr>
              <w:t xml:space="preserve">2</w:t>
            </w:r>
          </w:p>
        </w:tc>
        <w:tc>
          <w:tcPr>
            <w:tcW w:type="dxa" w:w="2520"/>
            <w:tcMar>
              <w:top w:type="dxa" w:w="60"/>
              <w:left w:type="dxa" w:w="100"/>
              <w:bottom w:type="dxa" w:w="60"/>
              <w:right w:type="dxa" w:w="100"/>
            </w:tcMar>
            <w:vAlign w:val="center"/>
          </w:tcPr>
          <w:p>
            <w:r>
              <w:rPr>
                <w:sz w:val="18"/>
                <w:szCs w:val="18"/>
              </w:rPr>
              <w:t xml:space="preserve">Core HR Operations (Leave incl. accrual/carry-over engine, Time, Attendance)</w:t>
            </w:r>
          </w:p>
        </w:tc>
        <w:tc>
          <w:tcPr>
            <w:tcW w:type="dxa" w:w="2520"/>
            <w:tcMar>
              <w:top w:type="dxa" w:w="60"/>
              <w:left w:type="dxa" w:w="100"/>
              <w:bottom w:type="dxa" w:w="60"/>
              <w:right w:type="dxa" w:w="100"/>
            </w:tcMar>
            <w:vAlign w:val="center"/>
          </w:tcPr>
          <w:p>
            <w:r>
              <w:rPr>
                <w:sz w:val="18"/>
                <w:szCs w:val="18"/>
              </w:rPr>
              <w:t xml:space="preserve">17–26</w:t>
            </w:r>
          </w:p>
        </w:tc>
        <w:tc>
          <w:tcPr>
            <w:tcW w:type="dxa" w:w="2520"/>
            <w:tcMar>
              <w:top w:type="dxa" w:w="60"/>
              <w:left w:type="dxa" w:w="100"/>
              <w:bottom w:type="dxa" w:w="60"/>
              <w:right w:type="dxa" w:w="100"/>
            </w:tcMar>
            <w:vAlign w:val="center"/>
          </w:tcPr>
          <w:p>
            <w:r>
              <w:rPr>
                <w:sz w:val="18"/>
                <w:szCs w:val="18"/>
              </w:rPr>
              <w:t xml:space="preserve">Phase 1 employee/reporting-line gate</w:t>
            </w:r>
          </w:p>
        </w:tc>
      </w:tr>
      <w:tr>
        <w:trPr>
          <w:tblHeader w:val="false"/>
        </w:trPr>
        <w:tc>
          <w:tcPr>
            <w:tcW w:type="dxa" w:w="2520"/>
            <w:tcMar>
              <w:top w:type="dxa" w:w="60"/>
              <w:left w:type="dxa" w:w="100"/>
              <w:bottom w:type="dxa" w:w="60"/>
              <w:right w:type="dxa" w:w="100"/>
            </w:tcMar>
            <w:vAlign w:val="center"/>
          </w:tcPr>
          <w:p>
            <w:r>
              <w:rPr>
                <w:sz w:val="18"/>
                <w:szCs w:val="18"/>
              </w:rPr>
              <w:t xml:space="preserve">3</w:t>
            </w:r>
          </w:p>
        </w:tc>
        <w:tc>
          <w:tcPr>
            <w:tcW w:type="dxa" w:w="2520"/>
            <w:tcMar>
              <w:top w:type="dxa" w:w="60"/>
              <w:left w:type="dxa" w:w="100"/>
              <w:bottom w:type="dxa" w:w="60"/>
              <w:right w:type="dxa" w:w="100"/>
            </w:tcMar>
            <w:vAlign w:val="center"/>
          </w:tcPr>
          <w:p>
            <w:r>
              <w:rPr>
                <w:sz w:val="18"/>
                <w:szCs w:val="18"/>
              </w:rPr>
              <w:t xml:space="preserve">Talent Management (Recruitment/Performance/Discipline)</w:t>
            </w:r>
          </w:p>
        </w:tc>
        <w:tc>
          <w:tcPr>
            <w:tcW w:type="dxa" w:w="2520"/>
            <w:tcMar>
              <w:top w:type="dxa" w:w="60"/>
              <w:left w:type="dxa" w:w="100"/>
              <w:bottom w:type="dxa" w:w="60"/>
              <w:right w:type="dxa" w:w="100"/>
            </w:tcMar>
            <w:vAlign w:val="center"/>
          </w:tcPr>
          <w:p>
            <w:r>
              <w:rPr>
                <w:sz w:val="18"/>
                <w:szCs w:val="18"/>
              </w:rPr>
              <w:t xml:space="preserve">25–36</w:t>
            </w:r>
          </w:p>
        </w:tc>
        <w:tc>
          <w:tcPr>
            <w:tcW w:type="dxa" w:w="2520"/>
            <w:tcMar>
              <w:top w:type="dxa" w:w="60"/>
              <w:left w:type="dxa" w:w="100"/>
              <w:bottom w:type="dxa" w:w="60"/>
              <w:right w:type="dxa" w:w="100"/>
            </w:tcMar>
            <w:vAlign w:val="center"/>
          </w:tcPr>
          <w:p>
            <w:r>
              <w:rPr>
                <w:sz w:val="18"/>
                <w:szCs w:val="18"/>
              </w:rPr>
              <w:t xml:space="preserve">Phase 2 workflow-engine validation gate</w:t>
            </w:r>
          </w:p>
        </w:tc>
      </w:tr>
      <w:tr>
        <w:trPr>
          <w:tblHeader w:val="false"/>
        </w:trPr>
        <w:tc>
          <w:tcPr>
            <w:tcW w:type="dxa" w:w="2520"/>
            <w:tcMar>
              <w:top w:type="dxa" w:w="60"/>
              <w:left w:type="dxa" w:w="100"/>
              <w:bottom w:type="dxa" w:w="60"/>
              <w:right w:type="dxa" w:w="100"/>
            </w:tcMar>
            <w:vAlign w:val="center"/>
          </w:tcPr>
          <w:p>
            <w:r>
              <w:rPr>
                <w:sz w:val="18"/>
                <w:szCs w:val="18"/>
              </w:rPr>
              <w:t xml:space="preserve">4</w:t>
            </w:r>
          </w:p>
        </w:tc>
        <w:tc>
          <w:tcPr>
            <w:tcW w:type="dxa" w:w="2520"/>
            <w:tcMar>
              <w:top w:type="dxa" w:w="60"/>
              <w:left w:type="dxa" w:w="100"/>
              <w:bottom w:type="dxa" w:w="60"/>
              <w:right w:type="dxa" w:w="100"/>
            </w:tcMar>
            <w:vAlign w:val="center"/>
          </w:tcPr>
          <w:p>
            <w:r>
              <w:rPr>
                <w:sz w:val="18"/>
                <w:szCs w:val="18"/>
              </w:rPr>
              <w:t xml:space="preserve">Operational &amp; Financial Extensions (Claims incl. Travel Advance/Reconciliation, Assets incl. warranty tracking, Vehicles incl. fuel/mileage logging, Policy, and new Company Registration Documents)</w:t>
            </w:r>
          </w:p>
        </w:tc>
        <w:tc>
          <w:tcPr>
            <w:tcW w:type="dxa" w:w="2520"/>
            <w:tcMar>
              <w:top w:type="dxa" w:w="60"/>
              <w:left w:type="dxa" w:w="100"/>
              <w:bottom w:type="dxa" w:w="60"/>
              <w:right w:type="dxa" w:w="100"/>
            </w:tcMar>
            <w:vAlign w:val="center"/>
          </w:tcPr>
          <w:p>
            <w:r>
              <w:rPr>
                <w:sz w:val="18"/>
                <w:szCs w:val="18"/>
              </w:rPr>
              <w:t xml:space="preserve">35–46</w:t>
            </w:r>
          </w:p>
        </w:tc>
        <w:tc>
          <w:tcPr>
            <w:tcW w:type="dxa" w:w="2520"/>
            <w:tcMar>
              <w:top w:type="dxa" w:w="60"/>
              <w:left w:type="dxa" w:w="100"/>
              <w:bottom w:type="dxa" w:w="60"/>
              <w:right w:type="dxa" w:w="100"/>
            </w:tcMar>
            <w:vAlign w:val="center"/>
          </w:tcPr>
          <w:p>
            <w:r>
              <w:rPr>
                <w:sz w:val="18"/>
                <w:szCs w:val="18"/>
              </w:rPr>
              <w:t xml:space="preserve">Phase 1 employee data (does not need Phase 2/3)</w:t>
            </w:r>
          </w:p>
        </w:tc>
      </w:tr>
      <w:tr>
        <w:trPr>
          <w:tblHeader w:val="false"/>
        </w:trPr>
        <w:tc>
          <w:tcPr>
            <w:tcW w:type="dxa" w:w="2520"/>
            <w:tcMar>
              <w:top w:type="dxa" w:w="60"/>
              <w:left w:type="dxa" w:w="100"/>
              <w:bottom w:type="dxa" w:w="60"/>
              <w:right w:type="dxa" w:w="100"/>
            </w:tcMar>
            <w:vAlign w:val="center"/>
          </w:tcPr>
          <w:p>
            <w:r>
              <w:rPr>
                <w:sz w:val="18"/>
                <w:szCs w:val="18"/>
              </w:rPr>
              <w:t xml:space="preserve">5</w:t>
            </w:r>
          </w:p>
        </w:tc>
        <w:tc>
          <w:tcPr>
            <w:tcW w:type="dxa" w:w="2520"/>
            <w:tcMar>
              <w:top w:type="dxa" w:w="60"/>
              <w:left w:type="dxa" w:w="100"/>
              <w:bottom w:type="dxa" w:w="60"/>
              <w:right w:type="dxa" w:w="100"/>
            </w:tcMar>
            <w:vAlign w:val="center"/>
          </w:tcPr>
          <w:p>
            <w:r>
              <w:rPr>
                <w:sz w:val="18"/>
                <w:szCs w:val="18"/>
              </w:rPr>
              <w:t xml:space="preserve">Engagement, Analytics &amp; Auxiliary Services (incl. full Mobile API coverage, Pulse Surveys, consolidated Renewals widget)</w:t>
            </w:r>
          </w:p>
        </w:tc>
        <w:tc>
          <w:tcPr>
            <w:tcW w:type="dxa" w:w="2520"/>
            <w:tcMar>
              <w:top w:type="dxa" w:w="60"/>
              <w:left w:type="dxa" w:w="100"/>
              <w:bottom w:type="dxa" w:w="60"/>
              <w:right w:type="dxa" w:w="100"/>
            </w:tcMar>
            <w:vAlign w:val="center"/>
          </w:tcPr>
          <w:p>
            <w:r>
              <w:rPr>
                <w:sz w:val="18"/>
                <w:szCs w:val="18"/>
              </w:rPr>
              <w:t xml:space="preserve">45–56</w:t>
            </w:r>
          </w:p>
        </w:tc>
        <w:tc>
          <w:tcPr>
            <w:tcW w:type="dxa" w:w="2520"/>
            <w:tcMar>
              <w:top w:type="dxa" w:w="60"/>
              <w:left w:type="dxa" w:w="100"/>
              <w:bottom w:type="dxa" w:w="60"/>
              <w:right w:type="dxa" w:w="100"/>
            </w:tcMar>
            <w:vAlign w:val="center"/>
          </w:tcPr>
          <w:p>
            <w:r>
              <w:rPr>
                <w:sz w:val="18"/>
                <w:szCs w:val="18"/>
              </w:rPr>
              <w:t xml:space="preserve">Data from all prior phases it visualizes</w:t>
            </w:r>
          </w:p>
        </w:tc>
      </w:tr>
      <w:tr>
        <w:trPr>
          <w:tblHeader w:val="false"/>
        </w:trPr>
        <w:tc>
          <w:tcPr>
            <w:tcW w:type="dxa" w:w="2520"/>
            <w:tcMar>
              <w:top w:type="dxa" w:w="60"/>
              <w:left w:type="dxa" w:w="100"/>
              <w:bottom w:type="dxa" w:w="60"/>
              <w:right w:type="dxa" w:w="100"/>
            </w:tcMar>
            <w:vAlign w:val="center"/>
          </w:tcPr>
          <w:p>
            <w:r>
              <w:rPr>
                <w:sz w:val="18"/>
                <w:szCs w:val="18"/>
              </w:rPr>
              <w:t xml:space="preserve">6</w:t>
            </w:r>
          </w:p>
        </w:tc>
        <w:tc>
          <w:tcPr>
            <w:tcW w:type="dxa" w:w="2520"/>
            <w:tcMar>
              <w:top w:type="dxa" w:w="60"/>
              <w:left w:type="dxa" w:w="100"/>
              <w:bottom w:type="dxa" w:w="60"/>
              <w:right w:type="dxa" w:w="100"/>
            </w:tcMar>
            <w:vAlign w:val="center"/>
          </w:tcPr>
          <w:p>
            <w:r>
              <w:rPr>
                <w:sz w:val="18"/>
                <w:szCs w:val="18"/>
              </w:rPr>
              <w:t xml:space="preserve">Hardening, Migration &amp; Launch</w:t>
            </w:r>
          </w:p>
        </w:tc>
        <w:tc>
          <w:tcPr>
            <w:tcW w:type="dxa" w:w="2520"/>
            <w:tcMar>
              <w:top w:type="dxa" w:w="60"/>
              <w:left w:type="dxa" w:w="100"/>
              <w:bottom w:type="dxa" w:w="60"/>
              <w:right w:type="dxa" w:w="100"/>
            </w:tcMar>
            <w:vAlign w:val="center"/>
          </w:tcPr>
          <w:p>
            <w:r>
              <w:rPr>
                <w:sz w:val="18"/>
                <w:szCs w:val="18"/>
              </w:rPr>
              <w:t xml:space="preserve">55–64</w:t>
            </w:r>
          </w:p>
        </w:tc>
        <w:tc>
          <w:tcPr>
            <w:tcW w:type="dxa" w:w="2520"/>
            <w:tcMar>
              <w:top w:type="dxa" w:w="60"/>
              <w:left w:type="dxa" w:w="100"/>
              <w:bottom w:type="dxa" w:w="60"/>
              <w:right w:type="dxa" w:w="100"/>
            </w:tcMar>
            <w:vAlign w:val="center"/>
          </w:tcPr>
          <w:p>
            <w:r>
              <w:rPr>
                <w:sz w:val="18"/>
                <w:szCs w:val="18"/>
              </w:rPr>
              <w:t xml:space="preserve">All functional phases substantially complete</w:t>
            </w:r>
          </w:p>
        </w:tc>
      </w:tr>
    </w:tbl>
    <w:p>
      <w:pPr>
        <w:spacing w:after="120"/>
      </w:pPr>
    </w:p>
    <w:p>
      <w:pPr>
        <w:spacing w:after="160"/>
        <w:jc w:val="both"/>
      </w:pPr>
      <w:r>
        <w:t xml:space="preserve">Total planning-level duration: </w:t>
      </w:r>
      <w:r>
        <w:rPr>
          <w:b/>
          <w:bCs/>
        </w:rPr>
        <w:t xml:space="preserve">approximately 64 weeks (~15 months)</w:t>
      </w:r>
      <w:r>
        <w:t xml:space="preserve"> from project start to go-live readiness — 2 weeks longer than the prior estimate, reflecting Phase 4's expanded scope (a fifth module, Company Registration Documents, plus substantial additions to Expense Claims, Asset Management, and Vehicle Fleet Management, including the shared Renewal &amp; Compliance Reminder Engine those last two now consume) — with roughly 6–8 weeks of deliberate overlap built into each phase boundary so a workstream can begin its own foundational work (data model, API contracts) against a near-final upstream dependency rather than waiting for a hard handoff. Note that Phase 4 is shown able to start once Phase 1 is complete, in parallel with Phases 2–3, since none of its modules depend on Leave/Time/Attendance or Recruitment/Performance/Discipline — an organization with enough parallel team capacity could compress the overall timeline by running Phase 4 alongside Phases 2–3 rather than after them, provided Phase 0/1 foundations are solid enough to support multiple concurrent workstreams without destabilizing each other.</w:t>
      </w:r>
    </w:p>
    <w:p>
      <w:pPr>
        <w:pStyle w:val="Heading2"/>
        <w:spacing w:after="160" w:before="280"/>
      </w:pPr>
      <w:r>
        <w:t xml:space="preserve">7.4 Team Composition &amp; Roles (indicative)</w:t>
      </w:r>
    </w:p>
    <w:p>
      <w:pPr>
        <w:pStyle w:val="ListParagraph"/>
        <w:numPr>
          <w:ilvl w:val="0"/>
          <w:numId w:val="1"/>
        </w:numPr>
        <w:spacing w:after="60"/>
      </w:pPr>
      <w:r>
        <w:rPr>
          <w:b/>
          <w:bCs/>
        </w:rPr>
        <w:t xml:space="preserve">1 Technical Lead / Architect</w:t>
      </w:r>
      <w:r>
        <w:t xml:space="preserve"> — owns Section 3's platform decisions end-to-end, from Phase 0 through launch.</w:t>
      </w:r>
    </w:p>
    <w:p>
      <w:pPr>
        <w:pStyle w:val="ListParagraph"/>
        <w:numPr>
          <w:ilvl w:val="0"/>
          <w:numId w:val="1"/>
        </w:numPr>
        <w:spacing w:after="60"/>
      </w:pPr>
      <w:r>
        <w:rPr>
          <w:b/>
          <w:bCs/>
        </w:rPr>
        <w:t xml:space="preserve">1 Product/Business Analyst (HR domain)</w:t>
      </w:r>
      <w:r>
        <w:t xml:space="preserve"> — owns requirements sign-off per module against Section 4, working directly with Systems Intelligenz HR stakeholders.</w:t>
      </w:r>
    </w:p>
    <w:p>
      <w:pPr>
        <w:pStyle w:val="ListParagraph"/>
        <w:numPr>
          <w:ilvl w:val="0"/>
          <w:numId w:val="1"/>
        </w:numPr>
        <w:spacing w:after="60"/>
      </w:pPr>
      <w:r>
        <w:rPr>
          <w:b/>
          <w:bCs/>
        </w:rPr>
        <w:t xml:space="preserve">2–4 Laravel Engineers per active phase</w:t>
      </w:r>
      <w:r>
        <w:t xml:space="preserve"> — sized to the phase's module count (e.g., Phase 4's four independent modules support up to four parallel pairs if timeline compression is desired). Because Livewire renders the UI server-side in PHP (Section 3.5), a Laravel engineer builds a module's backend, API endpoints, and Livewire/Blade screens as one continuous piece of work rather than a hand-off between separate backend and frontend engineers — the "Backend Engineer" and "Frontend Engineer" roles from a Node/React-style team largely collapse into this one role. A dedicated frontend specialist is still useful for the shared Tailwind component library and any Alpine.js-heavy interaction work, but not required per module.</w:t>
      </w:r>
    </w:p>
    <w:p>
      <w:pPr>
        <w:pStyle w:val="ListParagraph"/>
        <w:numPr>
          <w:ilvl w:val="0"/>
          <w:numId w:val="1"/>
        </w:numPr>
        <w:spacing w:after="60"/>
      </w:pPr>
      <w:r>
        <w:rPr>
          <w:b/>
          <w:bCs/>
        </w:rPr>
        <w:t xml:space="preserve">1 UX Designer</w:t>
      </w:r>
      <w:r>
        <w:t xml:space="preserve">, engaged from Phase 1 onward to extend the adopted design system (Section 3.4) to each phase's new module screens ahead of the build, rather than to invent a new visual language.</w:t>
      </w:r>
    </w:p>
    <w:p>
      <w:pPr>
        <w:pStyle w:val="ListParagraph"/>
        <w:numPr>
          <w:ilvl w:val="0"/>
          <w:numId w:val="1"/>
        </w:numPr>
        <w:spacing w:after="60"/>
      </w:pPr>
      <w:r>
        <w:rPr>
          <w:b/>
          <w:bCs/>
        </w:rPr>
        <w:t xml:space="preserve">1 QA/Test Engineer per active phase</w:t>
      </w:r>
      <w:r>
        <w:t xml:space="preserve">, with dedicated security and performance testing resourcing added for Phase 6.</w:t>
      </w:r>
    </w:p>
    <w:p>
      <w:pPr>
        <w:pStyle w:val="ListParagraph"/>
        <w:numPr>
          <w:ilvl w:val="0"/>
          <w:numId w:val="1"/>
        </w:numPr>
        <w:spacing w:after="60"/>
      </w:pPr>
      <w:r>
        <w:rPr>
          <w:b/>
          <w:bCs/>
        </w:rPr>
        <w:t xml:space="preserve">1 DevOps/Platform Engineer</w:t>
      </w:r>
      <w:r>
        <w:t xml:space="preserve"> from Phase 0 through launch, owning CI/CD, environments, and the object-storage/backup infrastructure from Section 3.2.</w:t>
      </w:r>
    </w:p>
    <w:p>
      <w:pPr>
        <w:pStyle w:val="ListParagraph"/>
        <w:numPr>
          <w:ilvl w:val="0"/>
          <w:numId w:val="1"/>
        </w:numPr>
        <w:spacing w:after="60"/>
      </w:pPr>
      <w:r>
        <w:rPr>
          <w:b/>
          <w:bCs/>
        </w:rPr>
        <w:t xml:space="preserve">1 Data Migration Specialist</w:t>
      </w:r>
      <w:r>
        <w:t xml:space="preserve">, engaged from Phase 4 onward to begin building and rehearsing the reference-system-to-new-system migration mapping well ahead of Phase 6.</w:t>
      </w:r>
    </w:p>
    <w:p>
      <w:pPr>
        <w:pStyle w:val="Heading2"/>
        <w:spacing w:after="160" w:before="280"/>
      </w:pPr>
      <w:r>
        <w:t xml:space="preserve">7.5 Milestones &amp; Acceptance Criteria</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3360"/>
        <w:gridCol w:w="3360"/>
        <w:gridCol w:w="3360"/>
      </w:tblGrid>
      <w:tr>
        <w:trPr>
          <w:tblHeader/>
        </w:trPr>
        <w:tc>
          <w:tcPr>
            <w:tcW w:type="dxa" w:w="3360"/>
            <w:shd w:fill="1F3864" w:val="clear"/>
            <w:tcMar>
              <w:top w:type="dxa" w:w="60"/>
              <w:left w:type="dxa" w:w="100"/>
              <w:bottom w:type="dxa" w:w="60"/>
              <w:right w:type="dxa" w:w="100"/>
            </w:tcMar>
            <w:vAlign w:val="center"/>
          </w:tcPr>
          <w:p>
            <w:r>
              <w:rPr>
                <w:b/>
                <w:bCs/>
                <w:color w:val="FFFFFF"/>
                <w:sz w:val="18"/>
                <w:szCs w:val="18"/>
              </w:rPr>
              <w:t xml:space="preserve">Milestone</w:t>
            </w:r>
          </w:p>
        </w:tc>
        <w:tc>
          <w:tcPr>
            <w:tcW w:type="dxa" w:w="3360"/>
            <w:shd w:fill="1F3864" w:val="clear"/>
            <w:tcMar>
              <w:top w:type="dxa" w:w="60"/>
              <w:left w:type="dxa" w:w="100"/>
              <w:bottom w:type="dxa" w:w="60"/>
              <w:right w:type="dxa" w:w="100"/>
            </w:tcMar>
            <w:vAlign w:val="center"/>
          </w:tcPr>
          <w:p>
            <w:r>
              <w:rPr>
                <w:b/>
                <w:bCs/>
                <w:color w:val="FFFFFF"/>
                <w:sz w:val="18"/>
                <w:szCs w:val="18"/>
              </w:rPr>
              <w:t xml:space="preserve">Target</w:t>
            </w:r>
          </w:p>
        </w:tc>
        <w:tc>
          <w:tcPr>
            <w:tcW w:type="dxa" w:w="3360"/>
            <w:shd w:fill="1F3864" w:val="clear"/>
            <w:tcMar>
              <w:top w:type="dxa" w:w="60"/>
              <w:left w:type="dxa" w:w="100"/>
              <w:bottom w:type="dxa" w:w="60"/>
              <w:right w:type="dxa" w:w="100"/>
            </w:tcMar>
            <w:vAlign w:val="center"/>
          </w:tcPr>
          <w:p>
            <w:r>
              <w:rPr>
                <w:b/>
                <w:bCs/>
                <w:color w:val="FFFFFF"/>
                <w:sz w:val="18"/>
                <w:szCs w:val="18"/>
              </w:rPr>
              <w:t xml:space="preserve">Acceptance criteria</w:t>
            </w:r>
          </w:p>
        </w:tc>
      </w:tr>
      <w:tr>
        <w:trPr>
          <w:tblHeader w:val="false"/>
        </w:trPr>
        <w:tc>
          <w:tcPr>
            <w:tcW w:type="dxa" w:w="3360"/>
            <w:tcMar>
              <w:top w:type="dxa" w:w="60"/>
              <w:left w:type="dxa" w:w="100"/>
              <w:bottom w:type="dxa" w:w="60"/>
              <w:right w:type="dxa" w:w="100"/>
            </w:tcMar>
            <w:vAlign w:val="center"/>
          </w:tcPr>
          <w:p>
            <w:r>
              <w:rPr>
                <w:sz w:val="18"/>
                <w:szCs w:val="18"/>
              </w:rPr>
              <w:t xml:space="preserve">M0 — Foundation Complete</w:t>
            </w:r>
          </w:p>
        </w:tc>
        <w:tc>
          <w:tcPr>
            <w:tcW w:type="dxa" w:w="3360"/>
            <w:tcMar>
              <w:top w:type="dxa" w:w="60"/>
              <w:left w:type="dxa" w:w="100"/>
              <w:bottom w:type="dxa" w:w="60"/>
              <w:right w:type="dxa" w:w="100"/>
            </w:tcMar>
            <w:vAlign w:val="center"/>
          </w:tcPr>
          <w:p>
            <w:r>
              <w:rPr>
                <w:sz w:val="18"/>
                <w:szCs w:val="18"/>
              </w:rPr>
              <w:t xml:space="preserve">End of Phase 0</w:t>
            </w:r>
          </w:p>
        </w:tc>
        <w:tc>
          <w:tcPr>
            <w:tcW w:type="dxa" w:w="3360"/>
            <w:tcMar>
              <w:top w:type="dxa" w:w="60"/>
              <w:left w:type="dxa" w:w="100"/>
              <w:bottom w:type="dxa" w:w="60"/>
              <w:right w:type="dxa" w:w="100"/>
            </w:tcMar>
            <w:vAlign w:val="center"/>
          </w:tcPr>
          <w:p>
            <w:r>
              <w:rPr>
                <w:sz w:val="18"/>
                <w:szCs w:val="18"/>
              </w:rPr>
              <w:t xml:space="preserve">RBAC (including the custom role-builder), 2FA/trusted-device flow, Notification Center, E-Signature Service, workflow engine, audit log, and API framework pass their own automated test suites; a reference "hello world" module can be built end-to-end using only these platform services</w:t>
            </w:r>
          </w:p>
        </w:tc>
      </w:tr>
      <w:tr>
        <w:trPr>
          <w:tblHeader w:val="false"/>
        </w:trPr>
        <w:tc>
          <w:tcPr>
            <w:tcW w:type="dxa" w:w="3360"/>
            <w:tcMar>
              <w:top w:type="dxa" w:w="60"/>
              <w:left w:type="dxa" w:w="100"/>
              <w:bottom w:type="dxa" w:w="60"/>
              <w:right w:type="dxa" w:w="100"/>
            </w:tcMar>
            <w:vAlign w:val="center"/>
          </w:tcPr>
          <w:p>
            <w:r>
              <w:rPr>
                <w:sz w:val="18"/>
                <w:szCs w:val="18"/>
              </w:rPr>
              <w:t xml:space="preserve">M1 — Employee Data Live</w:t>
            </w:r>
          </w:p>
        </w:tc>
        <w:tc>
          <w:tcPr>
            <w:tcW w:type="dxa" w:w="3360"/>
            <w:tcMar>
              <w:top w:type="dxa" w:w="60"/>
              <w:left w:type="dxa" w:w="100"/>
              <w:bottom w:type="dxa" w:w="60"/>
              <w:right w:type="dxa" w:w="100"/>
            </w:tcMar>
            <w:vAlign w:val="center"/>
          </w:tcPr>
          <w:p>
            <w:r>
              <w:rPr>
                <w:sz w:val="18"/>
                <w:szCs w:val="18"/>
              </w:rPr>
              <w:t xml:space="preserve">End of Phase 1</w:t>
            </w:r>
          </w:p>
        </w:tc>
        <w:tc>
          <w:tcPr>
            <w:tcW w:type="dxa" w:w="3360"/>
            <w:tcMar>
              <w:top w:type="dxa" w:w="60"/>
              <w:left w:type="dxa" w:w="100"/>
              <w:bottom w:type="dxa" w:w="60"/>
              <w:right w:type="dxa" w:w="100"/>
            </w:tcMar>
            <w:vAlign w:val="center"/>
          </w:tcPr>
          <w:p>
            <w:r>
              <w:rPr>
                <w:sz w:val="18"/>
                <w:szCs w:val="18"/>
              </w:rPr>
              <w:t xml:space="preserve">Full employee lifecycle (create, edit every tab, terminate, org chart, reporting lines) works under RBAC; CSV import validated against a real sample dataset</w:t>
            </w:r>
          </w:p>
        </w:tc>
      </w:tr>
      <w:tr>
        <w:trPr>
          <w:tblHeader w:val="false"/>
        </w:trPr>
        <w:tc>
          <w:tcPr>
            <w:tcW w:type="dxa" w:w="3360"/>
            <w:tcMar>
              <w:top w:type="dxa" w:w="60"/>
              <w:left w:type="dxa" w:w="100"/>
              <w:bottom w:type="dxa" w:w="60"/>
              <w:right w:type="dxa" w:w="100"/>
            </w:tcMar>
            <w:vAlign w:val="center"/>
          </w:tcPr>
          <w:p>
            <w:r>
              <w:rPr>
                <w:sz w:val="18"/>
                <w:szCs w:val="18"/>
              </w:rPr>
              <w:t xml:space="preserve">M2 — Core HR Operations Live</w:t>
            </w:r>
          </w:p>
        </w:tc>
        <w:tc>
          <w:tcPr>
            <w:tcW w:type="dxa" w:w="3360"/>
            <w:tcMar>
              <w:top w:type="dxa" w:w="60"/>
              <w:left w:type="dxa" w:w="100"/>
              <w:bottom w:type="dxa" w:w="60"/>
              <w:right w:type="dxa" w:w="100"/>
            </w:tcMar>
            <w:vAlign w:val="center"/>
          </w:tcPr>
          <w:p>
            <w:r>
              <w:rPr>
                <w:sz w:val="18"/>
                <w:szCs w:val="18"/>
              </w:rPr>
              <w:t xml:space="preserve">End of Phase 2</w:t>
            </w:r>
          </w:p>
        </w:tc>
        <w:tc>
          <w:tcPr>
            <w:tcW w:type="dxa" w:w="3360"/>
            <w:tcMar>
              <w:top w:type="dxa" w:w="60"/>
              <w:left w:type="dxa" w:w="100"/>
              <w:bottom w:type="dxa" w:w="60"/>
              <w:right w:type="dxa" w:w="100"/>
            </w:tcMar>
            <w:vAlign w:val="center"/>
          </w:tcPr>
          <w:p>
            <w:r>
              <w:rPr>
                <w:sz w:val="18"/>
                <w:szCs w:val="18"/>
              </w:rPr>
              <w:t xml:space="preserve">A full leave-apply-to-approve cycle, a full timesheet-submit-to-approve cycle, and punch-in/out all function under real approval scenarios, including the edge cases specified in Section C1–C3 (overlap prevention, FIFO consumption, resubmission after rejection); the accrual/carry-over engine correctly produces a new-hire proration and a simulated year-end carryover-then-forfeiture cycle against test data</w:t>
            </w:r>
          </w:p>
        </w:tc>
      </w:tr>
      <w:tr>
        <w:trPr>
          <w:tblHeader w:val="false"/>
        </w:trPr>
        <w:tc>
          <w:tcPr>
            <w:tcW w:type="dxa" w:w="3360"/>
            <w:tcMar>
              <w:top w:type="dxa" w:w="60"/>
              <w:left w:type="dxa" w:w="100"/>
              <w:bottom w:type="dxa" w:w="60"/>
              <w:right w:type="dxa" w:w="100"/>
            </w:tcMar>
            <w:vAlign w:val="center"/>
          </w:tcPr>
          <w:p>
            <w:r>
              <w:rPr>
                <w:sz w:val="18"/>
                <w:szCs w:val="18"/>
              </w:rPr>
              <w:t xml:space="preserve">M3 — Talent Management Live</w:t>
            </w:r>
          </w:p>
        </w:tc>
        <w:tc>
          <w:tcPr>
            <w:tcW w:type="dxa" w:w="3360"/>
            <w:tcMar>
              <w:top w:type="dxa" w:w="60"/>
              <w:left w:type="dxa" w:w="100"/>
              <w:bottom w:type="dxa" w:w="60"/>
              <w:right w:type="dxa" w:w="100"/>
            </w:tcMar>
            <w:vAlign w:val="center"/>
          </w:tcPr>
          <w:p>
            <w:r>
              <w:rPr>
                <w:sz w:val="18"/>
                <w:szCs w:val="18"/>
              </w:rPr>
              <w:t xml:space="preserve">End of Phase 3</w:t>
            </w:r>
          </w:p>
        </w:tc>
        <w:tc>
          <w:tcPr>
            <w:tcW w:type="dxa" w:w="3360"/>
            <w:tcMar>
              <w:top w:type="dxa" w:w="60"/>
              <w:left w:type="dxa" w:w="100"/>
              <w:bottom w:type="dxa" w:w="60"/>
              <w:right w:type="dxa" w:w="100"/>
            </w:tcMar>
            <w:vAlign w:val="center"/>
          </w:tcPr>
          <w:p>
            <w:r>
              <w:rPr>
                <w:sz w:val="18"/>
                <w:szCs w:val="18"/>
              </w:rPr>
              <w:t xml:space="preserve">A candidate can be taken from public application through to hire producing a real Employee record; a performance review cycle can be activated, evaluated by both tracks, and finalized; a disciplinary case can be raised, responded to, and resolved</w:t>
            </w:r>
          </w:p>
        </w:tc>
      </w:tr>
      <w:tr>
        <w:trPr>
          <w:tblHeader w:val="false"/>
        </w:trPr>
        <w:tc>
          <w:tcPr>
            <w:tcW w:type="dxa" w:w="3360"/>
            <w:tcMar>
              <w:top w:type="dxa" w:w="60"/>
              <w:left w:type="dxa" w:w="100"/>
              <w:bottom w:type="dxa" w:w="60"/>
              <w:right w:type="dxa" w:w="100"/>
            </w:tcMar>
            <w:vAlign w:val="center"/>
          </w:tcPr>
          <w:p>
            <w:r>
              <w:rPr>
                <w:sz w:val="18"/>
                <w:szCs w:val="18"/>
              </w:rPr>
              <w:t xml:space="preserve">M4 — Operational Extensions Live</w:t>
            </w:r>
          </w:p>
        </w:tc>
        <w:tc>
          <w:tcPr>
            <w:tcW w:type="dxa" w:w="3360"/>
            <w:tcMar>
              <w:top w:type="dxa" w:w="60"/>
              <w:left w:type="dxa" w:w="100"/>
              <w:bottom w:type="dxa" w:w="60"/>
              <w:right w:type="dxa" w:w="100"/>
            </w:tcMar>
            <w:vAlign w:val="center"/>
          </w:tcPr>
          <w:p>
            <w:r>
              <w:rPr>
                <w:sz w:val="18"/>
                <w:szCs w:val="18"/>
              </w:rPr>
              <w:t xml:space="preserve">End of Phase 4</w:t>
            </w:r>
          </w:p>
        </w:tc>
        <w:tc>
          <w:tcPr>
            <w:tcW w:type="dxa" w:w="3360"/>
            <w:tcMar>
              <w:top w:type="dxa" w:w="60"/>
              <w:left w:type="dxa" w:w="100"/>
              <w:bottom w:type="dxa" w:w="60"/>
              <w:right w:type="dxa" w:w="100"/>
            </w:tcMar>
            <w:vAlign w:val="center"/>
          </w:tcPr>
          <w:p>
            <w:r>
              <w:rPr>
                <w:sz w:val="18"/>
                <w:szCs w:val="18"/>
              </w:rPr>
              <w:t xml:space="preserve">A claim can be submitted, approved (including a second approval when above the configured threshold), and paid, with a travel advance correctly reconciled against a subsequent claim; an asset and a vehicle can each be assigned with full history retained, visible only to the assigned ESS user in self-service view; a vehicle assignment attempt against an employee with an expired/missing license correctly requires an override; a policy document can be published, a new hire is auto-enrolled against it, acknowledged via e-signature, and compliance reported; a restricted-category document correctly blocks direct-URL access for an ungranted user; a Company Registration Document renewed twice retains both prior versions and its reminder tiers fire and reset correctly around each renewal; offboarding an employee with an assigned asset or vehicle is correctly blocked until it is cleared</w:t>
            </w:r>
          </w:p>
        </w:tc>
      </w:tr>
      <w:tr>
        <w:trPr>
          <w:tblHeader w:val="false"/>
        </w:trPr>
        <w:tc>
          <w:tcPr>
            <w:tcW w:type="dxa" w:w="3360"/>
            <w:tcMar>
              <w:top w:type="dxa" w:w="60"/>
              <w:left w:type="dxa" w:w="100"/>
              <w:bottom w:type="dxa" w:w="60"/>
              <w:right w:type="dxa" w:w="100"/>
            </w:tcMar>
            <w:vAlign w:val="center"/>
          </w:tcPr>
          <w:p>
            <w:r>
              <w:rPr>
                <w:sz w:val="18"/>
                <w:szCs w:val="18"/>
              </w:rPr>
              <w:t xml:space="preserve">M5 — Engagement &amp; Analytics Live</w:t>
            </w:r>
          </w:p>
        </w:tc>
        <w:tc>
          <w:tcPr>
            <w:tcW w:type="dxa" w:w="3360"/>
            <w:tcMar>
              <w:top w:type="dxa" w:w="60"/>
              <w:left w:type="dxa" w:w="100"/>
              <w:bottom w:type="dxa" w:w="60"/>
              <w:right w:type="dxa" w:w="100"/>
            </w:tcMar>
            <w:vAlign w:val="center"/>
          </w:tcPr>
          <w:p>
            <w:r>
              <w:rPr>
                <w:sz w:val="18"/>
                <w:szCs w:val="18"/>
              </w:rPr>
              <w:t xml:space="preserve">End of Phase 5</w:t>
            </w:r>
          </w:p>
        </w:tc>
        <w:tc>
          <w:tcPr>
            <w:tcW w:type="dxa" w:w="3360"/>
            <w:tcMar>
              <w:top w:type="dxa" w:w="60"/>
              <w:left w:type="dxa" w:w="100"/>
              <w:bottom w:type="dxa" w:w="60"/>
              <w:right w:type="dxa" w:w="100"/>
            </w:tcMar>
            <w:vAlign w:val="center"/>
          </w:tcPr>
          <w:p>
            <w:r>
              <w:rPr>
                <w:sz w:val="18"/>
                <w:szCs w:val="18"/>
              </w:rPr>
              <w:t xml:space="preserve">Dashboard widgets render live data across every enabled module; the HR-metrics snapshot has at least 30 days of real trend data before go-live; the API surface of every module built so far is exercised end-to-end from a phone browser (not only a nav menu), a browser push notification is received and deep-links correctly on a desktop/Android session with notification permission granted, Helpdesk's confidential Grievance category correctly restricts visibility to designated handlers, and a pulse-survey run produces an eNPS score with department breakdowns correctly suppressed below the minimum-N threshold</w:t>
            </w:r>
          </w:p>
        </w:tc>
      </w:tr>
      <w:tr>
        <w:trPr>
          <w:tblHeader w:val="false"/>
        </w:trPr>
        <w:tc>
          <w:tcPr>
            <w:tcW w:type="dxa" w:w="3360"/>
            <w:tcMar>
              <w:top w:type="dxa" w:w="60"/>
              <w:left w:type="dxa" w:w="100"/>
              <w:bottom w:type="dxa" w:w="60"/>
              <w:right w:type="dxa" w:w="100"/>
            </w:tcMar>
            <w:vAlign w:val="center"/>
          </w:tcPr>
          <w:p>
            <w:r>
              <w:rPr>
                <w:sz w:val="18"/>
                <w:szCs w:val="18"/>
              </w:rPr>
              <w:t xml:space="preserve">M6 — Go-Live Readiness</w:t>
            </w:r>
          </w:p>
        </w:tc>
        <w:tc>
          <w:tcPr>
            <w:tcW w:type="dxa" w:w="3360"/>
            <w:tcMar>
              <w:top w:type="dxa" w:w="60"/>
              <w:left w:type="dxa" w:w="100"/>
              <w:bottom w:type="dxa" w:w="60"/>
              <w:right w:type="dxa" w:w="100"/>
            </w:tcMar>
            <w:vAlign w:val="center"/>
          </w:tcPr>
          <w:p>
            <w:r>
              <w:rPr>
                <w:sz w:val="18"/>
                <w:szCs w:val="18"/>
              </w:rPr>
              <w:t xml:space="preserve">End of Phase 6</w:t>
            </w:r>
          </w:p>
        </w:tc>
        <w:tc>
          <w:tcPr>
            <w:tcW w:type="dxa" w:w="3360"/>
            <w:tcMar>
              <w:top w:type="dxa" w:w="60"/>
              <w:left w:type="dxa" w:w="100"/>
              <w:bottom w:type="dxa" w:w="60"/>
              <w:right w:type="dxa" w:w="100"/>
            </w:tcMar>
            <w:vAlign w:val="center"/>
          </w:tcPr>
          <w:p>
            <w:r>
              <w:rPr>
                <w:sz w:val="18"/>
                <w:szCs w:val="18"/>
              </w:rPr>
              <w:t xml:space="preserve">Security/performance/accessibility sign-off; UAT sign-off from HR stakeholders across every module in Section 4; rehearsed, reversible cutover plan</w:t>
            </w:r>
          </w:p>
        </w:tc>
      </w:tr>
    </w:tbl>
    <w:p>
      <w:pPr>
        <w:spacing w:after="120"/>
      </w:pPr>
    </w:p>
    <w:p>
      <w:pPr>
        <w:pStyle w:val="Heading2"/>
        <w:spacing w:after="160" w:before="280"/>
      </w:pPr>
      <w:r>
        <w:t xml:space="preserve">7.6 Risks &amp; Mitigations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rPr>
          <w:tblHeader/>
        </w:trPr>
        <w:tc>
          <w:tcPr>
            <w:tcW w:type="dxa" w:w="5040"/>
            <w:shd w:fill="1F3864" w:val="clear"/>
            <w:tcMar>
              <w:top w:type="dxa" w:w="60"/>
              <w:left w:type="dxa" w:w="100"/>
              <w:bottom w:type="dxa" w:w="60"/>
              <w:right w:type="dxa" w:w="100"/>
            </w:tcMar>
            <w:vAlign w:val="center"/>
          </w:tcPr>
          <w:p>
            <w:r>
              <w:rPr>
                <w:b/>
                <w:bCs/>
                <w:color w:val="FFFFFF"/>
                <w:sz w:val="18"/>
                <w:szCs w:val="18"/>
              </w:rPr>
              <w:t xml:space="preserve">Risk</w:t>
            </w:r>
          </w:p>
        </w:tc>
        <w:tc>
          <w:tcPr>
            <w:tcW w:type="dxa" w:w="5040"/>
            <w:shd w:fill="1F3864" w:val="clear"/>
            <w:tcMar>
              <w:top w:type="dxa" w:w="60"/>
              <w:left w:type="dxa" w:w="100"/>
              <w:bottom w:type="dxa" w:w="60"/>
              <w:right w:type="dxa" w:w="100"/>
            </w:tcMar>
            <w:vAlign w:val="center"/>
          </w:tcPr>
          <w:p>
            <w:r>
              <w:rPr>
                <w:b/>
                <w:bCs/>
                <w:color w:val="FFFFFF"/>
                <w:sz w:val="18"/>
                <w:szCs w:val="18"/>
              </w:rPr>
              <w:t xml:space="preserve">Mitigation</w:t>
            </w:r>
          </w:p>
        </w:tc>
      </w:tr>
      <w:tr>
        <w:trPr>
          <w:tblHeader w:val="false"/>
        </w:trPr>
        <w:tc>
          <w:tcPr>
            <w:tcW w:type="dxa" w:w="5040"/>
            <w:tcMar>
              <w:top w:type="dxa" w:w="60"/>
              <w:left w:type="dxa" w:w="100"/>
              <w:bottom w:type="dxa" w:w="60"/>
              <w:right w:type="dxa" w:w="100"/>
            </w:tcMar>
            <w:vAlign w:val="center"/>
          </w:tcPr>
          <w:p>
            <w:r>
              <w:rPr>
                <w:sz w:val="18"/>
                <w:szCs w:val="18"/>
              </w:rPr>
              <w:t xml:space="preserve">Underestimating Phase 1's scope (Employee is the largest single data model in the system)</w:t>
            </w:r>
          </w:p>
        </w:tc>
        <w:tc>
          <w:tcPr>
            <w:tcW w:type="dxa" w:w="5040"/>
            <w:tcMar>
              <w:top w:type="dxa" w:w="60"/>
              <w:left w:type="dxa" w:w="100"/>
              <w:bottom w:type="dxa" w:w="60"/>
              <w:right w:type="dxa" w:w="100"/>
            </w:tcMar>
            <w:vAlign w:val="center"/>
          </w:tcPr>
          <w:p>
            <w:r>
              <w:rPr>
                <w:sz w:val="18"/>
                <w:szCs w:val="18"/>
              </w:rPr>
              <w:t xml:space="preserve">Treat Phase 1's duration estimate as a floor, not a target; do not allow schedule pressure to compress Employee data-model validation, since every later phase depends on it</w:t>
            </w:r>
          </w:p>
        </w:tc>
      </w:tr>
      <w:tr>
        <w:trPr>
          <w:tblHeader w:val="false"/>
        </w:trPr>
        <w:tc>
          <w:tcPr>
            <w:tcW w:type="dxa" w:w="5040"/>
            <w:tcMar>
              <w:top w:type="dxa" w:w="60"/>
              <w:left w:type="dxa" w:w="100"/>
              <w:bottom w:type="dxa" w:w="60"/>
              <w:right w:type="dxa" w:w="100"/>
            </w:tcMar>
            <w:vAlign w:val="center"/>
          </w:tcPr>
          <w:p>
            <w:r>
              <w:rPr>
                <w:sz w:val="18"/>
                <w:szCs w:val="18"/>
              </w:rPr>
              <w:t xml:space="preserve">Workflow-engine design flaws surfacing late (only fully exercised once Leave/Timesheet are built in Phase 2)</w:t>
            </w:r>
          </w:p>
        </w:tc>
        <w:tc>
          <w:tcPr>
            <w:tcW w:type="dxa" w:w="5040"/>
            <w:tcMar>
              <w:top w:type="dxa" w:w="60"/>
              <w:left w:type="dxa" w:w="100"/>
              <w:bottom w:type="dxa" w:w="60"/>
              <w:right w:type="dxa" w:w="100"/>
            </w:tcMar>
            <w:vAlign w:val="center"/>
          </w:tcPr>
          <w:p>
            <w:r>
              <w:rPr>
                <w:sz w:val="18"/>
                <w:szCs w:val="18"/>
              </w:rPr>
              <w:t xml:space="preserve">Build Phase 2 as early as the Phase 1 gate allows specifically to surface workflow-engine issues while the engine is still cheap to change, before Phase 3 doubles down on it</w:t>
            </w:r>
          </w:p>
        </w:tc>
      </w:tr>
      <w:tr>
        <w:trPr>
          <w:tblHeader w:val="false"/>
        </w:trPr>
        <w:tc>
          <w:tcPr>
            <w:tcW w:type="dxa" w:w="5040"/>
            <w:tcMar>
              <w:top w:type="dxa" w:w="60"/>
              <w:left w:type="dxa" w:w="100"/>
              <w:bottom w:type="dxa" w:w="60"/>
              <w:right w:type="dxa" w:w="100"/>
            </w:tcMar>
            <w:vAlign w:val="center"/>
          </w:tcPr>
          <w:p>
            <w:r>
              <w:rPr>
                <w:sz w:val="18"/>
                <w:szCs w:val="18"/>
              </w:rPr>
              <w:t xml:space="preserve">Data-migration complexity underestimated</w:t>
            </w:r>
          </w:p>
        </w:tc>
        <w:tc>
          <w:tcPr>
            <w:tcW w:type="dxa" w:w="5040"/>
            <w:tcMar>
              <w:top w:type="dxa" w:w="60"/>
              <w:left w:type="dxa" w:w="100"/>
              <w:bottom w:type="dxa" w:w="60"/>
              <w:right w:type="dxa" w:w="100"/>
            </w:tcMar>
            <w:vAlign w:val="center"/>
          </w:tcPr>
          <w:p>
            <w:r>
              <w:rPr>
                <w:sz w:val="18"/>
                <w:szCs w:val="18"/>
              </w:rPr>
              <w:t xml:space="preserve">Engage the migration specialist from Phase 4, not Phase 6, so the mapping in Section 4 is validated against real reference-system data well before cutover</w:t>
            </w:r>
          </w:p>
        </w:tc>
      </w:tr>
      <w:tr>
        <w:trPr>
          <w:tblHeader w:val="false"/>
        </w:trPr>
        <w:tc>
          <w:tcPr>
            <w:tcW w:type="dxa" w:w="5040"/>
            <w:tcMar>
              <w:top w:type="dxa" w:w="60"/>
              <w:left w:type="dxa" w:w="100"/>
              <w:bottom w:type="dxa" w:w="60"/>
              <w:right w:type="dxa" w:w="100"/>
            </w:tcMar>
            <w:vAlign w:val="center"/>
          </w:tcPr>
          <w:p>
            <w:r>
              <w:rPr>
                <w:sz w:val="18"/>
                <w:szCs w:val="18"/>
              </w:rPr>
              <w:t xml:space="preserve">Scope creep from "while we're in there" feature requests during a module's phase</w:t>
            </w:r>
          </w:p>
        </w:tc>
        <w:tc>
          <w:tcPr>
            <w:tcW w:type="dxa" w:w="5040"/>
            <w:tcMar>
              <w:top w:type="dxa" w:w="60"/>
              <w:left w:type="dxa" w:w="100"/>
              <w:bottom w:type="dxa" w:w="60"/>
              <w:right w:type="dxa" w:w="100"/>
            </w:tcMar>
            <w:vAlign w:val="center"/>
          </w:tcPr>
          <w:p>
            <w:r>
              <w:rPr>
                <w:sz w:val="18"/>
                <w:szCs w:val="18"/>
              </w:rPr>
              <w:t xml:space="preserve">Treat any request beyond this specification's Section 4 scope for a given module as a backlog item for post-launch iteration, not a Phase 0–6 scope addition, unless formally re-baselined</w:t>
            </w:r>
          </w:p>
        </w:tc>
      </w:tr>
      <w:tr>
        <w:trPr>
          <w:tblHeader w:val="false"/>
        </w:trPr>
        <w:tc>
          <w:tcPr>
            <w:tcW w:type="dxa" w:w="5040"/>
            <w:tcMar>
              <w:top w:type="dxa" w:w="60"/>
              <w:left w:type="dxa" w:w="100"/>
              <w:bottom w:type="dxa" w:w="60"/>
              <w:right w:type="dxa" w:w="100"/>
            </w:tcMar>
            <w:vAlign w:val="center"/>
          </w:tcPr>
          <w:p>
            <w:r>
              <w:rPr>
                <w:sz w:val="18"/>
                <w:szCs w:val="18"/>
              </w:rPr>
              <w:t xml:space="preserve">Object-storage/encryption-at-rest decisions (Sections 3.2, 6) deferred past Phase 0</w:t>
            </w:r>
          </w:p>
        </w:tc>
        <w:tc>
          <w:tcPr>
            <w:tcW w:type="dxa" w:w="5040"/>
            <w:tcMar>
              <w:top w:type="dxa" w:w="60"/>
              <w:left w:type="dxa" w:w="100"/>
              <w:bottom w:type="dxa" w:w="60"/>
              <w:right w:type="dxa" w:w="100"/>
            </w:tcMar>
            <w:vAlign w:val="center"/>
          </w:tcPr>
          <w:p>
            <w:r>
              <w:rPr>
                <w:sz w:val="18"/>
                <w:szCs w:val="18"/>
              </w:rPr>
              <w:t xml:space="preserve">Both are foundational and expensive to retrofit; lock these decisions during Phase 0 architecture sign-off, not discovered as a gap during Phase 1</w:t>
            </w:r>
          </w:p>
        </w:tc>
      </w:tr>
      <w:tr>
        <w:trPr>
          <w:tblHeader w:val="false"/>
        </w:trPr>
        <w:tc>
          <w:tcPr>
            <w:tcW w:type="dxa" w:w="5040"/>
            <w:tcMar>
              <w:top w:type="dxa" w:w="60"/>
              <w:left w:type="dxa" w:w="100"/>
              <w:bottom w:type="dxa" w:w="60"/>
              <w:right w:type="dxa" w:w="100"/>
            </w:tcMar>
            <w:vAlign w:val="center"/>
          </w:tcPr>
          <w:p>
            <w:r>
              <w:rPr>
                <w:sz w:val="18"/>
                <w:szCs w:val="18"/>
              </w:rPr>
              <w:t xml:space="preserve">Phase 0 now carries more platform services (2FA, custom-role RBAC, Notification Center, E-Signature Service) than the original foundation scope, risking schedule pressure to cut corners on any one of them</w:t>
            </w:r>
          </w:p>
        </w:tc>
        <w:tc>
          <w:tcPr>
            <w:tcW w:type="dxa" w:w="5040"/>
            <w:tcMar>
              <w:top w:type="dxa" w:w="60"/>
              <w:left w:type="dxa" w:w="100"/>
              <w:bottom w:type="dxa" w:w="60"/>
              <w:right w:type="dxa" w:w="100"/>
            </w:tcMar>
            <w:vAlign w:val="center"/>
          </w:tcPr>
          <w:p>
            <w:r>
              <w:rPr>
                <w:sz w:val="18"/>
                <w:szCs w:val="18"/>
              </w:rPr>
              <w:t xml:space="preserve">Treat Phase 0's extended 10-week estimate as a floor for the same reason as Phase 1's Employee data model — every one of Domains B–F now depends on at least one of these services, so a shortcut here is a shortcut everywhere</w:t>
            </w:r>
          </w:p>
        </w:tc>
      </w:tr>
      <w:tr>
        <w:trPr>
          <w:tblHeader w:val="false"/>
        </w:trPr>
        <w:tc>
          <w:tcPr>
            <w:tcW w:type="dxa" w:w="5040"/>
            <w:tcMar>
              <w:top w:type="dxa" w:w="60"/>
              <w:left w:type="dxa" w:w="100"/>
              <w:bottom w:type="dxa" w:w="60"/>
              <w:right w:type="dxa" w:w="100"/>
            </w:tcMar>
            <w:vAlign w:val="center"/>
          </w:tcPr>
          <w:p>
            <w:r>
              <w:t>Leave carry-over/proration rules (Section C1) were based on stated SI policy with two flagged assumptions — both now confirmed by SI (v8.1) as Admin-configurable defaults, not fixed rules: the 1-year wait exemption defaults to Annual Leave only (per-Leave-Type `minimumTenureMonths`, Admin-editable), and the carryover cap defaults to 10 days (also Admin-editable).</w:t>
            </w:r>
          </w:p>
        </w:tc>
        <w:tc>
          <w:tcPr>
            <w:tcW w:type="dxa" w:w="5040"/>
            <w:tcMar>
              <w:top w:type="dxa" w:w="60"/>
              <w:left w:type="dxa" w:w="100"/>
              <w:bottom w:type="dxa" w:w="60"/>
              <w:right w:type="dxa" w:w="100"/>
            </w:tcMar>
            <w:vAlign w:val="center"/>
          </w:tcPr>
          <w:p>
            <w:r>
              <w:t>No longer a risk requiring mitigation — build the Phase 2 Accrual &amp; Carry-Over Engine so both values are read from configuration (per-Leave-Type field and an Admin-editable org setting) rather than hard-coded, seeded at the confirmed defaults.</w:t>
            </w:r>
          </w:p>
        </w:tc>
      </w:tr>
      <w:tr>
        <w:trPr>
          <w:tblHeader w:val="false"/>
        </w:trPr>
        <w:tc>
          <w:tcPr>
            <w:tcW w:type="dxa" w:w="5040"/>
            <w:tcMar>
              <w:top w:type="dxa" w:w="60"/>
              <w:left w:type="dxa" w:w="100"/>
              <w:bottom w:type="dxa" w:w="60"/>
              <w:right w:type="dxa" w:w="100"/>
            </w:tcMar>
            <w:vAlign w:val="center"/>
          </w:tcPr>
          <w:p>
            <w:r>
              <w:rPr>
                <w:sz w:val="18"/>
                <w:szCs w:val="18"/>
              </w:rPr>
              <w:t xml:space="preserve">The offboarding hard block on outstanding assets/vehicles (B3) is built in Phase 1 but can't be wired to real data until Asset/Vehicle Management exist in Phase 4, so it's dormant for several months mid-project</w:t>
            </w:r>
          </w:p>
        </w:tc>
        <w:tc>
          <w:tcPr>
            <w:tcW w:type="dxa" w:w="5040"/>
            <w:tcMar>
              <w:top w:type="dxa" w:w="60"/>
              <w:left w:type="dxa" w:w="100"/>
              <w:bottom w:type="dxa" w:w="60"/>
              <w:right w:type="dxa" w:w="100"/>
            </w:tcMar>
            <w:vAlign w:val="center"/>
          </w:tcPr>
          <w:p>
            <w:r>
              <w:rPr>
                <w:sz w:val="18"/>
                <w:szCs w:val="18"/>
              </w:rPr>
              <w:t xml:space="preserve">Explicitly track this as a two-part deliverable across Phase 1 and Phase 4 in sprint planning, not a single Phase 1 checkbox, so it isn't assumed complete before Phase 4 actually closes the loop</w:t>
            </w:r>
          </w:p>
        </w:tc>
      </w:tr>
      <w:tr>
        <w:trPr>
          <w:tblHeader w:val="false"/>
        </w:trPr>
        <w:tc>
          <w:tcPr>
            <w:tcW w:type="dxa" w:w="5040"/>
            <w:tcMar>
              <w:top w:type="dxa" w:w="60"/>
              <w:left w:type="dxa" w:w="100"/>
              <w:bottom w:type="dxa" w:w="60"/>
              <w:right w:type="dxa" w:w="100"/>
            </w:tcMar>
            <w:vAlign w:val="center"/>
          </w:tcPr>
          <w:p>
            <w:r>
              <w:rPr>
                <w:sz w:val="18"/>
                <w:szCs w:val="18"/>
              </w:rPr>
              <w:t xml:space="preserve">Three modules (Vehicle Renewals, Asset warranties, Company Registration Documents) now depend on one shared Renewal &amp; Compliance Reminder Engine built in Phase 0 — a design flaw there surfaces three times over rather than once</w:t>
            </w:r>
          </w:p>
        </w:tc>
        <w:tc>
          <w:tcPr>
            <w:tcW w:type="dxa" w:w="5040"/>
            <w:tcMar>
              <w:top w:type="dxa" w:w="60"/>
              <w:left w:type="dxa" w:w="100"/>
              <w:bottom w:type="dxa" w:w="60"/>
              <w:right w:type="dxa" w:w="100"/>
            </w:tcMar>
            <w:vAlign w:val="center"/>
          </w:tcPr>
          <w:p>
            <w:r>
              <w:rPr>
                <w:sz w:val="18"/>
                <w:szCs w:val="18"/>
              </w:rPr>
              <w:t xml:space="preserve">Exercise the engine against Vehicle Renewals' real reminder scenarios as early in Phase 4 as the schedule allows (it's the most mature of the three use cases), and fix defects before Asset warranties and Company Registration Documents are built against the same foundation later in the same phase</w:t>
            </w:r>
          </w:p>
        </w:tc>
      </w:tr>
    </w:tbl>
    <w:p>
      <w:pPr>
        <w:spacing w:after="120"/>
      </w:pPr>
    </w:p>
    <w:p>
      <w:r>
        <w:br w:type="page"/>
      </w:r>
    </w:p>
    <w:p>
      <w:pPr>
        <w:pStyle w:val="Heading1"/>
        <w:spacing w:after="160" w:before="280"/>
      </w:pPr>
      <w:r>
        <w:t xml:space="preserve">8. Competitive Feature Analysis &amp; Roadmap</w:t>
      </w:r>
    </w:p>
    <w:p>
      <w:pPr>
        <w:pStyle w:val="Heading2"/>
        <w:spacing w:after="160" w:before="280"/>
      </w:pPr>
      <w:r>
        <w:t xml:space="preserve">8.1 Purpose and Method</w:t>
      </w:r>
    </w:p>
    <w:p>
      <w:pPr>
        <w:spacing w:after="160"/>
        <w:jc w:val="both"/>
      </w:pPr>
      <w:r>
        <w:t xml:space="preserve">This section benchmarks the specification in Sections 3–4 against the highest-tier commercial plan of three market HRIS products — </w:t>
      </w:r>
      <w:r>
        <w:rPr>
          <w:b/>
          <w:bCs/>
        </w:rPr>
        <w:t xml:space="preserve">OrangeHRM Advanced</w:t>
      </w:r>
      <w:r>
        <w:t xml:space="preserve">, </w:t>
      </w:r>
      <w:r>
        <w:rPr>
          <w:b/>
          <w:bCs/>
        </w:rPr>
        <w:t xml:space="preserve">BambooHR Pro</w:t>
      </w:r>
      <w:r>
        <w:t xml:space="preserve">, and </w:t>
      </w:r>
      <w:r>
        <w:rPr>
          <w:b/>
          <w:bCs/>
        </w:rPr>
        <w:t xml:space="preserve">Zoho People Premium</w:t>
      </w:r>
      <w:r>
        <w:t xml:space="preserve"> — to identify capabilities those products ship that the current specification does not yet cover. Findings are drawn directly from each vendor's own current pricing/plan pages (see Sources at the end of this section), not from general familiarity with the products, since plan contents change over time. Where a competitor feature is gated behind a *higher* tier than the one named in scope (e.g., Zoho People Enterprise rather than Premium), this is called out explicitly rather than folded into the Premium comparison, so the analysis is not overstated.</w:t>
      </w:r>
    </w:p>
    <w:p>
      <w:pPr>
        <w:spacing w:after="160"/>
        <w:jc w:val="both"/>
      </w:pPr>
      <w:r>
        <w:t xml:space="preserve">The purpose is not feature-for-feature parity with any single competitor — Sections 3–4 already specify a system as capable as the OrangeHRM-derived reference platform SI operates today, across all 23 of its modules. This section instead identifies the specific, named gaps where all three (or a clear majority of) benchmarked products offer something the current specification omits entirely, so those items can be deliberately accepted, deferred, or scheduled rather than discovered after launch.</w:t>
      </w:r>
    </w:p>
    <w:p>
      <w:pPr>
        <w:pStyle w:val="Heading2"/>
        <w:spacing w:after="160" w:before="280"/>
      </w:pPr>
      <w:r>
        <w:t xml:space="preserve">8.2 Comparison Matrix</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016"/>
        <w:gridCol w:w="2016"/>
        <w:gridCol w:w="2016"/>
        <w:gridCol w:w="2016"/>
        <w:gridCol w:w="2016"/>
      </w:tblGrid>
      <w:tr>
        <w:trPr>
          <w:tblHeader/>
        </w:trPr>
        <w:tc>
          <w:tcPr>
            <w:tcW w:type="dxa" w:w="2016"/>
            <w:shd w:fill="1F3864" w:val="clear"/>
            <w:tcMar>
              <w:top w:type="dxa" w:w="60"/>
              <w:left w:type="dxa" w:w="100"/>
              <w:bottom w:type="dxa" w:w="60"/>
              <w:right w:type="dxa" w:w="100"/>
            </w:tcMar>
            <w:vAlign w:val="center"/>
          </w:tcPr>
          <w:p>
            <w:r>
              <w:rPr>
                <w:b/>
                <w:bCs/>
                <w:color w:val="FFFFFF"/>
                <w:sz w:val="18"/>
                <w:szCs w:val="18"/>
              </w:rPr>
              <w:t xml:space="preserve">Capability Area</w:t>
            </w:r>
          </w:p>
        </w:tc>
        <w:tc>
          <w:tcPr>
            <w:tcW w:type="dxa" w:w="2016"/>
            <w:shd w:fill="1F3864" w:val="clear"/>
            <w:tcMar>
              <w:top w:type="dxa" w:w="60"/>
              <w:left w:type="dxa" w:w="100"/>
              <w:bottom w:type="dxa" w:w="60"/>
              <w:right w:type="dxa" w:w="100"/>
            </w:tcMar>
            <w:vAlign w:val="center"/>
          </w:tcPr>
          <w:p>
            <w:r>
              <w:rPr>
                <w:b/>
                <w:bCs/>
                <w:color w:val="FFFFFF"/>
                <w:sz w:val="18"/>
                <w:szCs w:val="18"/>
              </w:rPr>
              <w:t xml:space="preserve">Systems Intelligenz HRIS (this spec)</w:t>
            </w:r>
          </w:p>
        </w:tc>
        <w:tc>
          <w:tcPr>
            <w:tcW w:type="dxa" w:w="2016"/>
            <w:shd w:fill="1F3864" w:val="clear"/>
            <w:tcMar>
              <w:top w:type="dxa" w:w="60"/>
              <w:left w:type="dxa" w:w="100"/>
              <w:bottom w:type="dxa" w:w="60"/>
              <w:right w:type="dxa" w:w="100"/>
            </w:tcMar>
            <w:vAlign w:val="center"/>
          </w:tcPr>
          <w:p>
            <w:r>
              <w:rPr>
                <w:b/>
                <w:bCs/>
                <w:color w:val="FFFFFF"/>
                <w:sz w:val="18"/>
                <w:szCs w:val="18"/>
              </w:rPr>
              <w:t xml:space="preserve">OrangeHRM Advanced</w:t>
            </w:r>
          </w:p>
        </w:tc>
        <w:tc>
          <w:tcPr>
            <w:tcW w:type="dxa" w:w="2016"/>
            <w:shd w:fill="1F3864" w:val="clear"/>
            <w:tcMar>
              <w:top w:type="dxa" w:w="60"/>
              <w:left w:type="dxa" w:w="100"/>
              <w:bottom w:type="dxa" w:w="60"/>
              <w:right w:type="dxa" w:w="100"/>
            </w:tcMar>
            <w:vAlign w:val="center"/>
          </w:tcPr>
          <w:p>
            <w:r>
              <w:rPr>
                <w:b/>
                <w:bCs/>
                <w:color w:val="FFFFFF"/>
                <w:sz w:val="18"/>
                <w:szCs w:val="18"/>
              </w:rPr>
              <w:t xml:space="preserve">BambooHR Pro</w:t>
            </w:r>
          </w:p>
        </w:tc>
        <w:tc>
          <w:tcPr>
            <w:tcW w:type="dxa" w:w="2016"/>
            <w:shd w:fill="1F3864" w:val="clear"/>
            <w:tcMar>
              <w:top w:type="dxa" w:w="60"/>
              <w:left w:type="dxa" w:w="100"/>
              <w:bottom w:type="dxa" w:w="60"/>
              <w:right w:type="dxa" w:w="100"/>
            </w:tcMar>
            <w:vAlign w:val="center"/>
          </w:tcPr>
          <w:p>
            <w:r>
              <w:rPr>
                <w:b/>
                <w:bCs/>
                <w:color w:val="FFFFFF"/>
                <w:sz w:val="18"/>
                <w:szCs w:val="18"/>
              </w:rPr>
              <w:t xml:space="preserve">Zoho People Premium</w:t>
            </w:r>
          </w:p>
        </w:tc>
      </w:tr>
      <w:tr>
        <w:trPr>
          <w:tblHeader w:val="false"/>
        </w:trPr>
        <w:tc>
          <w:tcPr>
            <w:tcW w:type="dxa" w:w="2016"/>
            <w:tcMar>
              <w:top w:type="dxa" w:w="60"/>
              <w:left w:type="dxa" w:w="100"/>
              <w:bottom w:type="dxa" w:w="60"/>
              <w:right w:type="dxa" w:w="100"/>
            </w:tcMar>
            <w:vAlign w:val="center"/>
          </w:tcPr>
          <w:p>
            <w:r>
              <w:rPr>
                <w:sz w:val="18"/>
                <w:szCs w:val="18"/>
              </w:rPr>
              <w:t xml:space="preserve">Core employee records, org chart, custom fields</w:t>
            </w:r>
          </w:p>
        </w:tc>
        <w:tc>
          <w:tcPr>
            <w:tcW w:type="dxa" w:w="2016"/>
            <w:tcMar>
              <w:top w:type="dxa" w:w="60"/>
              <w:left w:type="dxa" w:w="100"/>
              <w:bottom w:type="dxa" w:w="60"/>
              <w:right w:type="dxa" w:w="100"/>
            </w:tcMar>
            <w:vAlign w:val="center"/>
          </w:tcPr>
          <w:p>
            <w:r>
              <w:rPr>
                <w:sz w:val="18"/>
                <w:szCs w:val="18"/>
              </w:rPr>
              <w:t xml:space="preserve">Full (Domain B2)</w:t>
            </w:r>
          </w:p>
        </w:tc>
        <w:tc>
          <w:tcPr>
            <w:tcW w:type="dxa" w:w="2016"/>
            <w:tcMar>
              <w:top w:type="dxa" w:w="60"/>
              <w:left w:type="dxa" w:w="100"/>
              <w:bottom w:type="dxa" w:w="60"/>
              <w:right w:type="dxa" w:w="100"/>
            </w:tcMar>
            <w:vAlign w:val="center"/>
          </w:tcPr>
          <w:p>
            <w:r>
              <w:rPr>
                <w:sz w:val="18"/>
                <w:szCs w:val="18"/>
              </w:rPr>
              <w:t xml:space="preserve">Included</w:t>
            </w:r>
          </w:p>
        </w:tc>
        <w:tc>
          <w:tcPr>
            <w:tcW w:type="dxa" w:w="2016"/>
            <w:tcMar>
              <w:top w:type="dxa" w:w="60"/>
              <w:left w:type="dxa" w:w="100"/>
              <w:bottom w:type="dxa" w:w="60"/>
              <w:right w:type="dxa" w:w="100"/>
            </w:tcMar>
            <w:vAlign w:val="center"/>
          </w:tcPr>
          <w:p>
            <w:r>
              <w:rPr>
                <w:sz w:val="18"/>
                <w:szCs w:val="18"/>
              </w:rPr>
              <w:t xml:space="preserve">Included (Core)</w:t>
            </w:r>
          </w:p>
        </w:tc>
        <w:tc>
          <w:tcPr>
            <w:tcW w:type="dxa" w:w="2016"/>
            <w:tcMar>
              <w:top w:type="dxa" w:w="60"/>
              <w:left w:type="dxa" w:w="100"/>
              <w:bottom w:type="dxa" w:w="60"/>
              <w:right w:type="dxa" w:w="100"/>
            </w:tcMar>
            <w:vAlign w:val="center"/>
          </w:tcPr>
          <w:p>
            <w:r>
              <w:rPr>
                <w:sz w:val="18"/>
                <w:szCs w:val="18"/>
              </w:rPr>
              <w:t xml:space="preserve">Included (Essential HR)</w:t>
            </w:r>
          </w:p>
        </w:tc>
      </w:tr>
      <w:tr>
        <w:trPr>
          <w:tblHeader w:val="false"/>
        </w:trPr>
        <w:tc>
          <w:tcPr>
            <w:tcW w:type="dxa" w:w="2016"/>
            <w:tcMar>
              <w:top w:type="dxa" w:w="60"/>
              <w:left w:type="dxa" w:w="100"/>
              <w:bottom w:type="dxa" w:w="60"/>
              <w:right w:type="dxa" w:w="100"/>
            </w:tcMar>
            <w:vAlign w:val="center"/>
          </w:tcPr>
          <w:p>
            <w:r>
              <w:rPr>
                <w:sz w:val="18"/>
                <w:szCs w:val="18"/>
              </w:rPr>
              <w:t xml:space="preserve">Leave management with approval workflow</w:t>
            </w:r>
          </w:p>
        </w:tc>
        <w:tc>
          <w:tcPr>
            <w:tcW w:type="dxa" w:w="2016"/>
            <w:tcMar>
              <w:top w:type="dxa" w:w="60"/>
              <w:left w:type="dxa" w:w="100"/>
              <w:bottom w:type="dxa" w:w="60"/>
              <w:right w:type="dxa" w:w="100"/>
            </w:tcMar>
            <w:vAlign w:val="center"/>
          </w:tcPr>
          <w:p>
            <w:r>
              <w:rPr>
                <w:sz w:val="18"/>
                <w:szCs w:val="18"/>
              </w:rPr>
              <w:t xml:space="preserve">Full, FIFO entitlement engine (C1)</w:t>
            </w:r>
          </w:p>
        </w:tc>
        <w:tc>
          <w:tcPr>
            <w:tcW w:type="dxa" w:w="2016"/>
            <w:tcMar>
              <w:top w:type="dxa" w:w="60"/>
              <w:left w:type="dxa" w:w="100"/>
              <w:bottom w:type="dxa" w:w="60"/>
              <w:right w:type="dxa" w:w="100"/>
            </w:tcMar>
            <w:vAlign w:val="center"/>
          </w:tcPr>
          <w:p>
            <w:r>
              <w:rPr>
                <w:sz w:val="18"/>
                <w:szCs w:val="18"/>
              </w:rPr>
              <w:t xml:space="preserve">Included</w:t>
            </w:r>
          </w:p>
        </w:tc>
        <w:tc>
          <w:tcPr>
            <w:tcW w:type="dxa" w:w="2016"/>
            <w:tcMar>
              <w:top w:type="dxa" w:w="60"/>
              <w:left w:type="dxa" w:w="100"/>
              <w:bottom w:type="dxa" w:w="60"/>
              <w:right w:type="dxa" w:w="100"/>
            </w:tcMar>
            <w:vAlign w:val="center"/>
          </w:tcPr>
          <w:p>
            <w:r>
              <w:rPr>
                <w:sz w:val="18"/>
                <w:szCs w:val="18"/>
              </w:rPr>
              <w:t xml:space="preserve">Included (Core)</w:t>
            </w:r>
          </w:p>
        </w:tc>
        <w:tc>
          <w:tcPr>
            <w:tcW w:type="dxa" w:w="2016"/>
            <w:tcMar>
              <w:top w:type="dxa" w:w="60"/>
              <w:left w:type="dxa" w:w="100"/>
              <w:bottom w:type="dxa" w:w="60"/>
              <w:right w:type="dxa" w:w="100"/>
            </w:tcMar>
            <w:vAlign w:val="center"/>
          </w:tcPr>
          <w:p>
            <w:r>
              <w:rPr>
                <w:sz w:val="18"/>
                <w:szCs w:val="18"/>
              </w:rPr>
              <w:t xml:space="preserve">Included (Essential HR)</w:t>
            </w:r>
          </w:p>
        </w:tc>
      </w:tr>
      <w:tr>
        <w:trPr>
          <w:tblHeader w:val="false"/>
        </w:trPr>
        <w:tc>
          <w:tcPr>
            <w:tcW w:type="dxa" w:w="2016"/>
            <w:tcMar>
              <w:top w:type="dxa" w:w="60"/>
              <w:left w:type="dxa" w:w="100"/>
              <w:bottom w:type="dxa" w:w="60"/>
              <w:right w:type="dxa" w:w="100"/>
            </w:tcMar>
            <w:vAlign w:val="center"/>
          </w:tcPr>
          <w:p>
            <w:r>
              <w:rPr>
                <w:sz w:val="18"/>
                <w:szCs w:val="18"/>
              </w:rPr>
              <w:t xml:space="preserve">Attendance / time clock</w:t>
            </w:r>
          </w:p>
        </w:tc>
        <w:tc>
          <w:tcPr>
            <w:tcW w:type="dxa" w:w="2016"/>
            <w:tcMar>
              <w:top w:type="dxa" w:w="60"/>
              <w:left w:type="dxa" w:w="100"/>
              <w:bottom w:type="dxa" w:w="60"/>
              <w:right w:type="dxa" w:w="100"/>
            </w:tcMar>
            <w:vAlign w:val="center"/>
          </w:tcPr>
          <w:p>
            <w:r>
              <w:rPr>
                <w:sz w:val="18"/>
                <w:szCs w:val="18"/>
              </w:rPr>
              <w:t xml:space="preserve">Full, punch in/out (C3)</w:t>
            </w:r>
          </w:p>
        </w:tc>
        <w:tc>
          <w:tcPr>
            <w:tcW w:type="dxa" w:w="2016"/>
            <w:tcMar>
              <w:top w:type="dxa" w:w="60"/>
              <w:left w:type="dxa" w:w="100"/>
              <w:bottom w:type="dxa" w:w="60"/>
              <w:right w:type="dxa" w:w="100"/>
            </w:tcMar>
            <w:vAlign w:val="center"/>
          </w:tcPr>
          <w:p>
            <w:r>
              <w:rPr>
                <w:sz w:val="18"/>
                <w:szCs w:val="18"/>
              </w:rPr>
              <w:t xml:space="preserve">Included</w:t>
            </w:r>
          </w:p>
        </w:tc>
        <w:tc>
          <w:tcPr>
            <w:tcW w:type="dxa" w:w="2016"/>
            <w:tcMar>
              <w:top w:type="dxa" w:w="60"/>
              <w:left w:type="dxa" w:w="100"/>
              <w:bottom w:type="dxa" w:w="60"/>
              <w:right w:type="dxa" w:w="100"/>
            </w:tcMar>
            <w:vAlign w:val="center"/>
          </w:tcPr>
          <w:p>
            <w:r>
              <w:rPr>
                <w:sz w:val="18"/>
                <w:szCs w:val="18"/>
              </w:rPr>
              <w:t xml:space="preserve">Add-on (Time &amp; Attendance)</w:t>
            </w:r>
          </w:p>
        </w:tc>
        <w:tc>
          <w:tcPr>
            <w:tcW w:type="dxa" w:w="2016"/>
            <w:tcMar>
              <w:top w:type="dxa" w:w="60"/>
              <w:left w:type="dxa" w:w="100"/>
              <w:bottom w:type="dxa" w:w="60"/>
              <w:right w:type="dxa" w:w="100"/>
            </w:tcMar>
            <w:vAlign w:val="center"/>
          </w:tcPr>
          <w:p>
            <w:r>
              <w:rPr>
                <w:sz w:val="18"/>
                <w:szCs w:val="18"/>
              </w:rPr>
              <w:t xml:space="preserve">Included (Professional)</w:t>
            </w:r>
          </w:p>
        </w:tc>
      </w:tr>
      <w:tr>
        <w:trPr>
          <w:tblHeader w:val="false"/>
        </w:trPr>
        <w:tc>
          <w:tcPr>
            <w:tcW w:type="dxa" w:w="2016"/>
            <w:tcMar>
              <w:top w:type="dxa" w:w="60"/>
              <w:left w:type="dxa" w:w="100"/>
              <w:bottom w:type="dxa" w:w="60"/>
              <w:right w:type="dxa" w:w="100"/>
            </w:tcMar>
            <w:vAlign w:val="center"/>
          </w:tcPr>
          <w:p>
            <w:r>
              <w:rPr>
                <w:sz w:val="18"/>
                <w:szCs w:val="18"/>
              </w:rPr>
              <w:t xml:space="preserve">Timesheets / project time tracking</w:t>
            </w:r>
          </w:p>
        </w:tc>
        <w:tc>
          <w:tcPr>
            <w:tcW w:type="dxa" w:w="2016"/>
            <w:tcMar>
              <w:top w:type="dxa" w:w="60"/>
              <w:left w:type="dxa" w:w="100"/>
              <w:bottom w:type="dxa" w:w="60"/>
              <w:right w:type="dxa" w:w="100"/>
            </w:tcMar>
            <w:vAlign w:val="center"/>
          </w:tcPr>
          <w:p>
            <w:r>
              <w:rPr>
                <w:sz w:val="18"/>
                <w:szCs w:val="18"/>
              </w:rPr>
              <w:t xml:space="preserve">Full (C2)</w:t>
            </w:r>
          </w:p>
        </w:tc>
        <w:tc>
          <w:tcPr>
            <w:tcW w:type="dxa" w:w="2016"/>
            <w:tcMar>
              <w:top w:type="dxa" w:w="60"/>
              <w:left w:type="dxa" w:w="100"/>
              <w:bottom w:type="dxa" w:w="60"/>
              <w:right w:type="dxa" w:w="100"/>
            </w:tcMar>
            <w:vAlign w:val="center"/>
          </w:tcPr>
          <w:p>
            <w:r>
              <w:rPr>
                <w:sz w:val="18"/>
                <w:szCs w:val="18"/>
              </w:rPr>
              <w:t xml:space="preserve">Included</w:t>
            </w:r>
          </w:p>
        </w:tc>
        <w:tc>
          <w:tcPr>
            <w:tcW w:type="dxa" w:w="2016"/>
            <w:tcMar>
              <w:top w:type="dxa" w:w="60"/>
              <w:left w:type="dxa" w:w="100"/>
              <w:bottom w:type="dxa" w:w="60"/>
              <w:right w:type="dxa" w:w="100"/>
            </w:tcMar>
            <w:vAlign w:val="center"/>
          </w:tcPr>
          <w:p>
            <w:r>
              <w:rPr>
                <w:sz w:val="18"/>
                <w:szCs w:val="18"/>
              </w:rPr>
              <w:t xml:space="preserve">Included (Pro/Elite)</w:t>
            </w:r>
          </w:p>
        </w:tc>
        <w:tc>
          <w:tcPr>
            <w:tcW w:type="dxa" w:w="2016"/>
            <w:tcMar>
              <w:top w:type="dxa" w:w="60"/>
              <w:left w:type="dxa" w:w="100"/>
              <w:bottom w:type="dxa" w:w="60"/>
              <w:right w:type="dxa" w:w="100"/>
            </w:tcMar>
            <w:vAlign w:val="center"/>
          </w:tcPr>
          <w:p>
            <w:r>
              <w:rPr>
                <w:sz w:val="18"/>
                <w:szCs w:val="18"/>
              </w:rPr>
              <w:t xml:space="preserve">Included (Professional, "Timesheets")</w:t>
            </w:r>
          </w:p>
        </w:tc>
      </w:tr>
      <w:tr>
        <w:trPr>
          <w:tblHeader w:val="false"/>
        </w:trPr>
        <w:tc>
          <w:tcPr>
            <w:tcW w:type="dxa" w:w="2016"/>
            <w:tcMar>
              <w:top w:type="dxa" w:w="60"/>
              <w:left w:type="dxa" w:w="100"/>
              <w:bottom w:type="dxa" w:w="60"/>
              <w:right w:type="dxa" w:w="100"/>
            </w:tcMar>
            <w:vAlign w:val="center"/>
          </w:tcPr>
          <w:p>
            <w:r>
              <w:rPr>
                <w:sz w:val="18"/>
                <w:szCs w:val="18"/>
              </w:rPr>
              <w:t xml:space="preserve">Shift roster/scheduling (drag-and-drop, location-based, open-shift publishing)</w:t>
            </w:r>
          </w:p>
        </w:tc>
        <w:tc>
          <w:tcPr>
            <w:tcW w:type="dxa" w:w="2016"/>
            <w:tcMar>
              <w:top w:type="dxa" w:w="60"/>
              <w:left w:type="dxa" w:w="100"/>
              <w:bottom w:type="dxa" w:w="60"/>
              <w:right w:type="dxa" w:w="100"/>
            </w:tcMar>
            <w:vAlign w:val="center"/>
          </w:tcPr>
          <w:p>
            <w:r>
              <w:rPr>
                <w:b/>
                <w:bCs/>
                <w:sz w:val="18"/>
                <w:szCs w:val="18"/>
              </w:rPr>
              <w:t xml:space="preserve">Explicitly descoped</w:t>
            </w:r>
            <w:r>
              <w:rPr>
                <w:sz w:val="18"/>
                <w:szCs w:val="18"/>
              </w:rPr>
              <w:t xml:space="preserve"> — SI confirmed this is not an important feature; only fixed Work Shift assignment (B1) remains</w:t>
            </w:r>
          </w:p>
        </w:tc>
        <w:tc>
          <w:tcPr>
            <w:tcW w:type="dxa" w:w="2016"/>
            <w:tcMar>
              <w:top w:type="dxa" w:w="60"/>
              <w:left w:type="dxa" w:w="100"/>
              <w:bottom w:type="dxa" w:w="60"/>
              <w:right w:type="dxa" w:w="100"/>
            </w:tcMar>
            <w:vAlign w:val="center"/>
          </w:tcPr>
          <w:p>
            <w:r>
              <w:rPr>
                <w:sz w:val="18"/>
                <w:szCs w:val="18"/>
              </w:rPr>
              <w:t xml:space="preserve">Included ("Roster": admin controls, shift publishing, drag-and-drop, location-based)</w:t>
            </w:r>
          </w:p>
        </w:tc>
        <w:tc>
          <w:tcPr>
            <w:tcW w:type="dxa" w:w="2016"/>
            <w:tcMar>
              <w:top w:type="dxa" w:w="60"/>
              <w:left w:type="dxa" w:w="100"/>
              <w:bottom w:type="dxa" w:w="60"/>
              <w:right w:type="dxa" w:w="100"/>
            </w:tcMar>
            <w:vAlign w:val="center"/>
          </w:tcPr>
          <w:p>
            <w:r>
              <w:rPr>
                <w:sz w:val="18"/>
                <w:szCs w:val="18"/>
              </w:rPr>
              <w:t xml:space="preserve">Included only via Time &amp; Attendance add-on</w:t>
            </w:r>
          </w:p>
        </w:tc>
        <w:tc>
          <w:tcPr>
            <w:tcW w:type="dxa" w:w="2016"/>
            <w:tcMar>
              <w:top w:type="dxa" w:w="60"/>
              <w:left w:type="dxa" w:w="100"/>
              <w:bottom w:type="dxa" w:w="60"/>
              <w:right w:type="dxa" w:w="100"/>
            </w:tcMar>
            <w:vAlign w:val="center"/>
          </w:tcPr>
          <w:p>
            <w:r>
              <w:rPr>
                <w:sz w:val="18"/>
                <w:szCs w:val="18"/>
              </w:rPr>
              <w:t xml:space="preserve">Included (Professional, "Roster management")</w:t>
            </w:r>
          </w:p>
        </w:tc>
      </w:tr>
      <w:tr>
        <w:trPr>
          <w:tblHeader w:val="false"/>
        </w:trPr>
        <w:tc>
          <w:tcPr>
            <w:tcW w:type="dxa" w:w="2016"/>
            <w:tcMar>
              <w:top w:type="dxa" w:w="60"/>
              <w:left w:type="dxa" w:w="100"/>
              <w:bottom w:type="dxa" w:w="60"/>
              <w:right w:type="dxa" w:w="100"/>
            </w:tcMar>
            <w:vAlign w:val="center"/>
          </w:tcPr>
          <w:p>
            <w:r>
              <w:rPr>
                <w:sz w:val="18"/>
                <w:szCs w:val="18"/>
              </w:rPr>
              <w:t xml:space="preserve">Recruitment / applicant tracking incl. public job board</w:t>
            </w:r>
          </w:p>
        </w:tc>
        <w:tc>
          <w:tcPr>
            <w:tcW w:type="dxa" w:w="2016"/>
            <w:tcMar>
              <w:top w:type="dxa" w:w="60"/>
              <w:left w:type="dxa" w:w="100"/>
              <w:bottom w:type="dxa" w:w="60"/>
              <w:right w:type="dxa" w:w="100"/>
            </w:tcMar>
            <w:vAlign w:val="center"/>
          </w:tcPr>
          <w:p>
            <w:r>
              <w:rPr>
                <w:sz w:val="18"/>
                <w:szCs w:val="18"/>
              </w:rPr>
              <w:t xml:space="preserve">Full (D1)</w:t>
            </w:r>
          </w:p>
        </w:tc>
        <w:tc>
          <w:tcPr>
            <w:tcW w:type="dxa" w:w="2016"/>
            <w:tcMar>
              <w:top w:type="dxa" w:w="60"/>
              <w:left w:type="dxa" w:w="100"/>
              <w:bottom w:type="dxa" w:w="60"/>
              <w:right w:type="dxa" w:w="100"/>
            </w:tcMar>
            <w:vAlign w:val="center"/>
          </w:tcPr>
          <w:p>
            <w:r>
              <w:rPr>
                <w:sz w:val="18"/>
                <w:szCs w:val="18"/>
              </w:rPr>
              <w:t xml:space="preserve">Included, plus e-signature on offer/application docs</w:t>
            </w:r>
          </w:p>
        </w:tc>
        <w:tc>
          <w:tcPr>
            <w:tcW w:type="dxa" w:w="2016"/>
            <w:tcMar>
              <w:top w:type="dxa" w:w="60"/>
              <w:left w:type="dxa" w:w="100"/>
              <w:bottom w:type="dxa" w:w="60"/>
              <w:right w:type="dxa" w:w="100"/>
            </w:tcMar>
            <w:vAlign w:val="center"/>
          </w:tcPr>
          <w:p>
            <w:r>
              <w:rPr>
                <w:sz w:val="18"/>
                <w:szCs w:val="18"/>
              </w:rPr>
              <w:t xml:space="preserve">Included (Core: candidate record, job posting, offer letter templates)</w:t>
            </w:r>
          </w:p>
        </w:tc>
        <w:tc>
          <w:tcPr>
            <w:tcW w:type="dxa" w:w="2016"/>
            <w:tcMar>
              <w:top w:type="dxa" w:w="60"/>
              <w:left w:type="dxa" w:w="100"/>
              <w:bottom w:type="dxa" w:w="60"/>
              <w:right w:type="dxa" w:w="100"/>
            </w:tcMar>
            <w:vAlign w:val="center"/>
          </w:tcPr>
          <w:p>
            <w:r>
              <w:rPr>
                <w:sz w:val="18"/>
                <w:szCs w:val="18"/>
              </w:rPr>
              <w:t xml:space="preserve">Included (base tiers)</w:t>
            </w:r>
          </w:p>
        </w:tc>
      </w:tr>
      <w:tr>
        <w:trPr>
          <w:tblHeader w:val="false"/>
        </w:trPr>
        <w:tc>
          <w:tcPr>
            <w:tcW w:type="dxa" w:w="2016"/>
            <w:tcMar>
              <w:top w:type="dxa" w:w="60"/>
              <w:left w:type="dxa" w:w="100"/>
              <w:bottom w:type="dxa" w:w="60"/>
              <w:right w:type="dxa" w:w="100"/>
            </w:tcMar>
            <w:vAlign w:val="center"/>
          </w:tcPr>
          <w:p>
            <w:r>
              <w:rPr>
                <w:b/>
                <w:bCs/>
                <w:sz w:val="18"/>
                <w:szCs w:val="18"/>
              </w:rPr>
              <w:t xml:space="preserve">E-signature</w:t>
            </w:r>
            <w:r>
              <w:rPr>
                <w:sz w:val="18"/>
                <w:szCs w:val="18"/>
              </w:rPr>
              <w:t xml:space="preserve"> on hiring/HR documents</w:t>
            </w:r>
          </w:p>
        </w:tc>
        <w:tc>
          <w:tcPr>
            <w:tcW w:type="dxa" w:w="2016"/>
            <w:tcMar>
              <w:top w:type="dxa" w:w="60"/>
              <w:left w:type="dxa" w:w="100"/>
              <w:bottom w:type="dxa" w:w="60"/>
              <w:right w:type="dxa" w:w="100"/>
            </w:tcMar>
            <w:vAlign w:val="center"/>
          </w:tcPr>
          <w:p>
            <w:r>
              <w:rPr>
                <w:b/>
                <w:bCs/>
                <w:sz w:val="18"/>
                <w:szCs w:val="18"/>
              </w:rPr>
              <w:t xml:space="preserve">Resolved this iteration</w:t>
            </w:r>
            <w:r>
              <w:rPr>
                <w:sz w:val="18"/>
                <w:szCs w:val="18"/>
              </w:rPr>
              <w:t xml:space="preserve"> — E-Signature &amp; Digital Consent Service (A8), applied to Recruitment offer letters (D1), Performance reviewer sign-off (D2), and Policy acknowledgement (E4)</w:t>
            </w:r>
          </w:p>
        </w:tc>
        <w:tc>
          <w:tcPr>
            <w:tcW w:type="dxa" w:w="2016"/>
            <w:tcMar>
              <w:top w:type="dxa" w:w="60"/>
              <w:left w:type="dxa" w:w="100"/>
              <w:bottom w:type="dxa" w:w="60"/>
              <w:right w:type="dxa" w:w="100"/>
            </w:tcMar>
            <w:vAlign w:val="center"/>
          </w:tcPr>
          <w:p>
            <w:r>
              <w:rPr>
                <w:sz w:val="18"/>
                <w:szCs w:val="18"/>
              </w:rPr>
              <w:t xml:space="preserve">Included ("e-signatures" in Recruitment; "electronic sign-off" in Performance)</w:t>
            </w:r>
          </w:p>
        </w:tc>
        <w:tc>
          <w:tcPr>
            <w:tcW w:type="dxa" w:w="2016"/>
            <w:tcMar>
              <w:top w:type="dxa" w:w="60"/>
              <w:left w:type="dxa" w:w="100"/>
              <w:bottom w:type="dxa" w:w="60"/>
              <w:right w:type="dxa" w:w="100"/>
            </w:tcMar>
            <w:vAlign w:val="center"/>
          </w:tcPr>
          <w:p>
            <w:r>
              <w:rPr>
                <w:sz w:val="18"/>
                <w:szCs w:val="18"/>
              </w:rPr>
              <w:t xml:space="preserve">Offer-letter templates only (no explicit e-sign in fetched plan data)</w:t>
            </w:r>
          </w:p>
        </w:tc>
        <w:tc>
          <w:tcPr>
            <w:tcW w:type="dxa" w:w="2016"/>
            <w:tcMar>
              <w:top w:type="dxa" w:w="60"/>
              <w:left w:type="dxa" w:w="100"/>
              <w:bottom w:type="dxa" w:w="60"/>
              <w:right w:type="dxa" w:w="100"/>
            </w:tcMar>
            <w:vAlign w:val="center"/>
          </w:tcPr>
          <w:p>
            <w:r>
              <w:rPr>
                <w:sz w:val="18"/>
                <w:szCs w:val="18"/>
              </w:rPr>
              <w:t xml:space="preserve">Zoho Sign templates — Enterprise tier only, not Premium</w:t>
            </w:r>
          </w:p>
        </w:tc>
      </w:tr>
      <w:tr>
        <w:trPr>
          <w:tblHeader w:val="false"/>
        </w:trPr>
        <w:tc>
          <w:tcPr>
            <w:tcW w:type="dxa" w:w="2016"/>
            <w:tcMar>
              <w:top w:type="dxa" w:w="60"/>
              <w:left w:type="dxa" w:w="100"/>
              <w:bottom w:type="dxa" w:w="60"/>
              <w:right w:type="dxa" w:w="100"/>
            </w:tcMar>
            <w:vAlign w:val="center"/>
          </w:tcPr>
          <w:p>
            <w:r>
              <w:rPr>
                <w:sz w:val="18"/>
                <w:szCs w:val="18"/>
              </w:rPr>
              <w:t xml:space="preserve">Onboarding/offboarding checklists &amp; templates</w:t>
            </w:r>
          </w:p>
        </w:tc>
        <w:tc>
          <w:tcPr>
            <w:tcW w:type="dxa" w:w="2016"/>
            <w:tcMar>
              <w:top w:type="dxa" w:w="60"/>
              <w:left w:type="dxa" w:w="100"/>
              <w:bottom w:type="dxa" w:w="60"/>
              <w:right w:type="dxa" w:w="100"/>
            </w:tcMar>
            <w:vAlign w:val="center"/>
          </w:tcPr>
          <w:p>
            <w:r>
              <w:rPr>
                <w:sz w:val="18"/>
                <w:szCs w:val="18"/>
              </w:rPr>
              <w:t xml:space="preserve">Full (B3)</w:t>
            </w:r>
          </w:p>
        </w:tc>
        <w:tc>
          <w:tcPr>
            <w:tcW w:type="dxa" w:w="2016"/>
            <w:tcMar>
              <w:top w:type="dxa" w:w="60"/>
              <w:left w:type="dxa" w:w="100"/>
              <w:bottom w:type="dxa" w:w="60"/>
              <w:right w:type="dxa" w:w="100"/>
            </w:tcMar>
            <w:vAlign w:val="center"/>
          </w:tcPr>
          <w:p>
            <w:r>
              <w:rPr>
                <w:sz w:val="18"/>
                <w:szCs w:val="18"/>
              </w:rPr>
              <w:t xml:space="preserve">Included</w:t>
            </w:r>
          </w:p>
        </w:tc>
        <w:tc>
          <w:tcPr>
            <w:tcW w:type="dxa" w:w="2016"/>
            <w:tcMar>
              <w:top w:type="dxa" w:w="60"/>
              <w:left w:type="dxa" w:w="100"/>
              <w:bottom w:type="dxa" w:w="60"/>
              <w:right w:type="dxa" w:w="100"/>
            </w:tcMar>
            <w:vAlign w:val="center"/>
          </w:tcPr>
          <w:p>
            <w:r>
              <w:rPr>
                <w:sz w:val="18"/>
                <w:szCs w:val="18"/>
              </w:rPr>
              <w:t xml:space="preserve">Included</w:t>
            </w:r>
          </w:p>
        </w:tc>
        <w:tc>
          <w:tcPr>
            <w:tcW w:type="dxa" w:w="2016"/>
            <w:tcMar>
              <w:top w:type="dxa" w:w="60"/>
              <w:left w:type="dxa" w:w="100"/>
              <w:bottom w:type="dxa" w:w="60"/>
              <w:right w:type="dxa" w:w="100"/>
            </w:tcMar>
            <w:vAlign w:val="center"/>
          </w:tcPr>
          <w:p>
            <w:r>
              <w:rPr>
                <w:sz w:val="18"/>
                <w:szCs w:val="18"/>
              </w:rPr>
              <w:t xml:space="preserve">Included</w:t>
            </w:r>
          </w:p>
        </w:tc>
      </w:tr>
      <w:tr>
        <w:trPr>
          <w:tblHeader w:val="false"/>
        </w:trPr>
        <w:tc>
          <w:tcPr>
            <w:tcW w:type="dxa" w:w="2016"/>
            <w:tcMar>
              <w:top w:type="dxa" w:w="60"/>
              <w:left w:type="dxa" w:w="100"/>
              <w:bottom w:type="dxa" w:w="60"/>
              <w:right w:type="dxa" w:w="100"/>
            </w:tcMar>
            <w:vAlign w:val="center"/>
          </w:tcPr>
          <w:p>
            <w:r>
              <w:rPr>
                <w:sz w:val="18"/>
                <w:szCs w:val="18"/>
              </w:rPr>
              <w:t xml:space="preserve">Performance reviews, KPIs, self/supervisor evaluation</w:t>
            </w:r>
          </w:p>
        </w:tc>
        <w:tc>
          <w:tcPr>
            <w:tcW w:type="dxa" w:w="2016"/>
            <w:tcMar>
              <w:top w:type="dxa" w:w="60"/>
              <w:left w:type="dxa" w:w="100"/>
              <w:bottom w:type="dxa" w:w="60"/>
              <w:right w:type="dxa" w:w="100"/>
            </w:tcMar>
            <w:vAlign w:val="center"/>
          </w:tcPr>
          <w:p>
            <w:r>
              <w:rPr>
                <w:sz w:val="18"/>
                <w:szCs w:val="18"/>
              </w:rPr>
              <w:t xml:space="preserve">Full (D2)</w:t>
            </w:r>
          </w:p>
        </w:tc>
        <w:tc>
          <w:tcPr>
            <w:tcW w:type="dxa" w:w="2016"/>
            <w:tcMar>
              <w:top w:type="dxa" w:w="60"/>
              <w:left w:type="dxa" w:w="100"/>
              <w:bottom w:type="dxa" w:w="60"/>
              <w:right w:type="dxa" w:w="100"/>
            </w:tcMar>
            <w:vAlign w:val="center"/>
          </w:tcPr>
          <w:p>
            <w:r>
              <w:rPr>
                <w:sz w:val="18"/>
                <w:szCs w:val="18"/>
              </w:rPr>
              <w:t xml:space="preserve">Included</w:t>
            </w:r>
          </w:p>
        </w:tc>
        <w:tc>
          <w:tcPr>
            <w:tcW w:type="dxa" w:w="2016"/>
            <w:tcMar>
              <w:top w:type="dxa" w:w="60"/>
              <w:left w:type="dxa" w:w="100"/>
              <w:bottom w:type="dxa" w:w="60"/>
              <w:right w:type="dxa" w:w="100"/>
            </w:tcMar>
            <w:vAlign w:val="center"/>
          </w:tcPr>
          <w:p>
            <w:r>
              <w:rPr>
                <w:sz w:val="18"/>
                <w:szCs w:val="18"/>
              </w:rPr>
              <w:t xml:space="preserve">Included (Pro: 360º Review Cycles, 1:1s)</w:t>
            </w:r>
          </w:p>
        </w:tc>
        <w:tc>
          <w:tcPr>
            <w:tcW w:type="dxa" w:w="2016"/>
            <w:tcMar>
              <w:top w:type="dxa" w:w="60"/>
              <w:left w:type="dxa" w:w="100"/>
              <w:bottom w:type="dxa" w:w="60"/>
              <w:right w:type="dxa" w:w="100"/>
            </w:tcMar>
            <w:vAlign w:val="center"/>
          </w:tcPr>
          <w:p>
            <w:r>
              <w:rPr>
                <w:sz w:val="18"/>
                <w:szCs w:val="18"/>
              </w:rPr>
              <w:t xml:space="preserve">Included (Premium: full appraisal suite)</w:t>
            </w:r>
          </w:p>
        </w:tc>
      </w:tr>
      <w:tr>
        <w:trPr>
          <w:tblHeader w:val="false"/>
        </w:trPr>
        <w:tc>
          <w:tcPr>
            <w:tcW w:type="dxa" w:w="2016"/>
            <w:tcMar>
              <w:top w:type="dxa" w:w="60"/>
              <w:left w:type="dxa" w:w="100"/>
              <w:bottom w:type="dxa" w:w="60"/>
              <w:right w:type="dxa" w:w="100"/>
            </w:tcMar>
            <w:vAlign w:val="center"/>
          </w:tcPr>
          <w:p>
            <w:r>
              <w:rPr>
                <w:sz w:val="18"/>
                <w:szCs w:val="18"/>
              </w:rPr>
              <w:t xml:space="preserve">360° / multi-rater feedback</w:t>
            </w:r>
          </w:p>
        </w:tc>
        <w:tc>
          <w:tcPr>
            <w:tcW w:type="dxa" w:w="2016"/>
            <w:tcMar>
              <w:top w:type="dxa" w:w="60"/>
              <w:left w:type="dxa" w:w="100"/>
              <w:bottom w:type="dxa" w:w="60"/>
              <w:right w:type="dxa" w:w="100"/>
            </w:tcMar>
            <w:vAlign w:val="center"/>
          </w:tcPr>
          <w:p>
            <w:r>
              <w:rPr>
                <w:sz w:val="18"/>
                <w:szCs w:val="18"/>
              </w:rPr>
              <w:t xml:space="preserve">Full, custom-built (D2)</w:t>
            </w:r>
          </w:p>
        </w:tc>
        <w:tc>
          <w:tcPr>
            <w:tcW w:type="dxa" w:w="2016"/>
            <w:tcMar>
              <w:top w:type="dxa" w:w="60"/>
              <w:left w:type="dxa" w:w="100"/>
              <w:bottom w:type="dxa" w:w="60"/>
              <w:right w:type="dxa" w:w="100"/>
            </w:tcMar>
            <w:vAlign w:val="center"/>
          </w:tcPr>
          <w:p>
            <w:r>
              <w:rPr>
                <w:sz w:val="18"/>
                <w:szCs w:val="18"/>
              </w:rPr>
              <w:t xml:space="preserve">Included</w:t>
            </w:r>
          </w:p>
        </w:tc>
        <w:tc>
          <w:tcPr>
            <w:tcW w:type="dxa" w:w="2016"/>
            <w:tcMar>
              <w:top w:type="dxa" w:w="60"/>
              <w:left w:type="dxa" w:w="100"/>
              <w:bottom w:type="dxa" w:w="60"/>
              <w:right w:type="dxa" w:w="100"/>
            </w:tcMar>
            <w:vAlign w:val="center"/>
          </w:tcPr>
          <w:p>
            <w:r>
              <w:rPr>
                <w:sz w:val="18"/>
                <w:szCs w:val="18"/>
              </w:rPr>
              <w:t xml:space="preserve">Included (Pro)</w:t>
            </w:r>
          </w:p>
        </w:tc>
        <w:tc>
          <w:tcPr>
            <w:tcW w:type="dxa" w:w="2016"/>
            <w:tcMar>
              <w:top w:type="dxa" w:w="60"/>
              <w:left w:type="dxa" w:w="100"/>
              <w:bottom w:type="dxa" w:w="60"/>
              <w:right w:type="dxa" w:w="100"/>
            </w:tcMar>
            <w:vAlign w:val="center"/>
          </w:tcPr>
          <w:p>
            <w:r>
              <w:rPr>
                <w:sz w:val="18"/>
                <w:szCs w:val="18"/>
              </w:rPr>
              <w:t xml:space="preserve">Included (Premium)</w:t>
            </w:r>
          </w:p>
        </w:tc>
      </w:tr>
      <w:tr>
        <w:trPr>
          <w:tblHeader w:val="false"/>
        </w:trPr>
        <w:tc>
          <w:tcPr>
            <w:tcW w:type="dxa" w:w="2016"/>
            <w:tcMar>
              <w:top w:type="dxa" w:w="60"/>
              <w:left w:type="dxa" w:w="100"/>
              <w:bottom w:type="dxa" w:w="60"/>
              <w:right w:type="dxa" w:w="100"/>
            </w:tcMar>
            <w:vAlign w:val="center"/>
          </w:tcPr>
          <w:p>
            <w:r>
              <w:rPr>
                <w:b/>
                <w:bCs/>
                <w:sz w:val="18"/>
                <w:szCs w:val="18"/>
              </w:rPr>
              <w:t xml:space="preserve">9-Box talent/succession matrix</w:t>
            </w:r>
          </w:p>
        </w:tc>
        <w:tc>
          <w:tcPr>
            <w:tcW w:type="dxa" w:w="2016"/>
            <w:tcMar>
              <w:top w:type="dxa" w:w="60"/>
              <w:left w:type="dxa" w:w="100"/>
              <w:bottom w:type="dxa" w:w="60"/>
              <w:right w:type="dxa" w:w="100"/>
            </w:tcMar>
            <w:vAlign w:val="center"/>
          </w:tcPr>
          <w:p>
            <w:r>
              <w:rPr>
                <w:b/>
                <w:bCs/>
                <w:sz w:val="18"/>
                <w:szCs w:val="18"/>
              </w:rPr>
              <w:t xml:space="preserve">Not specified</w:t>
            </w:r>
          </w:p>
        </w:tc>
        <w:tc>
          <w:tcPr>
            <w:tcW w:type="dxa" w:w="2016"/>
            <w:tcMar>
              <w:top w:type="dxa" w:w="60"/>
              <w:left w:type="dxa" w:w="100"/>
              <w:bottom w:type="dxa" w:w="60"/>
              <w:right w:type="dxa" w:w="100"/>
            </w:tcMar>
            <w:vAlign w:val="center"/>
          </w:tcPr>
          <w:p>
            <w:r>
              <w:rPr>
                <w:b/>
                <w:bCs/>
                <w:sz w:val="18"/>
                <w:szCs w:val="18"/>
              </w:rPr>
              <w:t xml:space="preserve">Included</w:t>
            </w:r>
            <w:r>
              <w:rPr>
                <w:sz w:val="18"/>
                <w:szCs w:val="18"/>
              </w:rPr>
              <w:t xml:space="preserve"> (Career Development)</w:t>
            </w:r>
          </w:p>
        </w:tc>
        <w:tc>
          <w:tcPr>
            <w:tcW w:type="dxa" w:w="2016"/>
            <w:tcMar>
              <w:top w:type="dxa" w:w="60"/>
              <w:left w:type="dxa" w:w="100"/>
              <w:bottom w:type="dxa" w:w="60"/>
              <w:right w:type="dxa" w:w="100"/>
            </w:tcMar>
            <w:vAlign w:val="center"/>
          </w:tcPr>
          <w:p>
            <w:r>
              <w:rPr>
                <w:sz w:val="18"/>
                <w:szCs w:val="18"/>
              </w:rPr>
              <w:t xml:space="preserve">Not found in fetched plan data</w:t>
            </w:r>
          </w:p>
        </w:tc>
        <w:tc>
          <w:tcPr>
            <w:tcW w:type="dxa" w:w="2016"/>
            <w:tcMar>
              <w:top w:type="dxa" w:w="60"/>
              <w:left w:type="dxa" w:w="100"/>
              <w:bottom w:type="dxa" w:w="60"/>
              <w:right w:type="dxa" w:w="100"/>
            </w:tcMar>
            <w:vAlign w:val="center"/>
          </w:tcPr>
          <w:p>
            <w:r>
              <w:rPr>
                <w:b/>
                <w:bCs/>
                <w:sz w:val="18"/>
                <w:szCs w:val="18"/>
              </w:rPr>
              <w:t xml:space="preserve">Included (Premium)</w:t>
            </w:r>
          </w:p>
        </w:tc>
      </w:tr>
      <w:tr>
        <w:trPr>
          <w:tblHeader w:val="false"/>
        </w:trPr>
        <w:tc>
          <w:tcPr>
            <w:tcW w:type="dxa" w:w="2016"/>
            <w:tcMar>
              <w:top w:type="dxa" w:w="60"/>
              <w:left w:type="dxa" w:w="100"/>
              <w:bottom w:type="dxa" w:w="60"/>
              <w:right w:type="dxa" w:w="100"/>
            </w:tcMar>
            <w:vAlign w:val="center"/>
          </w:tcPr>
          <w:p>
            <w:r>
              <w:rPr>
                <w:b/>
                <w:bCs/>
                <w:sz w:val="18"/>
                <w:szCs w:val="18"/>
              </w:rPr>
              <w:t xml:space="preserve">OKR management</w:t>
            </w:r>
            <w:r>
              <w:rPr>
                <w:sz w:val="18"/>
                <w:szCs w:val="18"/>
              </w:rPr>
              <w:t xml:space="preserve"> (objectives, key results, cascading alignment, check-ins)</w:t>
            </w:r>
          </w:p>
        </w:tc>
        <w:tc>
          <w:tcPr>
            <w:tcW w:type="dxa" w:w="2016"/>
            <w:tcMar>
              <w:top w:type="dxa" w:w="60"/>
              <w:left w:type="dxa" w:w="100"/>
              <w:bottom w:type="dxa" w:w="60"/>
              <w:right w:type="dxa" w:w="100"/>
            </w:tcMar>
            <w:vAlign w:val="center"/>
          </w:tcPr>
          <w:p>
            <w:r>
              <w:rPr>
                <w:b/>
                <w:bCs/>
                <w:sz w:val="18"/>
                <w:szCs w:val="18"/>
              </w:rPr>
              <w:t xml:space="preserve">Not specified</w:t>
            </w:r>
            <w:r>
              <w:rPr>
                <w:sz w:val="18"/>
                <w:szCs w:val="18"/>
              </w:rPr>
              <w:t xml:space="preserve"> — Goal tracking only, no OKR framework (D2)</w:t>
            </w:r>
          </w:p>
        </w:tc>
        <w:tc>
          <w:tcPr>
            <w:tcW w:type="dxa" w:w="2016"/>
            <w:tcMar>
              <w:top w:type="dxa" w:w="60"/>
              <w:left w:type="dxa" w:w="100"/>
              <w:bottom w:type="dxa" w:w="60"/>
              <w:right w:type="dxa" w:w="100"/>
            </w:tcMar>
            <w:vAlign w:val="center"/>
          </w:tcPr>
          <w:p>
            <w:r>
              <w:rPr>
                <w:sz w:val="18"/>
                <w:szCs w:val="18"/>
              </w:rPr>
              <w:t xml:space="preserve">Not found in fetched plan data</w:t>
            </w:r>
          </w:p>
        </w:tc>
        <w:tc>
          <w:tcPr>
            <w:tcW w:type="dxa" w:w="2016"/>
            <w:tcMar>
              <w:top w:type="dxa" w:w="60"/>
              <w:left w:type="dxa" w:w="100"/>
              <w:bottom w:type="dxa" w:w="60"/>
              <w:right w:type="dxa" w:w="100"/>
            </w:tcMar>
            <w:vAlign w:val="center"/>
          </w:tcPr>
          <w:p>
            <w:r>
              <w:rPr>
                <w:sz w:val="18"/>
                <w:szCs w:val="18"/>
              </w:rPr>
              <w:t xml:space="preserve">Not found in fetched plan data</w:t>
            </w:r>
          </w:p>
        </w:tc>
        <w:tc>
          <w:tcPr>
            <w:tcW w:type="dxa" w:w="2016"/>
            <w:tcMar>
              <w:top w:type="dxa" w:w="60"/>
              <w:left w:type="dxa" w:w="100"/>
              <w:bottom w:type="dxa" w:w="60"/>
              <w:right w:type="dxa" w:w="100"/>
            </w:tcMar>
            <w:vAlign w:val="center"/>
          </w:tcPr>
          <w:p>
            <w:r>
              <w:rPr>
                <w:b/>
                <w:bCs/>
                <w:sz w:val="18"/>
                <w:szCs w:val="18"/>
              </w:rPr>
              <w:t xml:space="preserve">Included (Premium)</w:t>
            </w:r>
          </w:p>
        </w:tc>
      </w:tr>
      <w:tr>
        <w:trPr>
          <w:tblHeader w:val="false"/>
        </w:trPr>
        <w:tc>
          <w:tcPr>
            <w:tcW w:type="dxa" w:w="2016"/>
            <w:tcMar>
              <w:top w:type="dxa" w:w="60"/>
              <w:left w:type="dxa" w:w="100"/>
              <w:bottom w:type="dxa" w:w="60"/>
              <w:right w:type="dxa" w:w="100"/>
            </w:tcMar>
            <w:vAlign w:val="center"/>
          </w:tcPr>
          <w:p>
            <w:r>
              <w:rPr>
                <w:sz w:val="18"/>
                <w:szCs w:val="18"/>
              </w:rPr>
              <w:t xml:space="preserve">Career development plans</w:t>
            </w:r>
          </w:p>
        </w:tc>
        <w:tc>
          <w:tcPr>
            <w:tcW w:type="dxa" w:w="2016"/>
            <w:tcMar>
              <w:top w:type="dxa" w:w="60"/>
              <w:left w:type="dxa" w:w="100"/>
              <w:bottom w:type="dxa" w:w="60"/>
              <w:right w:type="dxa" w:w="100"/>
            </w:tcMar>
            <w:vAlign w:val="center"/>
          </w:tcPr>
          <w:p>
            <w:r>
              <w:rPr>
                <w:sz w:val="18"/>
                <w:szCs w:val="18"/>
              </w:rPr>
              <w:t xml:space="preserve">Full (B3)</w:t>
            </w:r>
          </w:p>
        </w:tc>
        <w:tc>
          <w:tcPr>
            <w:tcW w:type="dxa" w:w="2016"/>
            <w:tcMar>
              <w:top w:type="dxa" w:w="60"/>
              <w:left w:type="dxa" w:w="100"/>
              <w:bottom w:type="dxa" w:w="60"/>
              <w:right w:type="dxa" w:w="100"/>
            </w:tcMar>
            <w:vAlign w:val="center"/>
          </w:tcPr>
          <w:p>
            <w:r>
              <w:rPr>
                <w:sz w:val="18"/>
                <w:szCs w:val="18"/>
              </w:rPr>
              <w:t xml:space="preserve">Included (with 9-Box)</w:t>
            </w:r>
          </w:p>
        </w:tc>
        <w:tc>
          <w:tcPr>
            <w:tcW w:type="dxa" w:w="2016"/>
            <w:tcMar>
              <w:top w:type="dxa" w:w="60"/>
              <w:left w:type="dxa" w:w="100"/>
              <w:bottom w:type="dxa" w:w="60"/>
              <w:right w:type="dxa" w:w="100"/>
            </w:tcMar>
            <w:vAlign w:val="center"/>
          </w:tcPr>
          <w:p>
            <w:r>
              <w:rPr>
                <w:sz w:val="18"/>
                <w:szCs w:val="18"/>
              </w:rPr>
              <w:t xml:space="preserve">Not explicitly found</w:t>
            </w:r>
          </w:p>
        </w:tc>
        <w:tc>
          <w:tcPr>
            <w:tcW w:type="dxa" w:w="2016"/>
            <w:tcMar>
              <w:top w:type="dxa" w:w="60"/>
              <w:left w:type="dxa" w:w="100"/>
              <w:bottom w:type="dxa" w:w="60"/>
              <w:right w:type="dxa" w:w="100"/>
            </w:tcMar>
            <w:vAlign w:val="center"/>
          </w:tcPr>
          <w:p>
            <w:r>
              <w:rPr>
                <w:sz w:val="18"/>
                <w:szCs w:val="18"/>
              </w:rPr>
              <w:t xml:space="preserve">Not explicitly found</w:t>
            </w:r>
          </w:p>
        </w:tc>
      </w:tr>
      <w:tr>
        <w:trPr>
          <w:tblHeader w:val="false"/>
        </w:trPr>
        <w:tc>
          <w:tcPr>
            <w:tcW w:type="dxa" w:w="2016"/>
            <w:tcMar>
              <w:top w:type="dxa" w:w="60"/>
              <w:left w:type="dxa" w:w="100"/>
              <w:bottom w:type="dxa" w:w="60"/>
              <w:right w:type="dxa" w:w="100"/>
            </w:tcMar>
            <w:vAlign w:val="center"/>
          </w:tcPr>
          <w:p>
            <w:r>
              <w:rPr>
                <w:b/>
                <w:bCs/>
                <w:sz w:val="18"/>
                <w:szCs w:val="18"/>
              </w:rPr>
              <w:t xml:space="preserve">Learning Management System</w:t>
            </w:r>
            <w:r>
              <w:rPr>
                <w:sz w:val="18"/>
                <w:szCs w:val="18"/>
              </w:rPr>
              <w:t xml:space="preserve"> (course authoring, self-paced/blended learning, quizzes, completion certificates)</w:t>
            </w:r>
          </w:p>
        </w:tc>
        <w:tc>
          <w:tcPr>
            <w:tcW w:type="dxa" w:w="2016"/>
            <w:tcMar>
              <w:top w:type="dxa" w:w="60"/>
              <w:left w:type="dxa" w:w="100"/>
              <w:bottom w:type="dxa" w:w="60"/>
              <w:right w:type="dxa" w:w="100"/>
            </w:tcMar>
            <w:vAlign w:val="center"/>
          </w:tcPr>
          <w:p>
            <w:r>
              <w:rPr>
                <w:b/>
                <w:bCs/>
                <w:sz w:val="18"/>
                <w:szCs w:val="18"/>
              </w:rPr>
              <w:t xml:space="preserve">Not specified</w:t>
            </w:r>
            <w:r>
              <w:rPr>
                <w:sz w:val="18"/>
                <w:szCs w:val="18"/>
              </w:rPr>
              <w:t xml:space="preserve"> — Training module only records external training attendance (B3)</w:t>
            </w:r>
          </w:p>
        </w:tc>
        <w:tc>
          <w:tcPr>
            <w:tcW w:type="dxa" w:w="2016"/>
            <w:tcMar>
              <w:top w:type="dxa" w:w="60"/>
              <w:left w:type="dxa" w:w="100"/>
              <w:bottom w:type="dxa" w:w="60"/>
              <w:right w:type="dxa" w:w="100"/>
            </w:tcMar>
            <w:vAlign w:val="center"/>
          </w:tcPr>
          <w:p>
            <w:r>
              <w:rPr>
                <w:b/>
                <w:bCs/>
                <w:sz w:val="18"/>
                <w:szCs w:val="18"/>
              </w:rPr>
              <w:t xml:space="preserve">Included</w:t>
            </w:r>
            <w:r>
              <w:rPr>
                <w:sz w:val="18"/>
                <w:szCs w:val="18"/>
              </w:rPr>
              <w:t xml:space="preserve"> (course creation, e-certificates, centralized management)</w:t>
            </w:r>
          </w:p>
        </w:tc>
        <w:tc>
          <w:tcPr>
            <w:tcW w:type="dxa" w:w="2016"/>
            <w:tcMar>
              <w:top w:type="dxa" w:w="60"/>
              <w:left w:type="dxa" w:w="100"/>
              <w:bottom w:type="dxa" w:w="60"/>
              <w:right w:type="dxa" w:w="100"/>
            </w:tcMar>
            <w:vAlign w:val="center"/>
          </w:tcPr>
          <w:p>
            <w:r>
              <w:rPr>
                <w:sz w:val="18"/>
                <w:szCs w:val="18"/>
              </w:rPr>
              <w:t xml:space="preserve">Partial: </w:t>
            </w:r>
            <w:r>
              <w:rPr>
                <w:b/>
                <w:bCs/>
                <w:sz w:val="18"/>
                <w:szCs w:val="18"/>
              </w:rPr>
              <w:t xml:space="preserve">15 pre-built compliance courses only</w:t>
            </w:r>
            <w:r>
              <w:rPr>
                <w:sz w:val="18"/>
                <w:szCs w:val="18"/>
              </w:rPr>
              <w:t xml:space="preserve">, not a full LMS (Pro)</w:t>
            </w:r>
          </w:p>
        </w:tc>
        <w:tc>
          <w:tcPr>
            <w:tcW w:type="dxa" w:w="2016"/>
            <w:tcMar>
              <w:top w:type="dxa" w:w="60"/>
              <w:left w:type="dxa" w:w="100"/>
              <w:bottom w:type="dxa" w:w="60"/>
              <w:right w:type="dxa" w:w="100"/>
            </w:tcMar>
            <w:vAlign w:val="center"/>
          </w:tcPr>
          <w:p>
            <w:r>
              <w:rPr>
                <w:b/>
                <w:bCs/>
                <w:sz w:val="18"/>
                <w:szCs w:val="18"/>
              </w:rPr>
              <w:t xml:space="preserve">Enterprise tier only</w:t>
            </w:r>
            <w:r>
              <w:rPr>
                <w:sz w:val="18"/>
                <w:szCs w:val="18"/>
              </w:rPr>
              <w:t xml:space="preserve"> (Premium lacks LMS)</w:t>
            </w:r>
          </w:p>
        </w:tc>
      </w:tr>
      <w:tr>
        <w:trPr>
          <w:tblHeader w:val="false"/>
        </w:trPr>
        <w:tc>
          <w:tcPr>
            <w:tcW w:type="dxa" w:w="2016"/>
            <w:tcMar>
              <w:top w:type="dxa" w:w="60"/>
              <w:left w:type="dxa" w:w="100"/>
              <w:bottom w:type="dxa" w:w="60"/>
              <w:right w:type="dxa" w:w="100"/>
            </w:tcMar>
            <w:vAlign w:val="center"/>
          </w:tcPr>
          <w:p>
            <w:r>
              <w:rPr>
                <w:sz w:val="18"/>
                <w:szCs w:val="18"/>
              </w:rPr>
              <w:t xml:space="preserve">Compliance training content library</w:t>
            </w:r>
          </w:p>
        </w:tc>
        <w:tc>
          <w:tcPr>
            <w:tcW w:type="dxa" w:w="2016"/>
            <w:tcMar>
              <w:top w:type="dxa" w:w="60"/>
              <w:left w:type="dxa" w:w="100"/>
              <w:bottom w:type="dxa" w:w="60"/>
              <w:right w:type="dxa" w:w="100"/>
            </w:tcMar>
            <w:vAlign w:val="center"/>
          </w:tcPr>
          <w:p>
            <w:r>
              <w:rPr>
                <w:b/>
                <w:bCs/>
                <w:sz w:val="18"/>
                <w:szCs w:val="18"/>
              </w:rPr>
              <w:t xml:space="preserve">Not specified</w:t>
            </w:r>
          </w:p>
        </w:tc>
        <w:tc>
          <w:tcPr>
            <w:tcW w:type="dxa" w:w="2016"/>
            <w:tcMar>
              <w:top w:type="dxa" w:w="60"/>
              <w:left w:type="dxa" w:w="100"/>
              <w:bottom w:type="dxa" w:w="60"/>
              <w:right w:type="dxa" w:w="100"/>
            </w:tcMar>
            <w:vAlign w:val="center"/>
          </w:tcPr>
          <w:p>
            <w:r>
              <w:rPr>
                <w:sz w:val="18"/>
                <w:szCs w:val="18"/>
              </w:rPr>
              <w:t xml:space="preserve">Not explicitly itemized</w:t>
            </w:r>
          </w:p>
        </w:tc>
        <w:tc>
          <w:tcPr>
            <w:tcW w:type="dxa" w:w="2016"/>
            <w:tcMar>
              <w:top w:type="dxa" w:w="60"/>
              <w:left w:type="dxa" w:w="100"/>
              <w:bottom w:type="dxa" w:w="60"/>
              <w:right w:type="dxa" w:w="100"/>
            </w:tcMar>
            <w:vAlign w:val="center"/>
          </w:tcPr>
          <w:p>
            <w:r>
              <w:rPr>
                <w:b/>
                <w:bCs/>
                <w:sz w:val="18"/>
                <w:szCs w:val="18"/>
              </w:rPr>
              <w:t xml:space="preserve">Included (Pro: 15 courses)</w:t>
            </w:r>
          </w:p>
        </w:tc>
        <w:tc>
          <w:tcPr>
            <w:tcW w:type="dxa" w:w="2016"/>
            <w:tcMar>
              <w:top w:type="dxa" w:w="60"/>
              <w:left w:type="dxa" w:w="100"/>
              <w:bottom w:type="dxa" w:w="60"/>
              <w:right w:type="dxa" w:w="100"/>
            </w:tcMar>
            <w:vAlign w:val="center"/>
          </w:tcPr>
          <w:p>
            <w:r>
              <w:rPr>
                <w:sz w:val="18"/>
                <w:szCs w:val="18"/>
              </w:rPr>
              <w:t xml:space="preserve">Enterprise tier only</w:t>
            </w:r>
          </w:p>
        </w:tc>
      </w:tr>
      <w:tr>
        <w:trPr>
          <w:tblHeader w:val="false"/>
        </w:trPr>
        <w:tc>
          <w:tcPr>
            <w:tcW w:type="dxa" w:w="2016"/>
            <w:tcMar>
              <w:top w:type="dxa" w:w="60"/>
              <w:left w:type="dxa" w:w="100"/>
              <w:bottom w:type="dxa" w:w="60"/>
              <w:right w:type="dxa" w:w="100"/>
            </w:tcMar>
            <w:vAlign w:val="center"/>
          </w:tcPr>
          <w:p>
            <w:r>
              <w:rPr>
                <w:sz w:val="18"/>
                <w:szCs w:val="18"/>
              </w:rPr>
              <w:t xml:space="preserve">Disciplinary case management</w:t>
            </w:r>
          </w:p>
        </w:tc>
        <w:tc>
          <w:tcPr>
            <w:tcW w:type="dxa" w:w="2016"/>
            <w:tcMar>
              <w:top w:type="dxa" w:w="60"/>
              <w:left w:type="dxa" w:w="100"/>
              <w:bottom w:type="dxa" w:w="60"/>
              <w:right w:type="dxa" w:w="100"/>
            </w:tcMar>
            <w:vAlign w:val="center"/>
          </w:tcPr>
          <w:p>
            <w:r>
              <w:rPr>
                <w:sz w:val="18"/>
                <w:szCs w:val="18"/>
              </w:rPr>
              <w:t xml:space="preserve">Full, custom-built (D3)</w:t>
            </w:r>
          </w:p>
        </w:tc>
        <w:tc>
          <w:tcPr>
            <w:tcW w:type="dxa" w:w="2016"/>
            <w:tcMar>
              <w:top w:type="dxa" w:w="60"/>
              <w:left w:type="dxa" w:w="100"/>
              <w:bottom w:type="dxa" w:w="60"/>
              <w:right w:type="dxa" w:w="100"/>
            </w:tcMar>
            <w:vAlign w:val="center"/>
          </w:tcPr>
          <w:p>
            <w:r>
              <w:rPr>
                <w:sz w:val="18"/>
                <w:szCs w:val="18"/>
              </w:rPr>
              <w:t xml:space="preserve">Included ("Discipline": investigator assignment, case workflows)</w:t>
            </w:r>
          </w:p>
        </w:tc>
        <w:tc>
          <w:tcPr>
            <w:tcW w:type="dxa" w:w="2016"/>
            <w:tcMar>
              <w:top w:type="dxa" w:w="60"/>
              <w:left w:type="dxa" w:w="100"/>
              <w:bottom w:type="dxa" w:w="60"/>
              <w:right w:type="dxa" w:w="100"/>
            </w:tcMar>
            <w:vAlign w:val="center"/>
          </w:tcPr>
          <w:p>
            <w:r>
              <w:rPr>
                <w:sz w:val="18"/>
                <w:szCs w:val="18"/>
              </w:rPr>
              <w:t xml:space="preserve">Not found in fetched plan data</w:t>
            </w:r>
          </w:p>
        </w:tc>
        <w:tc>
          <w:tcPr>
            <w:tcW w:type="dxa" w:w="2016"/>
            <w:tcMar>
              <w:top w:type="dxa" w:w="60"/>
              <w:left w:type="dxa" w:w="100"/>
              <w:bottom w:type="dxa" w:w="60"/>
              <w:right w:type="dxa" w:w="100"/>
            </w:tcMar>
            <w:vAlign w:val="center"/>
          </w:tcPr>
          <w:p>
            <w:r>
              <w:rPr>
                <w:sz w:val="18"/>
                <w:szCs w:val="18"/>
              </w:rPr>
              <w:t xml:space="preserve">Not found in fetched plan data</w:t>
            </w:r>
          </w:p>
        </w:tc>
      </w:tr>
      <w:tr>
        <w:trPr>
          <w:tblHeader w:val="false"/>
        </w:trPr>
        <w:tc>
          <w:tcPr>
            <w:tcW w:type="dxa" w:w="2016"/>
            <w:tcMar>
              <w:top w:type="dxa" w:w="60"/>
              <w:left w:type="dxa" w:w="100"/>
              <w:bottom w:type="dxa" w:w="60"/>
              <w:right w:type="dxa" w:w="100"/>
            </w:tcMar>
            <w:vAlign w:val="center"/>
          </w:tcPr>
          <w:p>
            <w:r>
              <w:rPr>
                <w:b/>
                <w:bCs/>
                <w:sz w:val="18"/>
                <w:szCs w:val="18"/>
              </w:rPr>
              <w:t xml:space="preserve">Employee Voice / grievance &amp; whistleblower reporting</w:t>
            </w:r>
            <w:r>
              <w:rPr>
                <w:sz w:val="18"/>
                <w:szCs w:val="18"/>
              </w:rPr>
              <w:t xml:space="preserve"> (employee-initiated, potentially anonymous, distinct from employer-initiated Discipline)</w:t>
            </w:r>
          </w:p>
        </w:tc>
        <w:tc>
          <w:tcPr>
            <w:tcW w:type="dxa" w:w="2016"/>
            <w:tcMar>
              <w:top w:type="dxa" w:w="60"/>
              <w:left w:type="dxa" w:w="100"/>
              <w:bottom w:type="dxa" w:w="60"/>
              <w:right w:type="dxa" w:w="100"/>
            </w:tcMar>
            <w:vAlign w:val="center"/>
          </w:tcPr>
          <w:p>
            <w:r>
              <w:rPr>
                <w:b/>
                <w:bCs/>
                <w:sz w:val="18"/>
                <w:szCs w:val="18"/>
              </w:rPr>
              <w:t xml:space="preserve">Resolved this iteration, deliberately simplified per SI's direction</w:t>
            </w:r>
            <w:r>
              <w:rPr>
                <w:sz w:val="18"/>
                <w:szCs w:val="18"/>
              </w:rPr>
              <w:t xml:space="preserve"> — a confidential, restricted-handler, optionally-anonymous ticket category on Helpdesk (F4), not a full standalone case-management module</w:t>
            </w:r>
          </w:p>
        </w:tc>
        <w:tc>
          <w:tcPr>
            <w:tcW w:type="dxa" w:w="2016"/>
            <w:tcMar>
              <w:top w:type="dxa" w:w="60"/>
              <w:left w:type="dxa" w:w="100"/>
              <w:bottom w:type="dxa" w:w="60"/>
              <w:right w:type="dxa" w:w="100"/>
            </w:tcMar>
            <w:vAlign w:val="center"/>
          </w:tcPr>
          <w:p>
            <w:r>
              <w:rPr>
                <w:sz w:val="18"/>
                <w:szCs w:val="18"/>
              </w:rPr>
              <w:t xml:space="preserve">Included ("Employee Voice": configurable grievance types, secure/anonymous submission, resolution workflows)</w:t>
            </w:r>
          </w:p>
        </w:tc>
        <w:tc>
          <w:tcPr>
            <w:tcW w:type="dxa" w:w="2016"/>
            <w:tcMar>
              <w:top w:type="dxa" w:w="60"/>
              <w:left w:type="dxa" w:w="100"/>
              <w:bottom w:type="dxa" w:w="60"/>
              <w:right w:type="dxa" w:w="100"/>
            </w:tcMar>
            <w:vAlign w:val="center"/>
          </w:tcPr>
          <w:p>
            <w:r>
              <w:rPr>
                <w:sz w:val="18"/>
                <w:szCs w:val="18"/>
              </w:rPr>
              <w:t xml:space="preserve">Not found in fetched plan data</w:t>
            </w:r>
          </w:p>
        </w:tc>
        <w:tc>
          <w:tcPr>
            <w:tcW w:type="dxa" w:w="2016"/>
            <w:tcMar>
              <w:top w:type="dxa" w:w="60"/>
              <w:left w:type="dxa" w:w="100"/>
              <w:bottom w:type="dxa" w:w="60"/>
              <w:right w:type="dxa" w:w="100"/>
            </w:tcMar>
            <w:vAlign w:val="center"/>
          </w:tcPr>
          <w:p>
            <w:r>
              <w:rPr>
                <w:sz w:val="18"/>
                <w:szCs w:val="18"/>
              </w:rPr>
              <w:t xml:space="preserve">Not found in fetched plan data</w:t>
            </w:r>
          </w:p>
        </w:tc>
      </w:tr>
      <w:tr>
        <w:trPr>
          <w:tblHeader w:val="false"/>
        </w:trPr>
        <w:tc>
          <w:tcPr>
            <w:tcW w:type="dxa" w:w="2016"/>
            <w:tcMar>
              <w:top w:type="dxa" w:w="60"/>
              <w:left w:type="dxa" w:w="100"/>
              <w:bottom w:type="dxa" w:w="60"/>
              <w:right w:type="dxa" w:w="100"/>
            </w:tcMar>
            <w:vAlign w:val="center"/>
          </w:tcPr>
          <w:p>
            <w:r>
              <w:rPr>
                <w:sz w:val="18"/>
                <w:szCs w:val="18"/>
              </w:rPr>
              <w:t xml:space="preserve">HR/IT request or case management with SLA tracking</w:t>
            </w:r>
          </w:p>
        </w:tc>
        <w:tc>
          <w:tcPr>
            <w:tcW w:type="dxa" w:w="2016"/>
            <w:tcMar>
              <w:top w:type="dxa" w:w="60"/>
              <w:left w:type="dxa" w:w="100"/>
              <w:bottom w:type="dxa" w:w="60"/>
              <w:right w:type="dxa" w:w="100"/>
            </w:tcMar>
            <w:vAlign w:val="center"/>
          </w:tcPr>
          <w:p>
            <w:r>
              <w:rPr>
                <w:sz w:val="18"/>
                <w:szCs w:val="18"/>
              </w:rPr>
              <w:t xml:space="preserve">Full, but no SLA tracking (F4 Helpdesk)</w:t>
            </w:r>
          </w:p>
        </w:tc>
        <w:tc>
          <w:tcPr>
            <w:tcW w:type="dxa" w:w="2016"/>
            <w:tcMar>
              <w:top w:type="dxa" w:w="60"/>
              <w:left w:type="dxa" w:w="100"/>
              <w:bottom w:type="dxa" w:w="60"/>
              <w:right w:type="dxa" w:w="100"/>
            </w:tcMar>
            <w:vAlign w:val="center"/>
          </w:tcPr>
          <w:p>
            <w:r>
              <w:rPr>
                <w:sz w:val="18"/>
                <w:szCs w:val="18"/>
              </w:rPr>
              <w:t xml:space="preserve">Included ("Request Desk": hiring requisitions, resignation requests, IT queries, unified workflow)</w:t>
            </w:r>
          </w:p>
        </w:tc>
        <w:tc>
          <w:tcPr>
            <w:tcW w:type="dxa" w:w="2016"/>
            <w:tcMar>
              <w:top w:type="dxa" w:w="60"/>
              <w:left w:type="dxa" w:w="100"/>
              <w:bottom w:type="dxa" w:w="60"/>
              <w:right w:type="dxa" w:w="100"/>
            </w:tcMar>
            <w:vAlign w:val="center"/>
          </w:tcPr>
          <w:p>
            <w:r>
              <w:rPr>
                <w:sz w:val="18"/>
                <w:szCs w:val="18"/>
              </w:rPr>
              <w:t xml:space="preserve">Not found in fetched plan data</w:t>
            </w:r>
          </w:p>
        </w:tc>
        <w:tc>
          <w:tcPr>
            <w:tcW w:type="dxa" w:w="2016"/>
            <w:tcMar>
              <w:top w:type="dxa" w:w="60"/>
              <w:left w:type="dxa" w:w="100"/>
              <w:bottom w:type="dxa" w:w="60"/>
              <w:right w:type="dxa" w:w="100"/>
            </w:tcMar>
            <w:vAlign w:val="center"/>
          </w:tcPr>
          <w:p>
            <w:r>
              <w:rPr>
                <w:sz w:val="18"/>
                <w:szCs w:val="18"/>
              </w:rPr>
              <w:t xml:space="preserve">SLA tracking on Cases — </w:t>
            </w:r>
            <w:r>
              <w:rPr>
                <w:b/>
                <w:bCs/>
                <w:sz w:val="18"/>
                <w:szCs w:val="18"/>
              </w:rPr>
              <w:t xml:space="preserve">Enterprise tier only</w:t>
            </w:r>
          </w:p>
        </w:tc>
      </w:tr>
      <w:tr>
        <w:trPr>
          <w:tblHeader w:val="false"/>
        </w:trPr>
        <w:tc>
          <w:tcPr>
            <w:tcW w:type="dxa" w:w="2016"/>
            <w:tcMar>
              <w:top w:type="dxa" w:w="60"/>
              <w:left w:type="dxa" w:w="100"/>
              <w:bottom w:type="dxa" w:w="60"/>
              <w:right w:type="dxa" w:w="100"/>
            </w:tcMar>
            <w:vAlign w:val="center"/>
          </w:tcPr>
          <w:p>
            <w:r>
              <w:rPr>
                <w:b/>
                <w:bCs/>
                <w:sz w:val="18"/>
                <w:szCs w:val="18"/>
              </w:rPr>
              <w:t xml:space="preserve">Employee engagement / pulse surveys</w:t>
            </w:r>
            <w:r>
              <w:rPr>
                <w:sz w:val="18"/>
                <w:szCs w:val="18"/>
              </w:rPr>
              <w:t xml:space="preserve"> (eNPS, pulse, custom surveys with reporting)</w:t>
            </w:r>
          </w:p>
        </w:tc>
        <w:tc>
          <w:tcPr>
            <w:tcW w:type="dxa" w:w="2016"/>
            <w:tcMar>
              <w:top w:type="dxa" w:w="60"/>
              <w:left w:type="dxa" w:w="100"/>
              <w:bottom w:type="dxa" w:w="60"/>
              <w:right w:type="dxa" w:w="100"/>
            </w:tcMar>
            <w:vAlign w:val="center"/>
          </w:tcPr>
          <w:p>
            <w:r>
              <w:rPr>
                <w:b/>
                <w:bCs/>
                <w:sz w:val="18"/>
                <w:szCs w:val="18"/>
              </w:rPr>
              <w:t xml:space="preserve">Resolved this iteration</w:t>
            </w:r>
            <w:r>
              <w:rPr>
                <w:sz w:val="18"/>
                <w:szCs w:val="18"/>
              </w:rPr>
              <w:t xml:space="preserve"> — new Employee Engagement &amp; Pulse Surveys module (F8), with 360°-style anonymization and automatic eNPS scoring</w:t>
            </w:r>
          </w:p>
        </w:tc>
        <w:tc>
          <w:tcPr>
            <w:tcW w:type="dxa" w:w="2016"/>
            <w:tcMar>
              <w:top w:type="dxa" w:w="60"/>
              <w:left w:type="dxa" w:w="100"/>
              <w:bottom w:type="dxa" w:w="60"/>
              <w:right w:type="dxa" w:w="100"/>
            </w:tcMar>
            <w:vAlign w:val="center"/>
          </w:tcPr>
          <w:p>
            <w:r>
              <w:rPr>
                <w:sz w:val="18"/>
                <w:szCs w:val="18"/>
              </w:rPr>
              <w:t xml:space="preserve">Included ("Surveys": creation, targeted distribution, reporting)</w:t>
            </w:r>
          </w:p>
        </w:tc>
        <w:tc>
          <w:tcPr>
            <w:tcW w:type="dxa" w:w="2016"/>
            <w:tcMar>
              <w:top w:type="dxa" w:w="60"/>
              <w:left w:type="dxa" w:w="100"/>
              <w:bottom w:type="dxa" w:w="60"/>
              <w:right w:type="dxa" w:w="100"/>
            </w:tcMar>
            <w:vAlign w:val="center"/>
          </w:tcPr>
          <w:p>
            <w:r>
              <w:rPr>
                <w:sz w:val="18"/>
                <w:szCs w:val="18"/>
              </w:rPr>
              <w:t xml:space="preserve">Included even at Core tier ("Employee Satisfaction with eNPS")</w:t>
            </w:r>
          </w:p>
        </w:tc>
        <w:tc>
          <w:tcPr>
            <w:tcW w:type="dxa" w:w="2016"/>
            <w:tcMar>
              <w:top w:type="dxa" w:w="60"/>
              <w:left w:type="dxa" w:w="100"/>
              <w:bottom w:type="dxa" w:w="60"/>
              <w:right w:type="dxa" w:w="100"/>
            </w:tcMar>
            <w:vAlign w:val="center"/>
          </w:tcPr>
          <w:p>
            <w:r>
              <w:rPr>
                <w:sz w:val="18"/>
                <w:szCs w:val="18"/>
              </w:rPr>
              <w:t xml:space="preserve">Included (Premium: eNPS, pulse, engagement surveys)</w:t>
            </w:r>
          </w:p>
        </w:tc>
      </w:tr>
      <w:tr>
        <w:trPr>
          <w:tblHeader w:val="false"/>
        </w:trPr>
        <w:tc>
          <w:tcPr>
            <w:tcW w:type="dxa" w:w="2016"/>
            <w:tcMar>
              <w:top w:type="dxa" w:w="60"/>
              <w:left w:type="dxa" w:w="100"/>
              <w:bottom w:type="dxa" w:w="60"/>
              <w:right w:type="dxa" w:w="100"/>
            </w:tcMar>
            <w:vAlign w:val="center"/>
          </w:tcPr>
          <w:p>
            <w:r>
              <w:rPr>
                <w:sz w:val="18"/>
                <w:szCs w:val="18"/>
              </w:rPr>
              <w:t xml:space="preserve">Internal social feed / community</w:t>
            </w:r>
          </w:p>
        </w:tc>
        <w:tc>
          <w:tcPr>
            <w:tcW w:type="dxa" w:w="2016"/>
            <w:tcMar>
              <w:top w:type="dxa" w:w="60"/>
              <w:left w:type="dxa" w:w="100"/>
              <w:bottom w:type="dxa" w:w="60"/>
              <w:right w:type="dxa" w:w="100"/>
            </w:tcMar>
            <w:vAlign w:val="center"/>
          </w:tcPr>
          <w:p>
            <w:r>
              <w:rPr>
                <w:sz w:val="18"/>
                <w:szCs w:val="18"/>
              </w:rPr>
              <w:t xml:space="preserve">Full, custom-built (F1 Buzz)</w:t>
            </w:r>
          </w:p>
        </w:tc>
        <w:tc>
          <w:tcPr>
            <w:tcW w:type="dxa" w:w="2016"/>
            <w:tcMar>
              <w:top w:type="dxa" w:w="60"/>
              <w:left w:type="dxa" w:w="100"/>
              <w:bottom w:type="dxa" w:w="60"/>
              <w:right w:type="dxa" w:w="100"/>
            </w:tcMar>
            <w:vAlign w:val="center"/>
          </w:tcPr>
          <w:p>
            <w:r>
              <w:rPr>
                <w:sz w:val="18"/>
                <w:szCs w:val="18"/>
              </w:rPr>
              <w:t xml:space="preserve">Not found in fetched plan data</w:t>
            </w:r>
          </w:p>
        </w:tc>
        <w:tc>
          <w:tcPr>
            <w:tcW w:type="dxa" w:w="2016"/>
            <w:tcMar>
              <w:top w:type="dxa" w:w="60"/>
              <w:left w:type="dxa" w:w="100"/>
              <w:bottom w:type="dxa" w:w="60"/>
              <w:right w:type="dxa" w:w="100"/>
            </w:tcMar>
            <w:vAlign w:val="center"/>
          </w:tcPr>
          <w:p>
            <w:r>
              <w:rPr>
                <w:sz w:val="18"/>
                <w:szCs w:val="18"/>
              </w:rPr>
              <w:t xml:space="preserve">Included (Pro: "Employee Community")</w:t>
            </w:r>
          </w:p>
        </w:tc>
        <w:tc>
          <w:tcPr>
            <w:tcW w:type="dxa" w:w="2016"/>
            <w:tcMar>
              <w:top w:type="dxa" w:w="60"/>
              <w:left w:type="dxa" w:w="100"/>
              <w:bottom w:type="dxa" w:w="60"/>
              <w:right w:type="dxa" w:w="100"/>
            </w:tcMar>
            <w:vAlign w:val="center"/>
          </w:tcPr>
          <w:p>
            <w:r>
              <w:rPr>
                <w:sz w:val="18"/>
                <w:szCs w:val="18"/>
              </w:rPr>
              <w:t xml:space="preserve">Not found in fetched plan data</w:t>
            </w:r>
          </w:p>
        </w:tc>
      </w:tr>
      <w:tr>
        <w:trPr>
          <w:tblHeader w:val="false"/>
        </w:trPr>
        <w:tc>
          <w:tcPr>
            <w:tcW w:type="dxa" w:w="2016"/>
            <w:tcMar>
              <w:top w:type="dxa" w:w="60"/>
              <w:left w:type="dxa" w:w="100"/>
              <w:bottom w:type="dxa" w:w="60"/>
              <w:right w:type="dxa" w:w="100"/>
            </w:tcMar>
            <w:vAlign w:val="center"/>
          </w:tcPr>
          <w:p>
            <w:r>
              <w:rPr>
                <w:b/>
                <w:bCs/>
                <w:sz w:val="18"/>
                <w:szCs w:val="18"/>
              </w:rPr>
              <w:t xml:space="preserve">Peer recognition &amp; rewards</w:t>
            </w:r>
            <w:r>
              <w:rPr>
                <w:sz w:val="18"/>
                <w:szCs w:val="18"/>
              </w:rPr>
              <w:t xml:space="preserve"> (points-based, badges)</w:t>
            </w:r>
          </w:p>
        </w:tc>
        <w:tc>
          <w:tcPr>
            <w:tcW w:type="dxa" w:w="2016"/>
            <w:tcMar>
              <w:top w:type="dxa" w:w="60"/>
              <w:left w:type="dxa" w:w="100"/>
              <w:bottom w:type="dxa" w:w="60"/>
              <w:right w:type="dxa" w:w="100"/>
            </w:tcMar>
            <w:vAlign w:val="center"/>
          </w:tcPr>
          <w:p>
            <w:r>
              <w:rPr>
                <w:b/>
                <w:bCs/>
                <w:sz w:val="18"/>
                <w:szCs w:val="18"/>
              </w:rPr>
              <w:t xml:space="preserve">Not specified</w:t>
            </w:r>
            <w:r>
              <w:rPr>
                <w:sz w:val="18"/>
                <w:szCs w:val="18"/>
              </w:rPr>
              <w:t xml:space="preserve"> — Buzz has likes/comments only, no formal recognition program (F1)</w:t>
            </w:r>
          </w:p>
        </w:tc>
        <w:tc>
          <w:tcPr>
            <w:tcW w:type="dxa" w:w="2016"/>
            <w:tcMar>
              <w:top w:type="dxa" w:w="60"/>
              <w:left w:type="dxa" w:w="100"/>
              <w:bottom w:type="dxa" w:w="60"/>
              <w:right w:type="dxa" w:w="100"/>
            </w:tcMar>
            <w:vAlign w:val="center"/>
          </w:tcPr>
          <w:p>
            <w:r>
              <w:rPr>
                <w:sz w:val="18"/>
                <w:szCs w:val="18"/>
              </w:rPr>
              <w:t xml:space="preserve">Not found in fetched plan data</w:t>
            </w:r>
          </w:p>
        </w:tc>
        <w:tc>
          <w:tcPr>
            <w:tcW w:type="dxa" w:w="2016"/>
            <w:tcMar>
              <w:top w:type="dxa" w:w="60"/>
              <w:left w:type="dxa" w:w="100"/>
              <w:bottom w:type="dxa" w:w="60"/>
              <w:right w:type="dxa" w:w="100"/>
            </w:tcMar>
            <w:vAlign w:val="center"/>
          </w:tcPr>
          <w:p>
            <w:r>
              <w:rPr>
                <w:b/>
                <w:bCs/>
                <w:sz w:val="18"/>
                <w:szCs w:val="18"/>
              </w:rPr>
              <w:t xml:space="preserve">Included (Pro: Recognition &amp; Rewards)</w:t>
            </w:r>
          </w:p>
        </w:tc>
        <w:tc>
          <w:tcPr>
            <w:tcW w:type="dxa" w:w="2016"/>
            <w:tcMar>
              <w:top w:type="dxa" w:w="60"/>
              <w:left w:type="dxa" w:w="100"/>
              <w:bottom w:type="dxa" w:w="60"/>
              <w:right w:type="dxa" w:w="100"/>
            </w:tcMar>
            <w:vAlign w:val="center"/>
          </w:tcPr>
          <w:p>
            <w:r>
              <w:rPr>
                <w:sz w:val="18"/>
                <w:szCs w:val="18"/>
              </w:rPr>
              <w:t xml:space="preserve">Not found in fetched plan data</w:t>
            </w:r>
          </w:p>
        </w:tc>
      </w:tr>
      <w:tr>
        <w:trPr>
          <w:tblHeader w:val="false"/>
        </w:trPr>
        <w:tc>
          <w:tcPr>
            <w:tcW w:type="dxa" w:w="2016"/>
            <w:tcMar>
              <w:top w:type="dxa" w:w="60"/>
              <w:left w:type="dxa" w:w="100"/>
              <w:bottom w:type="dxa" w:w="60"/>
              <w:right w:type="dxa" w:w="100"/>
            </w:tcMar>
            <w:vAlign w:val="center"/>
          </w:tcPr>
          <w:p>
            <w:r>
              <w:rPr>
                <w:b/>
                <w:bCs/>
                <w:sz w:val="18"/>
                <w:szCs w:val="18"/>
              </w:rPr>
              <w:t xml:space="preserve">Compensation management</w:t>
            </w:r>
            <w:r>
              <w:rPr>
                <w:sz w:val="18"/>
                <w:szCs w:val="18"/>
              </w:rPr>
              <w:t xml:space="preserve"> (salary revision approval workflow, revision letters, historical compensation reporting — beyond simply storing current salary)</w:t>
            </w:r>
          </w:p>
        </w:tc>
        <w:tc>
          <w:tcPr>
            <w:tcW w:type="dxa" w:w="2016"/>
            <w:tcMar>
              <w:top w:type="dxa" w:w="60"/>
              <w:left w:type="dxa" w:w="100"/>
              <w:bottom w:type="dxa" w:w="60"/>
              <w:right w:type="dxa" w:w="100"/>
            </w:tcMar>
            <w:vAlign w:val="center"/>
          </w:tcPr>
          <w:p>
            <w:r>
              <w:rPr>
                <w:b/>
                <w:bCs/>
                <w:sz w:val="18"/>
                <w:szCs w:val="18"/>
              </w:rPr>
              <w:t xml:space="preserve">Not specified</w:t>
            </w:r>
            <w:r>
              <w:rPr>
                <w:sz w:val="18"/>
                <w:szCs w:val="18"/>
              </w:rPr>
              <w:t xml:space="preserve"> — PIM stores salary line items with no revision workflow (B2)</w:t>
            </w:r>
          </w:p>
        </w:tc>
        <w:tc>
          <w:tcPr>
            <w:tcW w:type="dxa" w:w="2016"/>
            <w:tcMar>
              <w:top w:type="dxa" w:w="60"/>
              <w:left w:type="dxa" w:w="100"/>
              <w:bottom w:type="dxa" w:w="60"/>
              <w:right w:type="dxa" w:w="100"/>
            </w:tcMar>
            <w:vAlign w:val="center"/>
          </w:tcPr>
          <w:p>
            <w:r>
              <w:rPr>
                <w:sz w:val="18"/>
                <w:szCs w:val="18"/>
              </w:rPr>
              <w:t xml:space="preserve">Partial (Payroll Connector only)</w:t>
            </w:r>
          </w:p>
        </w:tc>
        <w:tc>
          <w:tcPr>
            <w:tcW w:type="dxa" w:w="2016"/>
            <w:tcMar>
              <w:top w:type="dxa" w:w="60"/>
              <w:left w:type="dxa" w:w="100"/>
              <w:bottom w:type="dxa" w:w="60"/>
              <w:right w:type="dxa" w:w="100"/>
            </w:tcMar>
            <w:vAlign w:val="center"/>
          </w:tcPr>
          <w:p>
            <w:r>
              <w:rPr>
                <w:sz w:val="18"/>
                <w:szCs w:val="18"/>
              </w:rPr>
              <w:t xml:space="preserve">Not explicitly itemized beyond benefits tracking</w:t>
            </w:r>
          </w:p>
        </w:tc>
        <w:tc>
          <w:tcPr>
            <w:tcW w:type="dxa" w:w="2016"/>
            <w:tcMar>
              <w:top w:type="dxa" w:w="60"/>
              <w:left w:type="dxa" w:w="100"/>
              <w:bottom w:type="dxa" w:w="60"/>
              <w:right w:type="dxa" w:w="100"/>
            </w:tcMar>
            <w:vAlign w:val="center"/>
          </w:tcPr>
          <w:p>
            <w:r>
              <w:rPr>
                <w:b/>
                <w:bCs/>
                <w:sz w:val="18"/>
                <w:szCs w:val="18"/>
              </w:rPr>
              <w:t xml:space="preserve">Included (Premium: salary/benefit revisions with approvals, revision letters, historical reports)</w:t>
            </w:r>
          </w:p>
        </w:tc>
      </w:tr>
      <w:tr>
        <w:trPr>
          <w:tblHeader w:val="false"/>
        </w:trPr>
        <w:tc>
          <w:tcPr>
            <w:tcW w:type="dxa" w:w="2016"/>
            <w:tcMar>
              <w:top w:type="dxa" w:w="60"/>
              <w:left w:type="dxa" w:w="100"/>
              <w:bottom w:type="dxa" w:w="60"/>
              <w:right w:type="dxa" w:w="100"/>
            </w:tcMar>
            <w:vAlign w:val="center"/>
          </w:tcPr>
          <w:p>
            <w:r>
              <w:rPr>
                <w:b/>
                <w:bCs/>
                <w:sz w:val="18"/>
                <w:szCs w:val="18"/>
              </w:rPr>
              <w:t xml:space="preserve">Benefits administration/tracking</w:t>
            </w:r>
            <w:r>
              <w:rPr>
                <w:sz w:val="18"/>
                <w:szCs w:val="18"/>
              </w:rPr>
              <w:t xml:space="preserve"> (health, retirement, open enrollment)</w:t>
            </w:r>
          </w:p>
        </w:tc>
        <w:tc>
          <w:tcPr>
            <w:tcW w:type="dxa" w:w="2016"/>
            <w:tcMar>
              <w:top w:type="dxa" w:w="60"/>
              <w:left w:type="dxa" w:w="100"/>
              <w:bottom w:type="dxa" w:w="60"/>
              <w:right w:type="dxa" w:w="100"/>
            </w:tcMar>
            <w:vAlign w:val="center"/>
          </w:tcPr>
          <w:p>
            <w:r>
              <w:rPr>
                <w:b/>
                <w:bCs/>
                <w:sz w:val="18"/>
                <w:szCs w:val="18"/>
              </w:rPr>
              <w:t xml:space="preserve">Not specified anywhere in the system</w:t>
            </w:r>
          </w:p>
        </w:tc>
        <w:tc>
          <w:tcPr>
            <w:tcW w:type="dxa" w:w="2016"/>
            <w:tcMar>
              <w:top w:type="dxa" w:w="60"/>
              <w:left w:type="dxa" w:w="100"/>
              <w:bottom w:type="dxa" w:w="60"/>
              <w:right w:type="dxa" w:w="100"/>
            </w:tcMar>
            <w:vAlign w:val="center"/>
          </w:tcPr>
          <w:p>
            <w:r>
              <w:rPr>
                <w:sz w:val="18"/>
                <w:szCs w:val="18"/>
              </w:rPr>
              <w:t xml:space="preserve">Not explicitly itemized</w:t>
            </w:r>
          </w:p>
        </w:tc>
        <w:tc>
          <w:tcPr>
            <w:tcW w:type="dxa" w:w="2016"/>
            <w:tcMar>
              <w:top w:type="dxa" w:w="60"/>
              <w:left w:type="dxa" w:w="100"/>
              <w:bottom w:type="dxa" w:w="60"/>
              <w:right w:type="dxa" w:w="100"/>
            </w:tcMar>
            <w:vAlign w:val="center"/>
          </w:tcPr>
          <w:p>
            <w:r>
              <w:rPr>
                <w:b/>
                <w:bCs/>
                <w:sz w:val="18"/>
                <w:szCs w:val="18"/>
              </w:rPr>
              <w:t xml:space="preserve">Included: tracking (Core); full admin/open enrollment is a paid add-on</w:t>
            </w:r>
          </w:p>
        </w:tc>
        <w:tc>
          <w:tcPr>
            <w:tcW w:type="dxa" w:w="2016"/>
            <w:tcMar>
              <w:top w:type="dxa" w:w="60"/>
              <w:left w:type="dxa" w:w="100"/>
              <w:bottom w:type="dxa" w:w="60"/>
              <w:right w:type="dxa" w:w="100"/>
            </w:tcMar>
            <w:vAlign w:val="center"/>
          </w:tcPr>
          <w:p>
            <w:r>
              <w:rPr>
                <w:sz w:val="18"/>
                <w:szCs w:val="18"/>
              </w:rPr>
              <w:t xml:space="preserve">Not explicitly itemized in fetched plan data</w:t>
            </w:r>
          </w:p>
        </w:tc>
      </w:tr>
      <w:tr>
        <w:trPr>
          <w:tblHeader w:val="false"/>
        </w:trPr>
        <w:tc>
          <w:tcPr>
            <w:tcW w:type="dxa" w:w="2016"/>
            <w:tcMar>
              <w:top w:type="dxa" w:w="60"/>
              <w:left w:type="dxa" w:w="100"/>
              <w:bottom w:type="dxa" w:w="60"/>
              <w:right w:type="dxa" w:w="100"/>
            </w:tcMar>
            <w:vAlign w:val="center"/>
          </w:tcPr>
          <w:p>
            <w:r>
              <w:rPr>
                <w:sz w:val="18"/>
                <w:szCs w:val="18"/>
              </w:rPr>
              <w:t xml:space="preserve">Native payroll processing</w:t>
            </w:r>
          </w:p>
        </w:tc>
        <w:tc>
          <w:tcPr>
            <w:tcW w:type="dxa" w:w="2016"/>
            <w:tcMar>
              <w:top w:type="dxa" w:w="60"/>
              <w:left w:type="dxa" w:w="100"/>
              <w:bottom w:type="dxa" w:w="60"/>
              <w:right w:type="dxa" w:w="100"/>
            </w:tcMar>
            <w:vAlign w:val="center"/>
          </w:tcPr>
          <w:p>
            <w:r>
              <w:rPr>
                <w:b/>
                <w:bCs/>
                <w:sz w:val="18"/>
                <w:szCs w:val="18"/>
              </w:rPr>
              <w:t xml:space="preserve">Not specified</w:t>
            </w:r>
            <w:r>
              <w:rPr>
                <w:sz w:val="18"/>
                <w:szCs w:val="18"/>
              </w:rPr>
              <w:t xml:space="preserve"> (by design — see Section 4, Domain E note; matches reference system)</w:t>
            </w:r>
          </w:p>
        </w:tc>
        <w:tc>
          <w:tcPr>
            <w:tcW w:type="dxa" w:w="2016"/>
            <w:tcMar>
              <w:top w:type="dxa" w:w="60"/>
              <w:left w:type="dxa" w:w="100"/>
              <w:bottom w:type="dxa" w:w="60"/>
              <w:right w:type="dxa" w:w="100"/>
            </w:tcMar>
            <w:vAlign w:val="center"/>
          </w:tcPr>
          <w:p>
            <w:r>
              <w:rPr>
                <w:sz w:val="18"/>
                <w:szCs w:val="18"/>
              </w:rPr>
              <w:t xml:space="preserve">Not native — </w:t>
            </w:r>
            <w:r>
              <w:rPr>
                <w:b/>
                <w:bCs/>
                <w:sz w:val="18"/>
                <w:szCs w:val="18"/>
              </w:rPr>
              <w:t xml:space="preserve">Payroll Connector</w:t>
            </w:r>
            <w:r>
              <w:rPr>
                <w:sz w:val="18"/>
                <w:szCs w:val="18"/>
              </w:rPr>
              <w:t xml:space="preserve"> (third-party integration) only</w:t>
            </w:r>
          </w:p>
        </w:tc>
        <w:tc>
          <w:tcPr>
            <w:tcW w:type="dxa" w:w="2016"/>
            <w:tcMar>
              <w:top w:type="dxa" w:w="60"/>
              <w:left w:type="dxa" w:w="100"/>
              <w:bottom w:type="dxa" w:w="60"/>
              <w:right w:type="dxa" w:w="100"/>
            </w:tcMar>
            <w:vAlign w:val="center"/>
          </w:tcPr>
          <w:p>
            <w:r>
              <w:rPr>
                <w:sz w:val="18"/>
                <w:szCs w:val="18"/>
              </w:rPr>
              <w:t xml:space="preserve">Not native — </w:t>
            </w:r>
            <w:r>
              <w:rPr>
                <w:b/>
                <w:bCs/>
                <w:sz w:val="18"/>
                <w:szCs w:val="18"/>
              </w:rPr>
              <w:t xml:space="preserve">separate paid add-on</w:t>
            </w:r>
          </w:p>
        </w:tc>
        <w:tc>
          <w:tcPr>
            <w:tcW w:type="dxa" w:w="2016"/>
            <w:tcMar>
              <w:top w:type="dxa" w:w="60"/>
              <w:left w:type="dxa" w:w="100"/>
              <w:bottom w:type="dxa" w:w="60"/>
              <w:right w:type="dxa" w:w="100"/>
            </w:tcMar>
            <w:vAlign w:val="center"/>
          </w:tcPr>
          <w:p>
            <w:r>
              <w:rPr>
                <w:sz w:val="18"/>
                <w:szCs w:val="18"/>
              </w:rPr>
              <w:t xml:space="preserve">Not native (separate Zoho Payroll product)</w:t>
            </w:r>
          </w:p>
        </w:tc>
      </w:tr>
      <w:tr>
        <w:trPr>
          <w:tblHeader w:val="false"/>
        </w:trPr>
        <w:tc>
          <w:tcPr>
            <w:tcW w:type="dxa" w:w="2016"/>
            <w:tcMar>
              <w:top w:type="dxa" w:w="60"/>
              <w:left w:type="dxa" w:w="100"/>
              <w:bottom w:type="dxa" w:w="60"/>
              <w:right w:type="dxa" w:w="100"/>
            </w:tcMar>
            <w:vAlign w:val="center"/>
          </w:tcPr>
          <w:p>
            <w:r>
              <w:rPr>
                <w:b/>
                <w:bCs/>
                <w:sz w:val="18"/>
                <w:szCs w:val="18"/>
              </w:rPr>
              <w:t xml:space="preserve">On-demand pay / earned wage access</w:t>
            </w:r>
          </w:p>
        </w:tc>
        <w:tc>
          <w:tcPr>
            <w:tcW w:type="dxa" w:w="2016"/>
            <w:tcMar>
              <w:top w:type="dxa" w:w="60"/>
              <w:left w:type="dxa" w:w="100"/>
              <w:bottom w:type="dxa" w:w="60"/>
              <w:right w:type="dxa" w:w="100"/>
            </w:tcMar>
            <w:vAlign w:val="center"/>
          </w:tcPr>
          <w:p>
            <w:r>
              <w:rPr>
                <w:b/>
                <w:bCs/>
                <w:sz w:val="18"/>
                <w:szCs w:val="18"/>
              </w:rPr>
              <w:t xml:space="preserve">Not specified</w:t>
            </w:r>
          </w:p>
        </w:tc>
        <w:tc>
          <w:tcPr>
            <w:tcW w:type="dxa" w:w="2016"/>
            <w:tcMar>
              <w:top w:type="dxa" w:w="60"/>
              <w:left w:type="dxa" w:w="100"/>
              <w:bottom w:type="dxa" w:w="60"/>
              <w:right w:type="dxa" w:w="100"/>
            </w:tcMar>
            <w:vAlign w:val="center"/>
          </w:tcPr>
          <w:p>
            <w:r>
              <w:rPr>
                <w:sz w:val="18"/>
                <w:szCs w:val="18"/>
              </w:rPr>
              <w:t xml:space="preserve">Not found in fetched plan data</w:t>
            </w:r>
          </w:p>
        </w:tc>
        <w:tc>
          <w:tcPr>
            <w:tcW w:type="dxa" w:w="2016"/>
            <w:tcMar>
              <w:top w:type="dxa" w:w="60"/>
              <w:left w:type="dxa" w:w="100"/>
              <w:bottom w:type="dxa" w:w="60"/>
              <w:right w:type="dxa" w:w="100"/>
            </w:tcMar>
            <w:vAlign w:val="center"/>
          </w:tcPr>
          <w:p>
            <w:r>
              <w:rPr>
                <w:b/>
                <w:bCs/>
                <w:sz w:val="18"/>
                <w:szCs w:val="18"/>
              </w:rPr>
              <w:t xml:space="preserve">Included (Core)</w:t>
            </w:r>
          </w:p>
        </w:tc>
        <w:tc>
          <w:tcPr>
            <w:tcW w:type="dxa" w:w="2016"/>
            <w:tcMar>
              <w:top w:type="dxa" w:w="60"/>
              <w:left w:type="dxa" w:w="100"/>
              <w:bottom w:type="dxa" w:w="60"/>
              <w:right w:type="dxa" w:w="100"/>
            </w:tcMar>
            <w:vAlign w:val="center"/>
          </w:tcPr>
          <w:p>
            <w:r>
              <w:rPr>
                <w:sz w:val="18"/>
                <w:szCs w:val="18"/>
              </w:rPr>
              <w:t xml:space="preserve">Not found in fetched plan data</w:t>
            </w:r>
          </w:p>
        </w:tc>
      </w:tr>
      <w:tr>
        <w:trPr>
          <w:tblHeader w:val="false"/>
        </w:trPr>
        <w:tc>
          <w:tcPr>
            <w:tcW w:type="dxa" w:w="2016"/>
            <w:tcMar>
              <w:top w:type="dxa" w:w="60"/>
              <w:left w:type="dxa" w:w="100"/>
              <w:bottom w:type="dxa" w:w="60"/>
              <w:right w:type="dxa" w:w="100"/>
            </w:tcMar>
            <w:vAlign w:val="center"/>
          </w:tcPr>
          <w:p>
            <w:r>
              <w:rPr>
                <w:b/>
                <w:bCs/>
                <w:sz w:val="18"/>
                <w:szCs w:val="18"/>
              </w:rPr>
              <w:t xml:space="preserve">AI assistant / conversational HR Q&amp;A</w:t>
            </w:r>
            <w:r>
              <w:rPr>
                <w:sz w:val="18"/>
                <w:szCs w:val="18"/>
              </w:rPr>
              <w:t xml:space="preserve"> (policy questions, HR data questions)</w:t>
            </w:r>
          </w:p>
        </w:tc>
        <w:tc>
          <w:tcPr>
            <w:tcW w:type="dxa" w:w="2016"/>
            <w:tcMar>
              <w:top w:type="dxa" w:w="60"/>
              <w:left w:type="dxa" w:w="100"/>
              <w:bottom w:type="dxa" w:w="60"/>
              <w:right w:type="dxa" w:w="100"/>
            </w:tcMar>
            <w:vAlign w:val="center"/>
          </w:tcPr>
          <w:p>
            <w:r>
              <w:rPr>
                <w:b/>
                <w:bCs/>
                <w:sz w:val="18"/>
                <w:szCs w:val="18"/>
              </w:rPr>
              <w:t xml:space="preserve">Not specified anywhere in the system</w:t>
            </w:r>
          </w:p>
        </w:tc>
        <w:tc>
          <w:tcPr>
            <w:tcW w:type="dxa" w:w="2016"/>
            <w:tcMar>
              <w:top w:type="dxa" w:w="60"/>
              <w:left w:type="dxa" w:w="100"/>
              <w:bottom w:type="dxa" w:w="60"/>
              <w:right w:type="dxa" w:w="100"/>
            </w:tcMar>
            <w:vAlign w:val="center"/>
          </w:tcPr>
          <w:p>
            <w:r>
              <w:rPr>
                <w:sz w:val="18"/>
                <w:szCs w:val="18"/>
              </w:rPr>
              <w:t xml:space="preserve">Not found in fetched plan data</w:t>
            </w:r>
          </w:p>
        </w:tc>
        <w:tc>
          <w:tcPr>
            <w:tcW w:type="dxa" w:w="2016"/>
            <w:tcMar>
              <w:top w:type="dxa" w:w="60"/>
              <w:left w:type="dxa" w:w="100"/>
              <w:bottom w:type="dxa" w:w="60"/>
              <w:right w:type="dxa" w:w="100"/>
            </w:tcMar>
            <w:vAlign w:val="center"/>
          </w:tcPr>
          <w:p>
            <w:r>
              <w:rPr>
                <w:b/>
                <w:bCs/>
                <w:sz w:val="18"/>
                <w:szCs w:val="18"/>
              </w:rPr>
              <w:t xml:space="preserve">Included even at Core tier</w:t>
            </w:r>
            <w:r>
              <w:rPr>
                <w:sz w:val="18"/>
                <w:szCs w:val="18"/>
              </w:rPr>
              <w:t xml:space="preserve">, upgraded at Pro</w:t>
            </w:r>
          </w:p>
        </w:tc>
        <w:tc>
          <w:tcPr>
            <w:tcW w:type="dxa" w:w="2016"/>
            <w:tcMar>
              <w:top w:type="dxa" w:w="60"/>
              <w:left w:type="dxa" w:w="100"/>
              <w:bottom w:type="dxa" w:w="60"/>
              <w:right w:type="dxa" w:w="100"/>
            </w:tcMar>
            <w:vAlign w:val="center"/>
          </w:tcPr>
          <w:p>
            <w:r>
              <w:rPr>
                <w:b/>
                <w:bCs/>
                <w:sz w:val="18"/>
                <w:szCs w:val="18"/>
              </w:rPr>
              <w:t xml:space="preserve">Included even at Essential HR tier</w:t>
            </w:r>
            <w:r>
              <w:rPr>
                <w:sz w:val="18"/>
                <w:szCs w:val="18"/>
              </w:rPr>
              <w:t xml:space="preserve"> ("Zia AI bot")</w:t>
            </w:r>
          </w:p>
        </w:tc>
      </w:tr>
      <w:tr>
        <w:trPr>
          <w:tblHeader w:val="false"/>
        </w:trPr>
        <w:tc>
          <w:tcPr>
            <w:tcW w:type="dxa" w:w="2016"/>
            <w:tcMar>
              <w:top w:type="dxa" w:w="60"/>
              <w:left w:type="dxa" w:w="100"/>
              <w:bottom w:type="dxa" w:w="60"/>
              <w:right w:type="dxa" w:w="100"/>
            </w:tcMar>
            <w:vAlign w:val="center"/>
          </w:tcPr>
          <w:p>
            <w:r>
              <w:rPr>
                <w:sz w:val="18"/>
                <w:szCs w:val="18"/>
              </w:rPr>
              <w:t xml:space="preserve">Ad-hoc &amp; scheduled reporting</w:t>
            </w:r>
          </w:p>
        </w:tc>
        <w:tc>
          <w:tcPr>
            <w:tcW w:type="dxa" w:w="2016"/>
            <w:tcMar>
              <w:top w:type="dxa" w:w="60"/>
              <w:left w:type="dxa" w:w="100"/>
              <w:bottom w:type="dxa" w:w="60"/>
              <w:right w:type="dxa" w:w="100"/>
            </w:tcMar>
            <w:vAlign w:val="center"/>
          </w:tcPr>
          <w:p>
            <w:r>
              <w:rPr>
                <w:sz w:val="18"/>
                <w:szCs w:val="18"/>
              </w:rPr>
              <w:t xml:space="preserve">Full (B2)</w:t>
            </w:r>
          </w:p>
        </w:tc>
        <w:tc>
          <w:tcPr>
            <w:tcW w:type="dxa" w:w="2016"/>
            <w:tcMar>
              <w:top w:type="dxa" w:w="60"/>
              <w:left w:type="dxa" w:w="100"/>
              <w:bottom w:type="dxa" w:w="60"/>
              <w:right w:type="dxa" w:w="100"/>
            </w:tcMar>
            <w:vAlign w:val="center"/>
          </w:tcPr>
          <w:p>
            <w:r>
              <w:rPr>
                <w:sz w:val="18"/>
                <w:szCs w:val="18"/>
              </w:rPr>
              <w:t xml:space="preserve">Included (custom, graphical, scheduled, snapshot reports)</w:t>
            </w:r>
          </w:p>
        </w:tc>
        <w:tc>
          <w:tcPr>
            <w:tcW w:type="dxa" w:w="2016"/>
            <w:tcMar>
              <w:top w:type="dxa" w:w="60"/>
              <w:left w:type="dxa" w:w="100"/>
              <w:bottom w:type="dxa" w:w="60"/>
              <w:right w:type="dxa" w:w="100"/>
            </w:tcMar>
            <w:vAlign w:val="center"/>
          </w:tcPr>
          <w:p>
            <w:r>
              <w:rPr>
                <w:sz w:val="18"/>
                <w:szCs w:val="18"/>
              </w:rPr>
              <w:t xml:space="preserve">Included (custom report builder)</w:t>
            </w:r>
          </w:p>
        </w:tc>
        <w:tc>
          <w:tcPr>
            <w:tcW w:type="dxa" w:w="2016"/>
            <w:tcMar>
              <w:top w:type="dxa" w:w="60"/>
              <w:left w:type="dxa" w:w="100"/>
              <w:bottom w:type="dxa" w:w="60"/>
              <w:right w:type="dxa" w:w="100"/>
            </w:tcMar>
            <w:vAlign w:val="center"/>
          </w:tcPr>
          <w:p>
            <w:r>
              <w:rPr>
                <w:sz w:val="18"/>
                <w:szCs w:val="18"/>
              </w:rPr>
              <w:t xml:space="preserve">Included (custom reports; advanced via Zoho Analytics at Premium)</w:t>
            </w:r>
          </w:p>
        </w:tc>
      </w:tr>
      <w:tr>
        <w:trPr>
          <w:tblHeader w:val="false"/>
        </w:trPr>
        <w:tc>
          <w:tcPr>
            <w:tcW w:type="dxa" w:w="2016"/>
            <w:tcMar>
              <w:top w:type="dxa" w:w="60"/>
              <w:left w:type="dxa" w:w="100"/>
              <w:bottom w:type="dxa" w:w="60"/>
              <w:right w:type="dxa" w:w="100"/>
            </w:tcMar>
            <w:vAlign w:val="center"/>
          </w:tcPr>
          <w:p>
            <w:r>
              <w:rPr>
                <w:sz w:val="18"/>
                <w:szCs w:val="18"/>
              </w:rPr>
              <w:t xml:space="preserve">Full-feature mobile app parity across every module</w:t>
            </w:r>
          </w:p>
        </w:tc>
        <w:tc>
          <w:tcPr>
            <w:tcW w:type="dxa" w:w="2016"/>
            <w:tcMar>
              <w:top w:type="dxa" w:w="60"/>
              <w:left w:type="dxa" w:w="100"/>
              <w:bottom w:type="dxa" w:w="60"/>
              <w:right w:type="dxa" w:w="100"/>
            </w:tcMar>
            <w:vAlign w:val="center"/>
          </w:tcPr>
          <w:p>
            <w:r>
              <w:rPr>
                <w:b/>
                <w:bCs/>
                <w:sz w:val="18"/>
                <w:szCs w:val="18"/>
              </w:rPr>
              <w:t xml:space="preserve">Resolved this iteration, as browser-based mobile access rather than an installable app</w:t>
            </w:r>
            <w:r>
              <w:rPr>
                <w:sz w:val="18"/>
                <w:szCs w:val="18"/>
              </w:rPr>
              <w:t xml:space="preserve"> — full API coverage across all modules is exposed (F6), reachable from any phone's browser; SI has confirmed an installable mobile PWA/app is not required, so no dedicated mobile client ships in this build, though the API surface is ready for one if that changes later</w:t>
            </w:r>
          </w:p>
        </w:tc>
        <w:tc>
          <w:tcPr>
            <w:tcW w:type="dxa" w:w="2016"/>
            <w:tcMar>
              <w:top w:type="dxa" w:w="60"/>
              <w:left w:type="dxa" w:w="100"/>
              <w:bottom w:type="dxa" w:w="60"/>
              <w:right w:type="dxa" w:w="100"/>
            </w:tcMar>
            <w:vAlign w:val="center"/>
          </w:tcPr>
          <w:p>
            <w:r>
              <w:rPr>
                <w:sz w:val="18"/>
                <w:szCs w:val="18"/>
              </w:rPr>
              <w:t xml:space="preserve">Included ("full functionality across all modules")</w:t>
            </w:r>
          </w:p>
        </w:tc>
        <w:tc>
          <w:tcPr>
            <w:tcW w:type="dxa" w:w="2016"/>
            <w:tcMar>
              <w:top w:type="dxa" w:w="60"/>
              <w:left w:type="dxa" w:w="100"/>
              <w:bottom w:type="dxa" w:w="60"/>
              <w:right w:type="dxa" w:w="100"/>
            </w:tcMar>
            <w:vAlign w:val="center"/>
          </w:tcPr>
          <w:p>
            <w:r>
              <w:rPr>
                <w:sz w:val="18"/>
                <w:szCs w:val="18"/>
              </w:rPr>
              <w:t xml:space="preserve">Implied full parity (not itemized in fetched data)</w:t>
            </w:r>
          </w:p>
        </w:tc>
        <w:tc>
          <w:tcPr>
            <w:tcW w:type="dxa" w:w="2016"/>
            <w:tcMar>
              <w:top w:type="dxa" w:w="60"/>
              <w:left w:type="dxa" w:w="100"/>
              <w:bottom w:type="dxa" w:w="60"/>
              <w:right w:type="dxa" w:w="100"/>
            </w:tcMar>
            <w:vAlign w:val="center"/>
          </w:tcPr>
          <w:p>
            <w:r>
              <w:rPr>
                <w:sz w:val="18"/>
                <w:szCs w:val="18"/>
              </w:rPr>
              <w:t xml:space="preserve">Implied full parity (not itemized in fetched data)</w:t>
            </w:r>
          </w:p>
        </w:tc>
      </w:tr>
      <w:tr>
        <w:trPr>
          <w:tblHeader w:val="false"/>
        </w:trPr>
        <w:tc>
          <w:tcPr>
            <w:tcW w:type="dxa" w:w="2016"/>
            <w:tcMar>
              <w:top w:type="dxa" w:w="60"/>
              <w:left w:type="dxa" w:w="100"/>
              <w:bottom w:type="dxa" w:w="60"/>
              <w:right w:type="dxa" w:w="100"/>
            </w:tcMar>
            <w:vAlign w:val="center"/>
          </w:tcPr>
          <w:p>
            <w:r>
              <w:rPr>
                <w:sz w:val="18"/>
                <w:szCs w:val="18"/>
              </w:rPr>
              <w:t xml:space="preserve">Multi-language / localization</w:t>
            </w:r>
          </w:p>
        </w:tc>
        <w:tc>
          <w:tcPr>
            <w:tcW w:type="dxa" w:w="2016"/>
            <w:tcMar>
              <w:top w:type="dxa" w:w="60"/>
              <w:left w:type="dxa" w:w="100"/>
              <w:bottom w:type="dxa" w:w="60"/>
              <w:right w:type="dxa" w:w="100"/>
            </w:tcMar>
            <w:vAlign w:val="center"/>
          </w:tcPr>
          <w:p>
            <w:r>
              <w:rPr>
                <w:sz w:val="18"/>
                <w:szCs w:val="18"/>
              </w:rPr>
              <w:t xml:space="preserve">Full (A4)</w:t>
            </w:r>
          </w:p>
        </w:tc>
        <w:tc>
          <w:tcPr>
            <w:tcW w:type="dxa" w:w="2016"/>
            <w:tcMar>
              <w:top w:type="dxa" w:w="60"/>
              <w:left w:type="dxa" w:w="100"/>
              <w:bottom w:type="dxa" w:w="60"/>
              <w:right w:type="dxa" w:w="100"/>
            </w:tcMar>
            <w:vAlign w:val="center"/>
          </w:tcPr>
          <w:p>
            <w:r>
              <w:rPr>
                <w:sz w:val="18"/>
                <w:szCs w:val="18"/>
              </w:rPr>
              <w:t xml:space="preserve">Not explicitly itemized</w:t>
            </w:r>
          </w:p>
        </w:tc>
        <w:tc>
          <w:tcPr>
            <w:tcW w:type="dxa" w:w="2016"/>
            <w:tcMar>
              <w:top w:type="dxa" w:w="60"/>
              <w:left w:type="dxa" w:w="100"/>
              <w:bottom w:type="dxa" w:w="60"/>
              <w:right w:type="dxa" w:w="100"/>
            </w:tcMar>
            <w:vAlign w:val="center"/>
          </w:tcPr>
          <w:p>
            <w:r>
              <w:rPr>
                <w:sz w:val="18"/>
                <w:szCs w:val="18"/>
              </w:rPr>
              <w:t xml:space="preserve">Not explicitly itemized</w:t>
            </w:r>
          </w:p>
        </w:tc>
        <w:tc>
          <w:tcPr>
            <w:tcW w:type="dxa" w:w="2016"/>
            <w:tcMar>
              <w:top w:type="dxa" w:w="60"/>
              <w:left w:type="dxa" w:w="100"/>
              <w:bottom w:type="dxa" w:w="60"/>
              <w:right w:type="dxa" w:w="100"/>
            </w:tcMar>
            <w:vAlign w:val="center"/>
          </w:tcPr>
          <w:p>
            <w:r>
              <w:rPr>
                <w:sz w:val="18"/>
                <w:szCs w:val="18"/>
              </w:rPr>
              <w:t xml:space="preserve">Not explicitly itemized</w:t>
            </w:r>
          </w:p>
        </w:tc>
      </w:tr>
      <w:tr>
        <w:trPr>
          <w:tblHeader w:val="false"/>
        </w:trPr>
        <w:tc>
          <w:tcPr>
            <w:tcW w:type="dxa" w:w="2016"/>
            <w:tcMar>
              <w:top w:type="dxa" w:w="60"/>
              <w:left w:type="dxa" w:w="100"/>
              <w:bottom w:type="dxa" w:w="60"/>
              <w:right w:type="dxa" w:w="100"/>
            </w:tcMar>
            <w:vAlign w:val="center"/>
          </w:tcPr>
          <w:p>
            <w:r>
              <w:rPr>
                <w:sz w:val="18"/>
                <w:szCs w:val="18"/>
              </w:rPr>
              <w:t xml:space="preserve">GDPR purge / data lifecycle management</w:t>
            </w:r>
          </w:p>
        </w:tc>
        <w:tc>
          <w:tcPr>
            <w:tcW w:type="dxa" w:w="2016"/>
            <w:tcMar>
              <w:top w:type="dxa" w:w="60"/>
              <w:left w:type="dxa" w:w="100"/>
              <w:bottom w:type="dxa" w:w="60"/>
              <w:right w:type="dxa" w:w="100"/>
            </w:tcMar>
            <w:vAlign w:val="center"/>
          </w:tcPr>
          <w:p>
            <w:r>
              <w:rPr>
                <w:sz w:val="18"/>
                <w:szCs w:val="18"/>
              </w:rPr>
              <w:t xml:space="preserve">Full, custom-built (A6)</w:t>
            </w:r>
          </w:p>
        </w:tc>
        <w:tc>
          <w:tcPr>
            <w:tcW w:type="dxa" w:w="2016"/>
            <w:tcMar>
              <w:top w:type="dxa" w:w="60"/>
              <w:left w:type="dxa" w:w="100"/>
              <w:bottom w:type="dxa" w:w="60"/>
              <w:right w:type="dxa" w:w="100"/>
            </w:tcMar>
            <w:vAlign w:val="center"/>
          </w:tcPr>
          <w:p>
            <w:r>
              <w:rPr>
                <w:sz w:val="18"/>
                <w:szCs w:val="18"/>
              </w:rPr>
              <w:t xml:space="preserve">Not explicitly itemized</w:t>
            </w:r>
          </w:p>
        </w:tc>
        <w:tc>
          <w:tcPr>
            <w:tcW w:type="dxa" w:w="2016"/>
            <w:tcMar>
              <w:top w:type="dxa" w:w="60"/>
              <w:left w:type="dxa" w:w="100"/>
              <w:bottom w:type="dxa" w:w="60"/>
              <w:right w:type="dxa" w:w="100"/>
            </w:tcMar>
            <w:vAlign w:val="center"/>
          </w:tcPr>
          <w:p>
            <w:r>
              <w:rPr>
                <w:sz w:val="18"/>
                <w:szCs w:val="18"/>
              </w:rPr>
              <w:t xml:space="preserve">Not explicitly itemized</w:t>
            </w:r>
          </w:p>
        </w:tc>
        <w:tc>
          <w:tcPr>
            <w:tcW w:type="dxa" w:w="2016"/>
            <w:tcMar>
              <w:top w:type="dxa" w:w="60"/>
              <w:left w:type="dxa" w:w="100"/>
              <w:bottom w:type="dxa" w:w="60"/>
              <w:right w:type="dxa" w:w="100"/>
            </w:tcMar>
            <w:vAlign w:val="center"/>
          </w:tcPr>
          <w:p>
            <w:r>
              <w:rPr>
                <w:sz w:val="18"/>
                <w:szCs w:val="18"/>
              </w:rPr>
              <w:t xml:space="preserve">Not explicitly itemized</w:t>
            </w:r>
          </w:p>
        </w:tc>
      </w:tr>
      <w:tr>
        <w:trPr>
          <w:tblHeader w:val="false"/>
        </w:trPr>
        <w:tc>
          <w:tcPr>
            <w:tcW w:type="dxa" w:w="2016"/>
            <w:tcMar>
              <w:top w:type="dxa" w:w="60"/>
              <w:left w:type="dxa" w:w="100"/>
              <w:bottom w:type="dxa" w:w="60"/>
              <w:right w:type="dxa" w:w="100"/>
            </w:tcMar>
            <w:vAlign w:val="center"/>
          </w:tcPr>
          <w:p>
            <w:r>
              <w:rPr>
                <w:sz w:val="18"/>
                <w:szCs w:val="18"/>
              </w:rPr>
              <w:t xml:space="preserve">Asset management with assignment history</w:t>
            </w:r>
          </w:p>
        </w:tc>
        <w:tc>
          <w:tcPr>
            <w:tcW w:type="dxa" w:w="2016"/>
            <w:tcMar>
              <w:top w:type="dxa" w:w="60"/>
              <w:left w:type="dxa" w:w="100"/>
              <w:bottom w:type="dxa" w:w="60"/>
              <w:right w:type="dxa" w:w="100"/>
            </w:tcMar>
            <w:vAlign w:val="center"/>
          </w:tcPr>
          <w:p>
            <w:r>
              <w:rPr>
                <w:sz w:val="18"/>
                <w:szCs w:val="18"/>
              </w:rPr>
              <w:t xml:space="preserve">Full, with a specified fix for the reference system's gap, plus warranty/service-contract tracking and a maintenance/repair log added this iteration (E2)</w:t>
            </w:r>
          </w:p>
        </w:tc>
        <w:tc>
          <w:tcPr>
            <w:tcW w:type="dxa" w:w="2016"/>
            <w:tcMar>
              <w:top w:type="dxa" w:w="60"/>
              <w:left w:type="dxa" w:w="100"/>
              <w:bottom w:type="dxa" w:w="60"/>
              <w:right w:type="dxa" w:w="100"/>
            </w:tcMar>
            <w:vAlign w:val="center"/>
          </w:tcPr>
          <w:p>
            <w:r>
              <w:rPr>
                <w:sz w:val="18"/>
                <w:szCs w:val="18"/>
              </w:rPr>
              <w:t xml:space="preserve">Included ("asset tracking" under HR Administration)</w:t>
            </w:r>
          </w:p>
        </w:tc>
        <w:tc>
          <w:tcPr>
            <w:tcW w:type="dxa" w:w="2016"/>
            <w:tcMar>
              <w:top w:type="dxa" w:w="60"/>
              <w:left w:type="dxa" w:w="100"/>
              <w:bottom w:type="dxa" w:w="60"/>
              <w:right w:type="dxa" w:w="100"/>
            </w:tcMar>
            <w:vAlign w:val="center"/>
          </w:tcPr>
          <w:p>
            <w:r>
              <w:rPr>
                <w:sz w:val="18"/>
                <w:szCs w:val="18"/>
              </w:rPr>
              <w:t xml:space="preserve">Not found in fetched plan data</w:t>
            </w:r>
          </w:p>
        </w:tc>
        <w:tc>
          <w:tcPr>
            <w:tcW w:type="dxa" w:w="2016"/>
            <w:tcMar>
              <w:top w:type="dxa" w:w="60"/>
              <w:left w:type="dxa" w:w="100"/>
              <w:bottom w:type="dxa" w:w="60"/>
              <w:right w:type="dxa" w:w="100"/>
            </w:tcMar>
            <w:vAlign w:val="center"/>
          </w:tcPr>
          <w:p>
            <w:r>
              <w:rPr>
                <w:sz w:val="18"/>
                <w:szCs w:val="18"/>
              </w:rPr>
              <w:t xml:space="preserve">Not found in fetched plan data</w:t>
            </w:r>
          </w:p>
        </w:tc>
      </w:tr>
      <w:tr>
        <w:trPr>
          <w:tblHeader w:val="false"/>
        </w:trPr>
        <w:tc>
          <w:tcPr>
            <w:tcW w:type="dxa" w:w="2016"/>
            <w:tcMar>
              <w:top w:type="dxa" w:w="60"/>
              <w:left w:type="dxa" w:w="100"/>
              <w:bottom w:type="dxa" w:w="60"/>
              <w:right w:type="dxa" w:w="100"/>
            </w:tcMar>
            <w:vAlign w:val="center"/>
          </w:tcPr>
          <w:p>
            <w:r>
              <w:rPr>
                <w:sz w:val="18"/>
                <w:szCs w:val="18"/>
              </w:rPr>
              <w:t xml:space="preserve">Vehicle fleet management</w:t>
            </w:r>
          </w:p>
        </w:tc>
        <w:tc>
          <w:tcPr>
            <w:tcW w:type="dxa" w:w="2016"/>
            <w:tcMar>
              <w:top w:type="dxa" w:w="60"/>
              <w:left w:type="dxa" w:w="100"/>
              <w:bottom w:type="dxa" w:w="60"/>
              <w:right w:type="dxa" w:w="100"/>
            </w:tcMar>
            <w:vAlign w:val="center"/>
          </w:tcPr>
          <w:p>
            <w:r>
              <w:rPr>
                <w:sz w:val="18"/>
                <w:szCs w:val="18"/>
              </w:rPr>
              <w:t xml:space="preserve">Full, custom-built, plus fuel/mileage logging and odometer-based maintenance triggers added this iteration (E3)</w:t>
            </w:r>
          </w:p>
        </w:tc>
        <w:tc>
          <w:tcPr>
            <w:tcW w:type="dxa" w:w="2016"/>
            <w:tcMar>
              <w:top w:type="dxa" w:w="60"/>
              <w:left w:type="dxa" w:w="100"/>
              <w:bottom w:type="dxa" w:w="60"/>
              <w:right w:type="dxa" w:w="100"/>
            </w:tcMar>
            <w:vAlign w:val="center"/>
          </w:tcPr>
          <w:p>
            <w:r>
              <w:rPr>
                <w:sz w:val="18"/>
                <w:szCs w:val="18"/>
              </w:rPr>
              <w:t xml:space="preserve">Not found in fetched plan data</w:t>
            </w:r>
          </w:p>
        </w:tc>
        <w:tc>
          <w:tcPr>
            <w:tcW w:type="dxa" w:w="2016"/>
            <w:tcMar>
              <w:top w:type="dxa" w:w="60"/>
              <w:left w:type="dxa" w:w="100"/>
              <w:bottom w:type="dxa" w:w="60"/>
              <w:right w:type="dxa" w:w="100"/>
            </w:tcMar>
            <w:vAlign w:val="center"/>
          </w:tcPr>
          <w:p>
            <w:r>
              <w:rPr>
                <w:sz w:val="18"/>
                <w:szCs w:val="18"/>
              </w:rPr>
              <w:t xml:space="preserve">Not found in fetched plan data</w:t>
            </w:r>
          </w:p>
        </w:tc>
        <w:tc>
          <w:tcPr>
            <w:tcW w:type="dxa" w:w="2016"/>
            <w:tcMar>
              <w:top w:type="dxa" w:w="60"/>
              <w:left w:type="dxa" w:w="100"/>
              <w:bottom w:type="dxa" w:w="60"/>
              <w:right w:type="dxa" w:w="100"/>
            </w:tcMar>
            <w:vAlign w:val="center"/>
          </w:tcPr>
          <w:p>
            <w:r>
              <w:rPr>
                <w:sz w:val="18"/>
                <w:szCs w:val="18"/>
              </w:rPr>
              <w:t xml:space="preserve">Not found in fetched plan data</w:t>
            </w:r>
          </w:p>
        </w:tc>
      </w:tr>
      <w:tr>
        <w:trPr>
          <w:tblHeader w:val="false"/>
        </w:trPr>
        <w:tc>
          <w:tcPr>
            <w:tcW w:type="dxa" w:w="2016"/>
            <w:tcMar>
              <w:top w:type="dxa" w:w="60"/>
              <w:left w:type="dxa" w:w="100"/>
              <w:bottom w:type="dxa" w:w="60"/>
              <w:right w:type="dxa" w:w="100"/>
            </w:tcMar>
            <w:vAlign w:val="center"/>
          </w:tcPr>
          <w:p>
            <w:r>
              <w:rPr>
                <w:sz w:val="18"/>
                <w:szCs w:val="18"/>
              </w:rPr>
              <w:t xml:space="preserve">Company registration/compliance document tracking with renewal reminders</w:t>
            </w:r>
          </w:p>
        </w:tc>
        <w:tc>
          <w:tcPr>
            <w:tcW w:type="dxa" w:w="2016"/>
            <w:tcMar>
              <w:top w:type="dxa" w:w="60"/>
              <w:left w:type="dxa" w:w="100"/>
              <w:bottom w:type="dxa" w:w="60"/>
              <w:right w:type="dxa" w:w="100"/>
            </w:tcMar>
            <w:vAlign w:val="center"/>
          </w:tcPr>
          <w:p>
            <w:r>
              <w:rPr>
                <w:b/>
                <w:bCs/>
                <w:sz w:val="18"/>
                <w:szCs w:val="18"/>
              </w:rPr>
              <w:t xml:space="preserve">Resolved this iteration</w:t>
            </w:r>
            <w:r>
              <w:rPr>
                <w:sz w:val="18"/>
                <w:szCs w:val="18"/>
              </w:rPr>
              <w:t xml:space="preserve"> — new Company Registration &amp; Compliance Documents module (E5), using the shared Renewal &amp; Compliance Reminder Engine</w:t>
            </w:r>
          </w:p>
        </w:tc>
        <w:tc>
          <w:tcPr>
            <w:tcW w:type="dxa" w:w="2016"/>
            <w:tcMar>
              <w:top w:type="dxa" w:w="60"/>
              <w:left w:type="dxa" w:w="100"/>
              <w:bottom w:type="dxa" w:w="60"/>
              <w:right w:type="dxa" w:w="100"/>
            </w:tcMar>
            <w:vAlign w:val="center"/>
          </w:tcPr>
          <w:p>
            <w:r>
              <w:rPr>
                <w:sz w:val="18"/>
                <w:szCs w:val="18"/>
              </w:rPr>
              <w:t xml:space="preserve">Not explicitly itemized</w:t>
            </w:r>
          </w:p>
        </w:tc>
        <w:tc>
          <w:tcPr>
            <w:tcW w:type="dxa" w:w="2016"/>
            <w:tcMar>
              <w:top w:type="dxa" w:w="60"/>
              <w:left w:type="dxa" w:w="100"/>
              <w:bottom w:type="dxa" w:w="60"/>
              <w:right w:type="dxa" w:w="100"/>
            </w:tcMar>
            <w:vAlign w:val="center"/>
          </w:tcPr>
          <w:p>
            <w:r>
              <w:rPr>
                <w:sz w:val="18"/>
                <w:szCs w:val="18"/>
              </w:rPr>
              <w:t xml:space="preserve">Not explicitly itemized</w:t>
            </w:r>
          </w:p>
        </w:tc>
        <w:tc>
          <w:tcPr>
            <w:tcW w:type="dxa" w:w="2016"/>
            <w:tcMar>
              <w:top w:type="dxa" w:w="60"/>
              <w:left w:type="dxa" w:w="100"/>
              <w:bottom w:type="dxa" w:w="60"/>
              <w:right w:type="dxa" w:w="100"/>
            </w:tcMar>
            <w:vAlign w:val="center"/>
          </w:tcPr>
          <w:p>
            <w:r>
              <w:rPr>
                <w:sz w:val="18"/>
                <w:szCs w:val="18"/>
              </w:rPr>
              <w:t xml:space="preserve">Not explicitly itemized</w:t>
            </w:r>
          </w:p>
        </w:tc>
      </w:tr>
      <w:tr>
        <w:trPr>
          <w:tblHeader w:val="false"/>
        </w:trPr>
        <w:tc>
          <w:tcPr>
            <w:tcW w:type="dxa" w:w="2016"/>
            <w:tcMar>
              <w:top w:type="dxa" w:w="60"/>
              <w:left w:type="dxa" w:w="100"/>
              <w:bottom w:type="dxa" w:w="60"/>
              <w:right w:type="dxa" w:w="100"/>
            </w:tcMar>
            <w:vAlign w:val="center"/>
          </w:tcPr>
          <w:p>
            <w:r>
              <w:rPr>
                <w:sz w:val="18"/>
                <w:szCs w:val="18"/>
              </w:rPr>
              <w:t xml:space="preserve">Policy document repository with acknowledgement tracking</w:t>
            </w:r>
          </w:p>
        </w:tc>
        <w:tc>
          <w:tcPr>
            <w:tcW w:type="dxa" w:w="2016"/>
            <w:tcMar>
              <w:top w:type="dxa" w:w="60"/>
              <w:left w:type="dxa" w:w="100"/>
              <w:bottom w:type="dxa" w:w="60"/>
              <w:right w:type="dxa" w:w="100"/>
            </w:tcMar>
            <w:vAlign w:val="center"/>
          </w:tcPr>
          <w:p>
            <w:r>
              <w:rPr>
                <w:sz w:val="18"/>
                <w:szCs w:val="18"/>
              </w:rPr>
              <w:t xml:space="preserve">Full, custom-built (E4)</w:t>
            </w:r>
          </w:p>
        </w:tc>
        <w:tc>
          <w:tcPr>
            <w:tcW w:type="dxa" w:w="2016"/>
            <w:tcMar>
              <w:top w:type="dxa" w:w="60"/>
              <w:left w:type="dxa" w:w="100"/>
              <w:bottom w:type="dxa" w:w="60"/>
              <w:right w:type="dxa" w:w="100"/>
            </w:tcMar>
            <w:vAlign w:val="center"/>
          </w:tcPr>
          <w:p>
            <w:r>
              <w:rPr>
                <w:sz w:val="18"/>
                <w:szCs w:val="18"/>
              </w:rPr>
              <w:t xml:space="preserve">Included ("policy publishing" under HR Administration)</w:t>
            </w:r>
          </w:p>
        </w:tc>
        <w:tc>
          <w:tcPr>
            <w:tcW w:type="dxa" w:w="2016"/>
            <w:tcMar>
              <w:top w:type="dxa" w:w="60"/>
              <w:left w:type="dxa" w:w="100"/>
              <w:bottom w:type="dxa" w:w="60"/>
              <w:right w:type="dxa" w:w="100"/>
            </w:tcMar>
            <w:vAlign w:val="center"/>
          </w:tcPr>
          <w:p>
            <w:r>
              <w:rPr>
                <w:sz w:val="18"/>
                <w:szCs w:val="18"/>
              </w:rPr>
              <w:t xml:space="preserve">Not explicitly itemized</w:t>
            </w:r>
          </w:p>
        </w:tc>
        <w:tc>
          <w:tcPr>
            <w:tcW w:type="dxa" w:w="2016"/>
            <w:tcMar>
              <w:top w:type="dxa" w:w="60"/>
              <w:left w:type="dxa" w:w="100"/>
              <w:bottom w:type="dxa" w:w="60"/>
              <w:right w:type="dxa" w:w="100"/>
            </w:tcMar>
            <w:vAlign w:val="center"/>
          </w:tcPr>
          <w:p>
            <w:r>
              <w:rPr>
                <w:sz w:val="18"/>
                <w:szCs w:val="18"/>
              </w:rPr>
              <w:t xml:space="preserve">Not explicitly itemized</w:t>
            </w:r>
          </w:p>
        </w:tc>
      </w:tr>
    </w:tbl>
    <w:p>
      <w:pPr>
        <w:spacing w:after="120"/>
      </w:pPr>
    </w:p>
    <w:p>
      <w:pPr>
        <w:spacing w:after="160"/>
        <w:jc w:val="both"/>
      </w:pPr>
      <w:r>
        <w:rPr>
          <w:b/>
          <w:bCs/>
        </w:rPr>
        <w:t xml:space="preserve">Reading this table:</w:t>
      </w:r>
      <w:r>
        <w:t xml:space="preserve"> rows in </w:t>
      </w:r>
      <w:r>
        <w:rPr>
          <w:b/>
          <w:bCs/>
        </w:rPr>
        <w:t xml:space="preserve">bold</w:t>
      </w:r>
      <w:r>
        <w:t xml:space="preserve"> mark a capability gap that remains open after this iteration's additions. Rows marked "Resolved this iteration" were originally identified as gaps in this analysis and have since been added to the specification in direct response to SI's Section-4-level feature requests (2FA, flexible RBAC, e-signature, grievance/whistleblower reporting, pulse surveys, and full mobile API/push parity are covered in Domains A, D, E, and F above, not in this table, since they are now delivered capabilities rather than gaps). Shift roster/scheduling is marked explicitly descoped, per SI's direction that it is not an important feature, rather than left as an open gap. Rows describing SI-specific strengths (Vehicle Fleet Management, GDPR purge tooling, the custom Discipline/Employee-Relations workflow, the 3-tier RBAC/workflow-engine architecture in Section 3.2) are retained here to show the comparison is not one-directional — the specification already exceeds all three benchmarked plans in several areas, particularly platform architecture, data-privacy tooling, and several of the custom modules Systems Intelligenz has already built.</w:t>
      </w:r>
    </w:p>
    <w:p>
      <w:pPr>
        <w:pStyle w:val="Heading2"/>
        <w:spacing w:after="160" w:before="280"/>
      </w:pPr>
      <w:r>
        <w:t xml:space="preserve">8.3 Gap Priority Assessment</w:t>
      </w:r>
    </w:p>
    <w:p>
      <w:pPr>
        <w:spacing w:after="160"/>
        <w:jc w:val="both"/>
      </w:pPr>
      <w:r>
        <w:t xml:space="preserve">Each remaining gap below is rated by how many of the three benchmarked products include it, and by how directly it affects day-to-day HR operations at Systems Intelligenz versus being a differentiating "nice to have." Employee engagement/pulse surveys, Employee Voice/grievance reporting, and E-signature — all originally "High"/"Medium" priority gaps here — have been resolved in this iteration (Sections F8, F4, and A8/D1/D2/E4 respectively) and are no longer listed below; Shift roster/scheduling has been moved out of the priority list entirely per SI's explicit "not an important feature" direction, rather than deferred.</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520"/>
        <w:gridCol w:w="2520"/>
        <w:gridCol w:w="2520"/>
        <w:gridCol w:w="2520"/>
      </w:tblGrid>
      <w:tr>
        <w:trPr>
          <w:tblHeader/>
        </w:trPr>
        <w:tc>
          <w:tcPr>
            <w:tcW w:type="dxa" w:w="2520"/>
            <w:shd w:fill="1F3864" w:val="clear"/>
            <w:tcMar>
              <w:top w:type="dxa" w:w="60"/>
              <w:left w:type="dxa" w:w="100"/>
              <w:bottom w:type="dxa" w:w="60"/>
              <w:right w:type="dxa" w:w="100"/>
            </w:tcMar>
            <w:vAlign w:val="center"/>
          </w:tcPr>
          <w:p>
            <w:r>
              <w:rPr>
                <w:b/>
                <w:bCs/>
                <w:color w:val="FFFFFF"/>
                <w:sz w:val="18"/>
                <w:szCs w:val="18"/>
              </w:rPr>
              <w:t xml:space="preserve">Priority</w:t>
            </w:r>
          </w:p>
        </w:tc>
        <w:tc>
          <w:tcPr>
            <w:tcW w:type="dxa" w:w="2520"/>
            <w:shd w:fill="1F3864" w:val="clear"/>
            <w:tcMar>
              <w:top w:type="dxa" w:w="60"/>
              <w:left w:type="dxa" w:w="100"/>
              <w:bottom w:type="dxa" w:w="60"/>
              <w:right w:type="dxa" w:w="100"/>
            </w:tcMar>
            <w:vAlign w:val="center"/>
          </w:tcPr>
          <w:p>
            <w:r>
              <w:rPr>
                <w:b/>
                <w:bCs/>
                <w:color w:val="FFFFFF"/>
                <w:sz w:val="18"/>
                <w:szCs w:val="18"/>
              </w:rPr>
              <w:t xml:space="preserve">Gap</w:t>
            </w:r>
          </w:p>
        </w:tc>
        <w:tc>
          <w:tcPr>
            <w:tcW w:type="dxa" w:w="2520"/>
            <w:shd w:fill="1F3864" w:val="clear"/>
            <w:tcMar>
              <w:top w:type="dxa" w:w="60"/>
              <w:left w:type="dxa" w:w="100"/>
              <w:bottom w:type="dxa" w:w="60"/>
              <w:right w:type="dxa" w:w="100"/>
            </w:tcMar>
            <w:vAlign w:val="center"/>
          </w:tcPr>
          <w:p>
            <w:r>
              <w:rPr>
                <w:b/>
                <w:bCs/>
                <w:color w:val="FFFFFF"/>
                <w:sz w:val="18"/>
                <w:szCs w:val="18"/>
              </w:rPr>
              <w:t xml:space="preserve">Vendors offering it</w:t>
            </w:r>
          </w:p>
        </w:tc>
        <w:tc>
          <w:tcPr>
            <w:tcW w:type="dxa" w:w="2520"/>
            <w:shd w:fill="1F3864" w:val="clear"/>
            <w:tcMar>
              <w:top w:type="dxa" w:w="60"/>
              <w:left w:type="dxa" w:w="100"/>
              <w:bottom w:type="dxa" w:w="60"/>
              <w:right w:type="dxa" w:w="100"/>
            </w:tcMar>
            <w:vAlign w:val="center"/>
          </w:tcPr>
          <w:p>
            <w:r>
              <w:rPr>
                <w:b/>
                <w:bCs/>
                <w:color w:val="FFFFFF"/>
                <w:sz w:val="18"/>
                <w:szCs w:val="18"/>
              </w:rPr>
              <w:t xml:space="preserve">Rationale</w:t>
            </w:r>
          </w:p>
        </w:tc>
      </w:tr>
      <w:tr>
        <w:trPr>
          <w:tblHeader w:val="false"/>
        </w:trPr>
        <w:tc>
          <w:tcPr>
            <w:tcW w:type="dxa" w:w="2520"/>
            <w:tcMar>
              <w:top w:type="dxa" w:w="60"/>
              <w:left w:type="dxa" w:w="100"/>
              <w:bottom w:type="dxa" w:w="60"/>
              <w:right w:type="dxa" w:w="100"/>
            </w:tcMar>
            <w:vAlign w:val="center"/>
          </w:tcPr>
          <w:p>
            <w:r>
              <w:rPr>
                <w:b/>
                <w:bCs/>
                <w:sz w:val="18"/>
                <w:szCs w:val="18"/>
              </w:rPr>
              <w:t xml:space="preserve">High</w:t>
            </w:r>
          </w:p>
        </w:tc>
        <w:tc>
          <w:tcPr>
            <w:tcW w:type="dxa" w:w="2520"/>
            <w:tcMar>
              <w:top w:type="dxa" w:w="60"/>
              <w:left w:type="dxa" w:w="100"/>
              <w:bottom w:type="dxa" w:w="60"/>
              <w:right w:type="dxa" w:w="100"/>
            </w:tcMar>
            <w:vAlign w:val="center"/>
          </w:tcPr>
          <w:p>
            <w:r>
              <w:rPr>
                <w:sz w:val="18"/>
                <w:szCs w:val="18"/>
              </w:rPr>
              <w:t xml:space="preserve">AI assistant / conversational HR Q&amp;A</w:t>
            </w:r>
          </w:p>
        </w:tc>
        <w:tc>
          <w:tcPr>
            <w:tcW w:type="dxa" w:w="2520"/>
            <w:tcMar>
              <w:top w:type="dxa" w:w="60"/>
              <w:left w:type="dxa" w:w="100"/>
              <w:bottom w:type="dxa" w:w="60"/>
              <w:right w:type="dxa" w:w="100"/>
            </w:tcMar>
            <w:vAlign w:val="center"/>
          </w:tcPr>
          <w:p>
            <w:r>
              <w:rPr>
                <w:sz w:val="18"/>
                <w:szCs w:val="18"/>
              </w:rPr>
              <w:t xml:space="preserve">2 of 3 (both at their lowest tier)</w:t>
            </w:r>
          </w:p>
        </w:tc>
        <w:tc>
          <w:tcPr>
            <w:tcW w:type="dxa" w:w="2520"/>
            <w:tcMar>
              <w:top w:type="dxa" w:w="60"/>
              <w:left w:type="dxa" w:w="100"/>
              <w:bottom w:type="dxa" w:w="60"/>
              <w:right w:type="dxa" w:w="100"/>
            </w:tcMar>
            <w:vAlign w:val="center"/>
          </w:tcPr>
          <w:p>
            <w:r>
              <w:rPr>
                <w:sz w:val="18"/>
                <w:szCs w:val="18"/>
              </w:rPr>
              <w:t xml:space="preserve">Table stakes across the market, not an "advanced plan" feature; absence is increasingly conspicuous to end users used to other SaaS tools</w:t>
            </w:r>
          </w:p>
        </w:tc>
      </w:tr>
      <w:tr>
        <w:trPr>
          <w:tblHeader w:val="false"/>
        </w:trPr>
        <w:tc>
          <w:tcPr>
            <w:tcW w:type="dxa" w:w="2520"/>
            <w:tcMar>
              <w:top w:type="dxa" w:w="60"/>
              <w:left w:type="dxa" w:w="100"/>
              <w:bottom w:type="dxa" w:w="60"/>
              <w:right w:type="dxa" w:w="100"/>
            </w:tcMar>
            <w:vAlign w:val="center"/>
          </w:tcPr>
          <w:p>
            <w:r>
              <w:rPr>
                <w:b/>
                <w:bCs/>
                <w:sz w:val="18"/>
                <w:szCs w:val="18"/>
              </w:rPr>
              <w:t xml:space="preserve">Medium</w:t>
            </w:r>
          </w:p>
        </w:tc>
        <w:tc>
          <w:tcPr>
            <w:tcW w:type="dxa" w:w="2520"/>
            <w:tcMar>
              <w:top w:type="dxa" w:w="60"/>
              <w:left w:type="dxa" w:w="100"/>
              <w:bottom w:type="dxa" w:w="60"/>
              <w:right w:type="dxa" w:w="100"/>
            </w:tcMar>
            <w:vAlign w:val="center"/>
          </w:tcPr>
          <w:p>
            <w:r>
              <w:rPr>
                <w:sz w:val="18"/>
                <w:szCs w:val="18"/>
              </w:rPr>
              <w:t xml:space="preserve">Learning Management System (course delivery, not just training records)</w:t>
            </w:r>
          </w:p>
        </w:tc>
        <w:tc>
          <w:tcPr>
            <w:tcW w:type="dxa" w:w="2520"/>
            <w:tcMar>
              <w:top w:type="dxa" w:w="60"/>
              <w:left w:type="dxa" w:w="100"/>
              <w:bottom w:type="dxa" w:w="60"/>
              <w:right w:type="dxa" w:w="100"/>
            </w:tcMar>
            <w:vAlign w:val="center"/>
          </w:tcPr>
          <w:p>
            <w:r>
              <w:rPr>
                <w:sz w:val="18"/>
                <w:szCs w:val="18"/>
              </w:rPr>
              <w:t xml:space="preserve">1 of 3 fully, 1 of 3 partially (compliance-only), 1 of 3 at a higher tier than Premium</w:t>
            </w:r>
          </w:p>
        </w:tc>
        <w:tc>
          <w:tcPr>
            <w:tcW w:type="dxa" w:w="2520"/>
            <w:tcMar>
              <w:top w:type="dxa" w:w="60"/>
              <w:left w:type="dxa" w:w="100"/>
              <w:bottom w:type="dxa" w:w="60"/>
              <w:right w:type="dxa" w:w="100"/>
            </w:tcMar>
            <w:vAlign w:val="center"/>
          </w:tcPr>
          <w:p>
            <w:r>
              <w:rPr>
                <w:sz w:val="18"/>
                <w:szCs w:val="18"/>
              </w:rPr>
              <w:t xml:space="preserve">Clear gap versus OrangeHRM Advanced specifically; lower urgency since it can be satisfied by integrating a third-party LMS rather than building one natively</w:t>
            </w:r>
          </w:p>
        </w:tc>
      </w:tr>
      <w:tr>
        <w:trPr>
          <w:tblHeader w:val="false"/>
        </w:trPr>
        <w:tc>
          <w:tcPr>
            <w:tcW w:type="dxa" w:w="2520"/>
            <w:tcMar>
              <w:top w:type="dxa" w:w="60"/>
              <w:left w:type="dxa" w:w="100"/>
              <w:bottom w:type="dxa" w:w="60"/>
              <w:right w:type="dxa" w:w="100"/>
            </w:tcMar>
            <w:vAlign w:val="center"/>
          </w:tcPr>
          <w:p>
            <w:r>
              <w:rPr>
                <w:b/>
                <w:bCs/>
                <w:sz w:val="18"/>
                <w:szCs w:val="18"/>
              </w:rPr>
              <w:t xml:space="preserve">Medium</w:t>
            </w:r>
          </w:p>
        </w:tc>
        <w:tc>
          <w:tcPr>
            <w:tcW w:type="dxa" w:w="2520"/>
            <w:tcMar>
              <w:top w:type="dxa" w:w="60"/>
              <w:left w:type="dxa" w:w="100"/>
              <w:bottom w:type="dxa" w:w="60"/>
              <w:right w:type="dxa" w:w="100"/>
            </w:tcMar>
            <w:vAlign w:val="center"/>
          </w:tcPr>
          <w:p>
            <w:r>
              <w:rPr>
                <w:sz w:val="18"/>
                <w:szCs w:val="18"/>
              </w:rPr>
              <w:t xml:space="preserve">Compensation management (salary revision workflow, revision letters, historical reporting)</w:t>
            </w:r>
          </w:p>
        </w:tc>
        <w:tc>
          <w:tcPr>
            <w:tcW w:type="dxa" w:w="2520"/>
            <w:tcMar>
              <w:top w:type="dxa" w:w="60"/>
              <w:left w:type="dxa" w:w="100"/>
              <w:bottom w:type="dxa" w:w="60"/>
              <w:right w:type="dxa" w:w="100"/>
            </w:tcMar>
            <w:vAlign w:val="center"/>
          </w:tcPr>
          <w:p>
            <w:r>
              <w:rPr>
                <w:sz w:val="18"/>
                <w:szCs w:val="18"/>
              </w:rPr>
              <w:t xml:space="preserve">1 of 3 directly, 1 of 3 partially (connector only)</w:t>
            </w:r>
          </w:p>
        </w:tc>
        <w:tc>
          <w:tcPr>
            <w:tcW w:type="dxa" w:w="2520"/>
            <w:tcMar>
              <w:top w:type="dxa" w:w="60"/>
              <w:left w:type="dxa" w:w="100"/>
              <w:bottom w:type="dxa" w:w="60"/>
              <w:right w:type="dxa" w:w="100"/>
            </w:tcMar>
            <w:vAlign w:val="center"/>
          </w:tcPr>
          <w:p>
            <w:r>
              <w:rPr>
                <w:sz w:val="18"/>
                <w:szCs w:val="18"/>
              </w:rPr>
              <w:t xml:space="preserve">Extends the existing PIM salary data model (B2) rather than requiring a new module; meaningfully improves on "store the current number"</w:t>
            </w:r>
          </w:p>
        </w:tc>
      </w:tr>
      <w:tr>
        <w:trPr>
          <w:tblHeader w:val="false"/>
        </w:trPr>
        <w:tc>
          <w:tcPr>
            <w:tcW w:type="dxa" w:w="2520"/>
            <w:tcMar>
              <w:top w:type="dxa" w:w="60"/>
              <w:left w:type="dxa" w:w="100"/>
              <w:bottom w:type="dxa" w:w="60"/>
              <w:right w:type="dxa" w:w="100"/>
            </w:tcMar>
            <w:vAlign w:val="center"/>
          </w:tcPr>
          <w:p>
            <w:r>
              <w:rPr>
                <w:b/>
                <w:bCs/>
                <w:sz w:val="18"/>
                <w:szCs w:val="18"/>
              </w:rPr>
              <w:t xml:space="preserve">Medium</w:t>
            </w:r>
          </w:p>
        </w:tc>
        <w:tc>
          <w:tcPr>
            <w:tcW w:type="dxa" w:w="2520"/>
            <w:tcMar>
              <w:top w:type="dxa" w:w="60"/>
              <w:left w:type="dxa" w:w="100"/>
              <w:bottom w:type="dxa" w:w="60"/>
              <w:right w:type="dxa" w:w="100"/>
            </w:tcMar>
            <w:vAlign w:val="center"/>
          </w:tcPr>
          <w:p>
            <w:r>
              <w:rPr>
                <w:sz w:val="18"/>
                <w:szCs w:val="18"/>
              </w:rPr>
              <w:t xml:space="preserve">9-Box talent/succession matrix</w:t>
            </w:r>
          </w:p>
        </w:tc>
        <w:tc>
          <w:tcPr>
            <w:tcW w:type="dxa" w:w="2520"/>
            <w:tcMar>
              <w:top w:type="dxa" w:w="60"/>
              <w:left w:type="dxa" w:w="100"/>
              <w:bottom w:type="dxa" w:w="60"/>
              <w:right w:type="dxa" w:w="100"/>
            </w:tcMar>
            <w:vAlign w:val="center"/>
          </w:tcPr>
          <w:p>
            <w:r>
              <w:rPr>
                <w:sz w:val="18"/>
                <w:szCs w:val="18"/>
              </w:rPr>
              <w:t xml:space="preserve">2 of 3</w:t>
            </w:r>
          </w:p>
        </w:tc>
        <w:tc>
          <w:tcPr>
            <w:tcW w:type="dxa" w:w="2520"/>
            <w:tcMar>
              <w:top w:type="dxa" w:w="60"/>
              <w:left w:type="dxa" w:w="100"/>
              <w:bottom w:type="dxa" w:w="60"/>
              <w:right w:type="dxa" w:w="100"/>
            </w:tcMar>
            <w:vAlign w:val="center"/>
          </w:tcPr>
          <w:p>
            <w:r>
              <w:rPr>
                <w:sz w:val="18"/>
                <w:szCs w:val="18"/>
              </w:rPr>
              <w:t xml:space="preserve">A relatively small addition to the existing Performance module (D2) data model with disproportionate value for succession planning conversations</w:t>
            </w:r>
          </w:p>
        </w:tc>
      </w:tr>
      <w:tr>
        <w:trPr>
          <w:tblHeader w:val="false"/>
        </w:trPr>
        <w:tc>
          <w:tcPr>
            <w:tcW w:type="dxa" w:w="2520"/>
            <w:tcMar>
              <w:top w:type="dxa" w:w="60"/>
              <w:left w:type="dxa" w:w="100"/>
              <w:bottom w:type="dxa" w:w="60"/>
              <w:right w:type="dxa" w:w="100"/>
            </w:tcMar>
            <w:vAlign w:val="center"/>
          </w:tcPr>
          <w:p>
            <w:r>
              <w:rPr>
                <w:b/>
                <w:bCs/>
                <w:sz w:val="18"/>
                <w:szCs w:val="18"/>
              </w:rPr>
              <w:t xml:space="preserve">Medium</w:t>
            </w:r>
          </w:p>
        </w:tc>
        <w:tc>
          <w:tcPr>
            <w:tcW w:type="dxa" w:w="2520"/>
            <w:tcMar>
              <w:top w:type="dxa" w:w="60"/>
              <w:left w:type="dxa" w:w="100"/>
              <w:bottom w:type="dxa" w:w="60"/>
              <w:right w:type="dxa" w:w="100"/>
            </w:tcMar>
            <w:vAlign w:val="center"/>
          </w:tcPr>
          <w:p>
            <w:r>
              <w:rPr>
                <w:sz w:val="18"/>
                <w:szCs w:val="18"/>
              </w:rPr>
              <w:t xml:space="preserve">OKR management</w:t>
            </w:r>
          </w:p>
        </w:tc>
        <w:tc>
          <w:tcPr>
            <w:tcW w:type="dxa" w:w="2520"/>
            <w:tcMar>
              <w:top w:type="dxa" w:w="60"/>
              <w:left w:type="dxa" w:w="100"/>
              <w:bottom w:type="dxa" w:w="60"/>
              <w:right w:type="dxa" w:w="100"/>
            </w:tcMar>
            <w:vAlign w:val="center"/>
          </w:tcPr>
          <w:p>
            <w:r>
              <w:rPr>
                <w:sz w:val="18"/>
                <w:szCs w:val="18"/>
              </w:rPr>
              <w:t xml:space="preserve">1 of 3</w:t>
            </w:r>
          </w:p>
        </w:tc>
        <w:tc>
          <w:tcPr>
            <w:tcW w:type="dxa" w:w="2520"/>
            <w:tcMar>
              <w:top w:type="dxa" w:w="60"/>
              <w:left w:type="dxa" w:w="100"/>
              <w:bottom w:type="dxa" w:w="60"/>
              <w:right w:type="dxa" w:w="100"/>
            </w:tcMar>
            <w:vAlign w:val="center"/>
          </w:tcPr>
          <w:p>
            <w:r>
              <w:rPr>
                <w:sz w:val="18"/>
                <w:szCs w:val="18"/>
              </w:rPr>
              <w:t xml:space="preserve">Distinct from simple Goal tracking (target/current value); worth a deliberate decision on whether OKRs or the existing Goals model is Systems Intelligenz's preferred planning method, rather than building both</w:t>
            </w:r>
          </w:p>
        </w:tc>
      </w:tr>
      <w:tr>
        <w:trPr>
          <w:tblHeader w:val="false"/>
        </w:trPr>
        <w:tc>
          <w:tcPr>
            <w:tcW w:type="dxa" w:w="2520"/>
            <w:tcMar>
              <w:top w:type="dxa" w:w="60"/>
              <w:left w:type="dxa" w:w="100"/>
              <w:bottom w:type="dxa" w:w="60"/>
              <w:right w:type="dxa" w:w="100"/>
            </w:tcMar>
            <w:vAlign w:val="center"/>
          </w:tcPr>
          <w:p>
            <w:r>
              <w:rPr>
                <w:b/>
                <w:bCs/>
                <w:sz w:val="18"/>
                <w:szCs w:val="18"/>
              </w:rPr>
              <w:t xml:space="preserve">Medium</w:t>
            </w:r>
          </w:p>
        </w:tc>
        <w:tc>
          <w:tcPr>
            <w:tcW w:type="dxa" w:w="2520"/>
            <w:tcMar>
              <w:top w:type="dxa" w:w="60"/>
              <w:left w:type="dxa" w:w="100"/>
              <w:bottom w:type="dxa" w:w="60"/>
              <w:right w:type="dxa" w:w="100"/>
            </w:tcMar>
            <w:vAlign w:val="center"/>
          </w:tcPr>
          <w:p>
            <w:r>
              <w:rPr>
                <w:sz w:val="18"/>
                <w:szCs w:val="18"/>
              </w:rPr>
              <w:t xml:space="preserve">Peer recognition &amp; rewards (points/badges)</w:t>
            </w:r>
          </w:p>
        </w:tc>
        <w:tc>
          <w:tcPr>
            <w:tcW w:type="dxa" w:w="2520"/>
            <w:tcMar>
              <w:top w:type="dxa" w:w="60"/>
              <w:left w:type="dxa" w:w="100"/>
              <w:bottom w:type="dxa" w:w="60"/>
              <w:right w:type="dxa" w:w="100"/>
            </w:tcMar>
            <w:vAlign w:val="center"/>
          </w:tcPr>
          <w:p>
            <w:r>
              <w:rPr>
                <w:sz w:val="18"/>
                <w:szCs w:val="18"/>
              </w:rPr>
              <w:t xml:space="preserve">1 of 3</w:t>
            </w:r>
          </w:p>
        </w:tc>
        <w:tc>
          <w:tcPr>
            <w:tcW w:type="dxa" w:w="2520"/>
            <w:tcMar>
              <w:top w:type="dxa" w:w="60"/>
              <w:left w:type="dxa" w:w="100"/>
              <w:bottom w:type="dxa" w:w="60"/>
              <w:right w:type="dxa" w:w="100"/>
            </w:tcMar>
            <w:vAlign w:val="center"/>
          </w:tcPr>
          <w:p>
            <w:r>
              <w:rPr>
                <w:sz w:val="18"/>
                <w:szCs w:val="18"/>
              </w:rPr>
              <w:t xml:space="preserve">Natural extension of the existing Buzz module (F1) rather than a new module</w:t>
            </w:r>
          </w:p>
        </w:tc>
      </w:tr>
      <w:tr>
        <w:trPr>
          <w:tblHeader w:val="false"/>
        </w:trPr>
        <w:tc>
          <w:tcPr>
            <w:tcW w:type="dxa" w:w="2520"/>
            <w:tcMar>
              <w:top w:type="dxa" w:w="60"/>
              <w:left w:type="dxa" w:w="100"/>
              <w:bottom w:type="dxa" w:w="60"/>
              <w:right w:type="dxa" w:w="100"/>
            </w:tcMar>
            <w:vAlign w:val="center"/>
          </w:tcPr>
          <w:p>
            <w:r>
              <w:rPr>
                <w:b/>
                <w:bCs/>
                <w:sz w:val="18"/>
                <w:szCs w:val="18"/>
              </w:rPr>
              <w:t xml:space="preserve">Low</w:t>
            </w:r>
          </w:p>
        </w:tc>
        <w:tc>
          <w:tcPr>
            <w:tcW w:type="dxa" w:w="2520"/>
            <w:tcMar>
              <w:top w:type="dxa" w:w="60"/>
              <w:left w:type="dxa" w:w="100"/>
              <w:bottom w:type="dxa" w:w="60"/>
              <w:right w:type="dxa" w:w="100"/>
            </w:tcMar>
            <w:vAlign w:val="center"/>
          </w:tcPr>
          <w:p>
            <w:r>
              <w:rPr>
                <w:sz w:val="18"/>
                <w:szCs w:val="18"/>
              </w:rPr>
              <w:t xml:space="preserve">Benefits administration / open enrollment</w:t>
            </w:r>
          </w:p>
        </w:tc>
        <w:tc>
          <w:tcPr>
            <w:tcW w:type="dxa" w:w="2520"/>
            <w:tcMar>
              <w:top w:type="dxa" w:w="60"/>
              <w:left w:type="dxa" w:w="100"/>
              <w:bottom w:type="dxa" w:w="60"/>
              <w:right w:type="dxa" w:w="100"/>
            </w:tcMar>
            <w:vAlign w:val="center"/>
          </w:tcPr>
          <w:p>
            <w:r>
              <w:rPr>
                <w:sz w:val="18"/>
                <w:szCs w:val="18"/>
              </w:rPr>
              <w:t xml:space="preserve">1 of 3 (partially, and as a paid add-on even there)</w:t>
            </w:r>
          </w:p>
        </w:tc>
        <w:tc>
          <w:tcPr>
            <w:tcW w:type="dxa" w:w="2520"/>
            <w:tcMar>
              <w:top w:type="dxa" w:w="60"/>
              <w:left w:type="dxa" w:w="100"/>
              <w:bottom w:type="dxa" w:w="60"/>
              <w:right w:type="dxa" w:w="100"/>
            </w:tcMar>
            <w:vAlign w:val="center"/>
          </w:tcPr>
          <w:p>
            <w:r>
              <w:rPr>
                <w:sz w:val="18"/>
                <w:szCs w:val="18"/>
              </w:rPr>
              <w:t xml:space="preserve">Not clearly a market-standard inclusion even among the benchmarked plans; validate against Systems Intelligenz's actual benefits program before committing scope</w:t>
            </w:r>
          </w:p>
        </w:tc>
      </w:tr>
      <w:tr>
        <w:trPr>
          <w:tblHeader w:val="false"/>
        </w:trPr>
        <w:tc>
          <w:tcPr>
            <w:tcW w:type="dxa" w:w="2520"/>
            <w:tcMar>
              <w:top w:type="dxa" w:w="60"/>
              <w:left w:type="dxa" w:w="100"/>
              <w:bottom w:type="dxa" w:w="60"/>
              <w:right w:type="dxa" w:w="100"/>
            </w:tcMar>
            <w:vAlign w:val="center"/>
          </w:tcPr>
          <w:p>
            <w:r>
              <w:rPr>
                <w:b/>
                <w:bCs/>
                <w:sz w:val="18"/>
                <w:szCs w:val="18"/>
              </w:rPr>
              <w:t xml:space="preserve">Low</w:t>
            </w:r>
          </w:p>
        </w:tc>
        <w:tc>
          <w:tcPr>
            <w:tcW w:type="dxa" w:w="2520"/>
            <w:tcMar>
              <w:top w:type="dxa" w:w="60"/>
              <w:left w:type="dxa" w:w="100"/>
              <w:bottom w:type="dxa" w:w="60"/>
              <w:right w:type="dxa" w:w="100"/>
            </w:tcMar>
            <w:vAlign w:val="center"/>
          </w:tcPr>
          <w:p>
            <w:r>
              <w:rPr>
                <w:sz w:val="18"/>
                <w:szCs w:val="18"/>
              </w:rPr>
              <w:t xml:space="preserve">On-demand pay / earned wage access</w:t>
            </w:r>
          </w:p>
        </w:tc>
        <w:tc>
          <w:tcPr>
            <w:tcW w:type="dxa" w:w="2520"/>
            <w:tcMar>
              <w:top w:type="dxa" w:w="60"/>
              <w:left w:type="dxa" w:w="100"/>
              <w:bottom w:type="dxa" w:w="60"/>
              <w:right w:type="dxa" w:w="100"/>
            </w:tcMar>
            <w:vAlign w:val="center"/>
          </w:tcPr>
          <w:p>
            <w:r>
              <w:rPr>
                <w:sz w:val="18"/>
                <w:szCs w:val="18"/>
              </w:rPr>
              <w:t xml:space="preserve">1 of 3</w:t>
            </w:r>
          </w:p>
        </w:tc>
        <w:tc>
          <w:tcPr>
            <w:tcW w:type="dxa" w:w="2520"/>
            <w:tcMar>
              <w:top w:type="dxa" w:w="60"/>
              <w:left w:type="dxa" w:w="100"/>
              <w:bottom w:type="dxa" w:w="60"/>
              <w:right w:type="dxa" w:w="100"/>
            </w:tcMar>
            <w:vAlign w:val="center"/>
          </w:tcPr>
          <w:p>
            <w:r>
              <w:rPr>
                <w:sz w:val="18"/>
                <w:szCs w:val="18"/>
              </w:rPr>
              <w:t xml:space="preserve">Niche; typically requires a banking/payments partner, not just application logic</w:t>
            </w:r>
          </w:p>
        </w:tc>
      </w:tr>
      <w:tr>
        <w:trPr>
          <w:tblHeader w:val="false"/>
        </w:trPr>
        <w:tc>
          <w:tcPr>
            <w:tcW w:type="dxa" w:w="2520"/>
            <w:tcMar>
              <w:top w:type="dxa" w:w="60"/>
              <w:left w:type="dxa" w:w="100"/>
              <w:bottom w:type="dxa" w:w="60"/>
              <w:right w:type="dxa" w:w="100"/>
            </w:tcMar>
            <w:vAlign w:val="center"/>
          </w:tcPr>
          <w:p>
            <w:r>
              <w:rPr>
                <w:b/>
                <w:bCs/>
                <w:sz w:val="18"/>
                <w:szCs w:val="18"/>
              </w:rPr>
              <w:t xml:space="preserve">Low</w:t>
            </w:r>
          </w:p>
        </w:tc>
        <w:tc>
          <w:tcPr>
            <w:tcW w:type="dxa" w:w="2520"/>
            <w:tcMar>
              <w:top w:type="dxa" w:w="60"/>
              <w:left w:type="dxa" w:w="100"/>
              <w:bottom w:type="dxa" w:w="60"/>
              <w:right w:type="dxa" w:w="100"/>
            </w:tcMar>
            <w:vAlign w:val="center"/>
          </w:tcPr>
          <w:p>
            <w:r>
              <w:rPr>
                <w:sz w:val="18"/>
                <w:szCs w:val="18"/>
              </w:rPr>
              <w:t xml:space="preserve">HR/IT case management SLA tracking</w:t>
            </w:r>
          </w:p>
        </w:tc>
        <w:tc>
          <w:tcPr>
            <w:tcW w:type="dxa" w:w="2520"/>
            <w:tcMar>
              <w:top w:type="dxa" w:w="60"/>
              <w:left w:type="dxa" w:w="100"/>
              <w:bottom w:type="dxa" w:w="60"/>
              <w:right w:type="dxa" w:w="100"/>
            </w:tcMar>
            <w:vAlign w:val="center"/>
          </w:tcPr>
          <w:p>
            <w:r>
              <w:rPr>
                <w:sz w:val="18"/>
                <w:szCs w:val="18"/>
              </w:rPr>
              <w:t xml:space="preserve">1 of 3, and at a higher tier than the plan compared</w:t>
            </w:r>
          </w:p>
        </w:tc>
        <w:tc>
          <w:tcPr>
            <w:tcW w:type="dxa" w:w="2520"/>
            <w:tcMar>
              <w:top w:type="dxa" w:w="60"/>
              <w:left w:type="dxa" w:w="100"/>
              <w:bottom w:type="dxa" w:w="60"/>
              <w:right w:type="dxa" w:w="100"/>
            </w:tcMar>
            <w:vAlign w:val="center"/>
          </w:tcPr>
          <w:p>
            <w:r>
              <w:rPr>
                <w:sz w:val="18"/>
                <w:szCs w:val="18"/>
              </w:rPr>
              <w:t xml:space="preserve">The existing Helpdesk module (F4) already covers the core workflow; SLA tracking is an enhancement, not a gap in kind</w:t>
            </w:r>
          </w:p>
        </w:tc>
      </w:tr>
      <w:tr>
        <w:trPr>
          <w:tblHeader w:val="false"/>
        </w:trPr>
        <w:tc>
          <w:tcPr>
            <w:tcW w:type="dxa" w:w="2520"/>
            <w:tcMar>
              <w:top w:type="dxa" w:w="60"/>
              <w:left w:type="dxa" w:w="100"/>
              <w:bottom w:type="dxa" w:w="60"/>
              <w:right w:type="dxa" w:w="100"/>
            </w:tcMar>
            <w:vAlign w:val="center"/>
          </w:tcPr>
          <w:p>
            <w:r>
              <w:rPr>
                <w:b/>
                <w:bCs/>
                <w:sz w:val="18"/>
                <w:szCs w:val="18"/>
              </w:rPr>
              <w:t xml:space="preserve">Not recommended as scope</w:t>
            </w:r>
          </w:p>
        </w:tc>
        <w:tc>
          <w:tcPr>
            <w:tcW w:type="dxa" w:w="2520"/>
            <w:tcMar>
              <w:top w:type="dxa" w:w="60"/>
              <w:left w:type="dxa" w:w="100"/>
              <w:bottom w:type="dxa" w:w="60"/>
              <w:right w:type="dxa" w:w="100"/>
            </w:tcMar>
            <w:vAlign w:val="center"/>
          </w:tcPr>
          <w:p>
            <w:r>
              <w:rPr>
                <w:sz w:val="18"/>
                <w:szCs w:val="18"/>
              </w:rPr>
              <w:t xml:space="preserve">Native payroll processing</w:t>
            </w:r>
          </w:p>
        </w:tc>
        <w:tc>
          <w:tcPr>
            <w:tcW w:type="dxa" w:w="2520"/>
            <w:tcMar>
              <w:top w:type="dxa" w:w="60"/>
              <w:left w:type="dxa" w:w="100"/>
              <w:bottom w:type="dxa" w:w="60"/>
              <w:right w:type="dxa" w:w="100"/>
            </w:tcMar>
            <w:vAlign w:val="center"/>
          </w:tcPr>
          <w:p>
            <w:r>
              <w:rPr>
                <w:sz w:val="18"/>
                <w:szCs w:val="18"/>
              </w:rPr>
              <w:t xml:space="preserve">0 of 3 (all three integrate/connect or sell it separately)</w:t>
            </w:r>
          </w:p>
        </w:tc>
        <w:tc>
          <w:tcPr>
            <w:tcW w:type="dxa" w:w="2520"/>
            <w:tcMar>
              <w:top w:type="dxa" w:w="60"/>
              <w:left w:type="dxa" w:w="100"/>
              <w:bottom w:type="dxa" w:w="60"/>
              <w:right w:type="dxa" w:w="100"/>
            </w:tcMar>
            <w:vAlign w:val="center"/>
          </w:tcPr>
          <w:p>
            <w:r>
              <w:rPr>
                <w:sz w:val="18"/>
                <w:szCs w:val="18"/>
              </w:rPr>
              <w:t xml:space="preserve">Confirms the Section 4 design decision to treat payroll as an external system integration point, not a module to build natively</w:t>
            </w:r>
          </w:p>
        </w:tc>
      </w:tr>
      <w:tr>
        <w:trPr>
          <w:tblHeader w:val="false"/>
        </w:trPr>
        <w:tc>
          <w:tcPr>
            <w:tcW w:type="dxa" w:w="2520"/>
            <w:tcMar>
              <w:top w:type="dxa" w:w="60"/>
              <w:left w:type="dxa" w:w="100"/>
              <w:bottom w:type="dxa" w:w="60"/>
              <w:right w:type="dxa" w:w="100"/>
            </w:tcMar>
            <w:vAlign w:val="center"/>
          </w:tcPr>
          <w:p>
            <w:r>
              <w:rPr>
                <w:b/>
                <w:bCs/>
                <w:sz w:val="18"/>
                <w:szCs w:val="18"/>
              </w:rPr>
              <w:t xml:space="preserve">Explicitly descoped, not a gap</w:t>
            </w:r>
          </w:p>
        </w:tc>
        <w:tc>
          <w:tcPr>
            <w:tcW w:type="dxa" w:w="2520"/>
            <w:tcMar>
              <w:top w:type="dxa" w:w="60"/>
              <w:left w:type="dxa" w:w="100"/>
              <w:bottom w:type="dxa" w:w="60"/>
              <w:right w:type="dxa" w:w="100"/>
            </w:tcMar>
            <w:vAlign w:val="center"/>
          </w:tcPr>
          <w:p>
            <w:r>
              <w:rPr>
                <w:sz w:val="18"/>
                <w:szCs w:val="18"/>
              </w:rPr>
              <w:t xml:space="preserve">Shift roster / scheduling (drag-and-drop, location-based, open-shift publishing)</w:t>
            </w:r>
          </w:p>
        </w:tc>
        <w:tc>
          <w:tcPr>
            <w:tcW w:type="dxa" w:w="2520"/>
            <w:tcMar>
              <w:top w:type="dxa" w:w="60"/>
              <w:left w:type="dxa" w:w="100"/>
              <w:bottom w:type="dxa" w:w="60"/>
              <w:right w:type="dxa" w:w="100"/>
            </w:tcMar>
            <w:vAlign w:val="center"/>
          </w:tcPr>
          <w:p>
            <w:r>
              <w:rPr>
                <w:sz w:val="18"/>
                <w:szCs w:val="18"/>
              </w:rPr>
              <w:t xml:space="preserve">2 of 3</w:t>
            </w:r>
          </w:p>
        </w:tc>
        <w:tc>
          <w:tcPr>
            <w:tcW w:type="dxa" w:w="2520"/>
            <w:tcMar>
              <w:top w:type="dxa" w:w="60"/>
              <w:left w:type="dxa" w:w="100"/>
              <w:bottom w:type="dxa" w:w="60"/>
              <w:right w:type="dxa" w:w="100"/>
            </w:tcMar>
            <w:vAlign w:val="center"/>
          </w:tcPr>
          <w:p>
            <w:r>
              <w:rPr>
                <w:sz w:val="18"/>
                <w:szCs w:val="18"/>
              </w:rPr>
              <w:t xml:space="preserve">SI confirmed this is not an important feature for this build; retained in the comparison matrix (Section 8.2) only for completeness, not carried into the roadmap below</w:t>
            </w:r>
          </w:p>
        </w:tc>
      </w:tr>
    </w:tbl>
    <w:p>
      <w:pPr>
        <w:spacing w:after="120"/>
      </w:pPr>
    </w:p>
    <w:p>
      <w:pPr>
        <w:pStyle w:val="Heading2"/>
        <w:spacing w:after="160" w:before="280"/>
      </w:pPr>
      <w:r>
        <w:t xml:space="preserve">8.4 Roadmap: Recommended Post-Launch Enhancement Phases</w:t>
      </w:r>
    </w:p>
    <w:p>
      <w:pPr>
        <w:spacing w:after="160"/>
        <w:jc w:val="both"/>
      </w:pPr>
      <w:r>
        <w:t xml:space="preserve">The items above are recommended as </w:t>
      </w:r>
      <w:r>
        <w:rPr>
          <w:b/>
          <w:bCs/>
        </w:rPr>
        <w:t xml:space="preserve">Phase 7 and beyond</w:t>
      </w:r>
      <w:r>
        <w:t xml:space="preserve"> — deliberately sequenced after Section 7's Phase 6 (Hardening, Migration &amp; Launch), so that the from-scratch build first reaches full parity with the reference HRM_6.0 system, *plus* the SI-requested additions already folded into Phases 0–6 (Section 7.2), before taking on further net-new capabilities. Grouping mirrors the priority tiers in Section 8.3, which now excludes the items resolved in this iteration (pulse surveys, grievance/whistleblower reporting, e-signature, full mobile API parity) and excludes Shift roster/scheduling entirely per SI's descoping direction.</w:t>
      </w:r>
    </w:p>
    <w:p>
      <w:pPr>
        <w:spacing w:after="160"/>
        <w:jc w:val="both"/>
      </w:pPr>
      <w:r>
        <w:rPr>
          <w:b/>
          <w:bCs/>
        </w:rPr>
        <w:t xml:space="preserve">Phase 7 — Near-Term Enhancements (Months 1–6 post-launch)</w:t>
      </w:r>
      <w:r>
        <w:t xml:space="preserve"> Target the "High" priority item, since it is now a baseline market expectation rather than a differentiator:</w:t>
      </w:r>
    </w:p>
    <w:p>
      <w:pPr>
        <w:pStyle w:val="ListParagraph"/>
        <w:numPr>
          <w:ilvl w:val="0"/>
          <w:numId w:val="1"/>
        </w:numPr>
        <w:spacing w:after="60"/>
      </w:pPr>
      <w:r>
        <w:t xml:space="preserve">Initial AI assistant scope definition and a pilot (HR policy Q&amp;A grounded in the Policy Document repository, Domain E4, is the lowest-risk starting point; broader "HR data questions" access should be scoped carefully against the RBAC model in Section 3.2 — including the new custom-role matrix, Section A2 — so the assistant never surfaces data the asking user could not otherwise see)</w:t>
      </w:r>
    </w:p>
    <w:p>
      <w:pPr>
        <w:spacing w:after="160"/>
        <w:jc w:val="both"/>
      </w:pPr>
      <w:r>
        <w:rPr>
          <w:b/>
          <w:bCs/>
        </w:rPr>
        <w:t xml:space="preserve">Phase 8 — Mid-Term Enhancements (Months 6–14 post-launch)</w:t>
      </w:r>
      <w:r>
        <w:t xml:space="preserve"> Target the "Medium" priority items, sequenced so each extends an existing module rather than introducing new platform concepts:</w:t>
      </w:r>
    </w:p>
    <w:p>
      <w:pPr>
        <w:pStyle w:val="ListParagraph"/>
        <w:numPr>
          <w:ilvl w:val="0"/>
          <w:numId w:val="1"/>
        </w:numPr>
        <w:spacing w:after="60"/>
      </w:pPr>
      <w:r>
        <w:t xml:space="preserve">Compensation management: salary revision workflow (reusing the Section 3.2 workflow engine), revision letter generation, and historical compensation reporting — extends B2</w:t>
      </w:r>
    </w:p>
    <w:p>
      <w:pPr>
        <w:pStyle w:val="ListParagraph"/>
        <w:numPr>
          <w:ilvl w:val="0"/>
          <w:numId w:val="1"/>
        </w:numPr>
        <w:spacing w:after="60"/>
      </w:pPr>
      <w:r>
        <w:t xml:space="preserve">9-Box talent/succession matrix and OKR management — both extend D2's existing Performance data model; recommend a single combined discovery exercise with Systems Intelligenz HR leadership to decide whether OKRs replace or supplement the existing Goal-tracking design before building both</w:t>
      </w:r>
    </w:p>
    <w:p>
      <w:pPr>
        <w:pStyle w:val="ListParagraph"/>
        <w:numPr>
          <w:ilvl w:val="0"/>
          <w:numId w:val="1"/>
        </w:numPr>
        <w:spacing w:after="60"/>
      </w:pPr>
      <w:r>
        <w:t xml:space="preserve">Peer recognition &amp; rewards — extends F1 (Buzz) with a points/badge data model and a redemption or leaderboard view</w:t>
      </w:r>
    </w:p>
    <w:p>
      <w:pPr>
        <w:pStyle w:val="ListParagraph"/>
        <w:numPr>
          <w:ilvl w:val="0"/>
          <w:numId w:val="1"/>
        </w:numPr>
        <w:spacing w:after="60"/>
      </w:pPr>
      <w:r>
        <w:t xml:space="preserve">Learning Management System — recommend evaluating a third-party LMS integration (course delivery, assessments, completion certificates syncing back into the existing Training record model in B3) before committing to a natively built LMS, given the scope such a build would add</w:t>
      </w:r>
    </w:p>
    <w:p>
      <w:pPr>
        <w:spacing w:after="160"/>
        <w:jc w:val="both"/>
      </w:pPr>
      <w:r>
        <w:rPr>
          <w:b/>
          <w:bCs/>
        </w:rPr>
        <w:t xml:space="preserve">Phase 9 — Long-Term / Evaluate-on-Demand (Months 14+ post-launch)</w:t>
      </w:r>
      <w:r>
        <w:t xml:space="preserve"> Lower-priority items that should be scoped only once there is a concrete Systems Intelligenz business need, not built speculatively:</w:t>
      </w:r>
    </w:p>
    <w:p>
      <w:pPr>
        <w:pStyle w:val="ListParagraph"/>
        <w:numPr>
          <w:ilvl w:val="0"/>
          <w:numId w:val="1"/>
        </w:numPr>
        <w:spacing w:after="60"/>
      </w:pPr>
      <w:r>
        <w:t xml:space="preserve">Benefits administration/open enrollment — contingent on how Systems Intelligenz actually administers benefits today</w:t>
      </w:r>
    </w:p>
    <w:p>
      <w:pPr>
        <w:pStyle w:val="ListParagraph"/>
        <w:numPr>
          <w:ilvl w:val="0"/>
          <w:numId w:val="1"/>
        </w:numPr>
        <w:spacing w:after="60"/>
      </w:pPr>
      <w:r>
        <w:t xml:space="preserve">On-demand pay/earned wage access — contingent on identifying a banking/payments partner</w:t>
      </w:r>
    </w:p>
    <w:p>
      <w:pPr>
        <w:pStyle w:val="ListParagraph"/>
        <w:numPr>
          <w:ilvl w:val="0"/>
          <w:numId w:val="1"/>
        </w:numPr>
        <w:spacing w:after="60"/>
      </w:pPr>
      <w:r>
        <w:t xml:space="preserve">SLA tracking on the Helpdesk module (F4)</w:t>
      </w:r>
    </w:p>
    <w:p>
      <w:pPr>
        <w:spacing w:after="160"/>
        <w:jc w:val="both"/>
      </w:pPr>
      <w:r>
        <w:rPr>
          <w:b/>
          <w:bCs/>
        </w:rPr>
        <w:t xml:space="preserve">Explicitly out of roadmap scope:</w:t>
      </w:r>
      <w:r>
        <w:t xml:space="preserve"> native payroll processing (confirmed by all three benchmarked products treating it as an integration or a separate product, not a bundled native module — this supports, rather than contradicts, the Section 4 decision to expose a payroll *connector*/export capability from the Compensation data in B2 instead of building payroll processing natively), and shift roster/scheduling (explicitly descoped by SI — Section 8.3).</w:t>
      </w:r>
    </w:p>
    <w:p>
      <w:pPr>
        <w:pStyle w:val="Heading2"/>
        <w:spacing w:after="160" w:before="280"/>
      </w:pPr>
      <w:r>
        <w:t xml:space="preserve">8.5 Sources</w:t>
      </w:r>
    </w:p>
    <w:p>
      <w:pPr>
        <w:pStyle w:val="ListParagraph"/>
        <w:numPr>
          <w:ilvl w:val="0"/>
          <w:numId w:val="1"/>
        </w:numPr>
        <w:spacing w:after="60"/>
      </w:pPr>
      <w:r>
        <w:t xml:space="preserve">[OrangeHRM Pricing](https://www.orangehrm.com/pricing/)</w:t>
      </w:r>
    </w:p>
    <w:p>
      <w:pPr>
        <w:pStyle w:val="ListParagraph"/>
        <w:numPr>
          <w:ilvl w:val="0"/>
          <w:numId w:val="1"/>
        </w:numPr>
        <w:spacing w:after="60"/>
      </w:pPr>
      <w:r>
        <w:t xml:space="preserve">[BambooHR Pricing](https://www.bamboohr.com/pricing/)</w:t>
      </w:r>
    </w:p>
    <w:p>
      <w:pPr>
        <w:pStyle w:val="ListParagraph"/>
        <w:numPr>
          <w:ilvl w:val="0"/>
          <w:numId w:val="1"/>
        </w:numPr>
        <w:spacing w:after="60"/>
      </w:pPr>
      <w:r>
        <w:t xml:space="preserve">[Zoho People Pricing &amp; Editions](https://www.zoho.com/people/zohopeople-pricing.html)</w:t>
      </w:r>
    </w:p>
    <w:p>
      <w:pPr>
        <w:pStyle w:val="ListParagraph"/>
        <w:numPr>
          <w:ilvl w:val="0"/>
          <w:numId w:val="1"/>
        </w:numPr>
        <w:spacing w:after="60"/>
      </w:pPr>
      <w:r>
        <w:t xml:space="preserve">[Zoho People Pricing Comparison](https://www.zoho.com/people/pricing-comparison.html)</w:t>
      </w:r>
    </w:p>
    <w:p>
      <w:r>
        <w:br w:type="page"/>
      </w:r>
    </w:p>
    <w:p>
      <w:pPr>
        <w:pStyle w:val="Heading1"/>
        <w:spacing w:after="160" w:before="280"/>
      </w:pPr>
      <w:r>
        <w:t xml:space="preserve">9. Appendix</w:t>
      </w:r>
    </w:p>
    <w:p>
      <w:pPr>
        <w:pStyle w:val="Heading2"/>
        <w:spacing w:after="160" w:before="280"/>
      </w:pPr>
      <w:r>
        <w:t xml:space="preserve">9.1 Module Cross-Reference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3360"/>
        <w:gridCol w:w="3360"/>
        <w:gridCol w:w="3360"/>
      </w:tblGrid>
      <w:tr>
        <w:trPr>
          <w:tblHeader/>
        </w:trPr>
        <w:tc>
          <w:tcPr>
            <w:tcW w:type="dxa" w:w="3360"/>
            <w:shd w:fill="1F3864" w:val="clear"/>
            <w:tcMar>
              <w:top w:type="dxa" w:w="60"/>
              <w:left w:type="dxa" w:w="100"/>
              <w:bottom w:type="dxa" w:w="60"/>
              <w:right w:type="dxa" w:w="100"/>
            </w:tcMar>
            <w:vAlign w:val="center"/>
          </w:tcPr>
          <w:p>
            <w:r>
              <w:rPr>
                <w:b/>
                <w:bCs/>
                <w:color w:val="FFFFFF"/>
                <w:sz w:val="18"/>
                <w:szCs w:val="18"/>
              </w:rPr>
              <w:t xml:space="preserve">Spec Section</w:t>
            </w:r>
          </w:p>
        </w:tc>
        <w:tc>
          <w:tcPr>
            <w:tcW w:type="dxa" w:w="3360"/>
            <w:shd w:fill="1F3864" w:val="clear"/>
            <w:tcMar>
              <w:top w:type="dxa" w:w="60"/>
              <w:left w:type="dxa" w:w="100"/>
              <w:bottom w:type="dxa" w:w="60"/>
              <w:right w:type="dxa" w:w="100"/>
            </w:tcMar>
            <w:vAlign w:val="center"/>
          </w:tcPr>
          <w:p>
            <w:r>
              <w:rPr>
                <w:b/>
                <w:bCs/>
                <w:color w:val="FFFFFF"/>
                <w:sz w:val="18"/>
                <w:szCs w:val="18"/>
              </w:rPr>
              <w:t xml:space="preserve">Domain</w:t>
            </w:r>
          </w:p>
        </w:tc>
        <w:tc>
          <w:tcPr>
            <w:tcW w:type="dxa" w:w="3360"/>
            <w:shd w:fill="1F3864" w:val="clear"/>
            <w:tcMar>
              <w:top w:type="dxa" w:w="60"/>
              <w:left w:type="dxa" w:w="100"/>
              <w:bottom w:type="dxa" w:w="60"/>
              <w:right w:type="dxa" w:w="100"/>
            </w:tcMar>
            <w:vAlign w:val="center"/>
          </w:tcPr>
          <w:p>
            <w:r>
              <w:rPr>
                <w:b/>
                <w:bCs/>
                <w:color w:val="FFFFFF"/>
                <w:sz w:val="18"/>
                <w:szCs w:val="18"/>
              </w:rPr>
              <w:t xml:space="preserve">Reference-System Module(s)</w:t>
            </w:r>
          </w:p>
        </w:tc>
      </w:tr>
      <w:tr>
        <w:trPr>
          <w:tblHeader w:val="false"/>
        </w:trPr>
        <w:tc>
          <w:tcPr>
            <w:tcW w:type="dxa" w:w="3360"/>
            <w:tcMar>
              <w:top w:type="dxa" w:w="60"/>
              <w:left w:type="dxa" w:w="100"/>
              <w:bottom w:type="dxa" w:w="60"/>
              <w:right w:type="dxa" w:w="100"/>
            </w:tcMar>
            <w:vAlign w:val="center"/>
          </w:tcPr>
          <w:p>
            <w:r>
              <w:rPr>
                <w:sz w:val="18"/>
                <w:szCs w:val="18"/>
              </w:rPr>
              <w:t xml:space="preserve">A1</w:t>
            </w:r>
          </w:p>
        </w:tc>
        <w:tc>
          <w:tcPr>
            <w:tcW w:type="dxa" w:w="3360"/>
            <w:tcMar>
              <w:top w:type="dxa" w:w="60"/>
              <w:left w:type="dxa" w:w="100"/>
              <w:bottom w:type="dxa" w:w="60"/>
              <w:right w:type="dxa" w:w="100"/>
            </w:tcMar>
            <w:vAlign w:val="center"/>
          </w:tcPr>
          <w:p>
            <w:r>
              <w:rPr>
                <w:sz w:val="18"/>
                <w:szCs w:val="18"/>
              </w:rPr>
              <w:t xml:space="preserve">Platform &amp; Identity</w:t>
            </w:r>
          </w:p>
        </w:tc>
        <w:tc>
          <w:tcPr>
            <w:tcW w:type="dxa" w:w="3360"/>
            <w:tcMar>
              <w:top w:type="dxa" w:w="60"/>
              <w:left w:type="dxa" w:w="100"/>
              <w:bottom w:type="dxa" w:w="60"/>
              <w:right w:type="dxa" w:w="100"/>
            </w:tcMar>
            <w:vAlign w:val="center"/>
          </w:tcPr>
          <w:p>
            <w:r>
              <w:rPr>
                <w:sz w:val="18"/>
                <w:szCs w:val="18"/>
              </w:rPr>
              <w:t xml:space="preserve">Authentication</w:t>
            </w:r>
          </w:p>
        </w:tc>
      </w:tr>
      <w:tr>
        <w:trPr>
          <w:tblHeader w:val="false"/>
        </w:trPr>
        <w:tc>
          <w:tcPr>
            <w:tcW w:type="dxa" w:w="3360"/>
            <w:tcMar>
              <w:top w:type="dxa" w:w="60"/>
              <w:left w:type="dxa" w:w="100"/>
              <w:bottom w:type="dxa" w:w="60"/>
              <w:right w:type="dxa" w:w="100"/>
            </w:tcMar>
            <w:vAlign w:val="center"/>
          </w:tcPr>
          <w:p>
            <w:r>
              <w:rPr>
                <w:sz w:val="18"/>
                <w:szCs w:val="18"/>
              </w:rPr>
              <w:t xml:space="preserve">A2</w:t>
            </w:r>
          </w:p>
        </w:tc>
        <w:tc>
          <w:tcPr>
            <w:tcW w:type="dxa" w:w="3360"/>
            <w:tcMar>
              <w:top w:type="dxa" w:w="60"/>
              <w:left w:type="dxa" w:w="100"/>
              <w:bottom w:type="dxa" w:w="60"/>
              <w:right w:type="dxa" w:w="100"/>
            </w:tcMar>
            <w:vAlign w:val="center"/>
          </w:tcPr>
          <w:p>
            <w:r>
              <w:rPr>
                <w:sz w:val="18"/>
                <w:szCs w:val="18"/>
              </w:rPr>
              <w:t xml:space="preserve">Platform &amp; Identity</w:t>
            </w:r>
          </w:p>
        </w:tc>
        <w:tc>
          <w:tcPr>
            <w:tcW w:type="dxa" w:w="3360"/>
            <w:tcMar>
              <w:top w:type="dxa" w:w="60"/>
              <w:left w:type="dxa" w:w="100"/>
              <w:bottom w:type="dxa" w:w="60"/>
              <w:right w:type="dxa" w:w="100"/>
            </w:tcMar>
            <w:vAlign w:val="center"/>
          </w:tcPr>
          <w:p>
            <w:r>
              <w:rPr>
                <w:sz w:val="18"/>
                <w:szCs w:val="18"/>
              </w:rPr>
              <w:t xml:space="preserve">Core (Users/Roles/Permissions)</w:t>
            </w:r>
          </w:p>
        </w:tc>
      </w:tr>
      <w:tr>
        <w:trPr>
          <w:tblHeader w:val="false"/>
        </w:trPr>
        <w:tc>
          <w:tcPr>
            <w:tcW w:type="dxa" w:w="3360"/>
            <w:tcMar>
              <w:top w:type="dxa" w:w="60"/>
              <w:left w:type="dxa" w:w="100"/>
              <w:bottom w:type="dxa" w:w="60"/>
              <w:right w:type="dxa" w:w="100"/>
            </w:tcMar>
            <w:vAlign w:val="center"/>
          </w:tcPr>
          <w:p>
            <w:r>
              <w:rPr>
                <w:sz w:val="18"/>
                <w:szCs w:val="18"/>
              </w:rPr>
              <w:t xml:space="preserve">A3</w:t>
            </w:r>
          </w:p>
        </w:tc>
        <w:tc>
          <w:tcPr>
            <w:tcW w:type="dxa" w:w="3360"/>
            <w:tcMar>
              <w:top w:type="dxa" w:w="60"/>
              <w:left w:type="dxa" w:w="100"/>
              <w:bottom w:type="dxa" w:w="60"/>
              <w:right w:type="dxa" w:w="100"/>
            </w:tcMar>
            <w:vAlign w:val="center"/>
          </w:tcPr>
          <w:p>
            <w:r>
              <w:rPr>
                <w:sz w:val="18"/>
                <w:szCs w:val="18"/>
              </w:rPr>
              <w:t xml:space="preserve">Platform &amp; Identity</w:t>
            </w:r>
          </w:p>
        </w:tc>
        <w:tc>
          <w:tcPr>
            <w:tcW w:type="dxa" w:w="3360"/>
            <w:tcMar>
              <w:top w:type="dxa" w:w="60"/>
              <w:left w:type="dxa" w:w="100"/>
              <w:bottom w:type="dxa" w:w="60"/>
              <w:right w:type="dxa" w:w="100"/>
            </w:tcMar>
            <w:vAlign w:val="center"/>
          </w:tcPr>
          <w:p>
            <w:r>
              <w:rPr>
                <w:sz w:val="18"/>
                <w:szCs w:val="18"/>
              </w:rPr>
              <w:t xml:space="preserve">LDAP Authentication, OpenID Authentication, Core OAuth</w:t>
            </w:r>
          </w:p>
        </w:tc>
      </w:tr>
      <w:tr>
        <w:trPr>
          <w:tblHeader w:val="false"/>
        </w:trPr>
        <w:tc>
          <w:tcPr>
            <w:tcW w:type="dxa" w:w="3360"/>
            <w:tcMar>
              <w:top w:type="dxa" w:w="60"/>
              <w:left w:type="dxa" w:w="100"/>
              <w:bottom w:type="dxa" w:w="60"/>
              <w:right w:type="dxa" w:w="100"/>
            </w:tcMar>
            <w:vAlign w:val="center"/>
          </w:tcPr>
          <w:p>
            <w:r>
              <w:rPr>
                <w:sz w:val="18"/>
                <w:szCs w:val="18"/>
              </w:rPr>
              <w:t xml:space="preserve">A4</w:t>
            </w:r>
          </w:p>
        </w:tc>
        <w:tc>
          <w:tcPr>
            <w:tcW w:type="dxa" w:w="3360"/>
            <w:tcMar>
              <w:top w:type="dxa" w:w="60"/>
              <w:left w:type="dxa" w:w="100"/>
              <w:bottom w:type="dxa" w:w="60"/>
              <w:right w:type="dxa" w:w="100"/>
            </w:tcMar>
            <w:vAlign w:val="center"/>
          </w:tcPr>
          <w:p>
            <w:r>
              <w:rPr>
                <w:sz w:val="18"/>
                <w:szCs w:val="18"/>
              </w:rPr>
              <w:t xml:space="preserve">Platform &amp; Identity</w:t>
            </w:r>
          </w:p>
        </w:tc>
        <w:tc>
          <w:tcPr>
            <w:tcW w:type="dxa" w:w="3360"/>
            <w:tcMar>
              <w:top w:type="dxa" w:w="60"/>
              <w:left w:type="dxa" w:w="100"/>
              <w:bottom w:type="dxa" w:w="60"/>
              <w:right w:type="dxa" w:w="100"/>
            </w:tcMar>
            <w:vAlign w:val="center"/>
          </w:tcPr>
          <w:p>
            <w:r>
              <w:rPr>
                <w:sz w:val="18"/>
                <w:szCs w:val="18"/>
              </w:rPr>
              <w:t xml:space="preserve">I18N</w:t>
            </w:r>
          </w:p>
        </w:tc>
      </w:tr>
      <w:tr>
        <w:trPr>
          <w:tblHeader w:val="false"/>
        </w:trPr>
        <w:tc>
          <w:tcPr>
            <w:tcW w:type="dxa" w:w="3360"/>
            <w:tcMar>
              <w:top w:type="dxa" w:w="60"/>
              <w:left w:type="dxa" w:w="100"/>
              <w:bottom w:type="dxa" w:w="60"/>
              <w:right w:type="dxa" w:w="100"/>
            </w:tcMar>
            <w:vAlign w:val="center"/>
          </w:tcPr>
          <w:p>
            <w:r>
              <w:rPr>
                <w:sz w:val="18"/>
                <w:szCs w:val="18"/>
              </w:rPr>
              <w:t xml:space="preserve">A5</w:t>
            </w:r>
          </w:p>
        </w:tc>
        <w:tc>
          <w:tcPr>
            <w:tcW w:type="dxa" w:w="3360"/>
            <w:tcMar>
              <w:top w:type="dxa" w:w="60"/>
              <w:left w:type="dxa" w:w="100"/>
              <w:bottom w:type="dxa" w:w="60"/>
              <w:right w:type="dxa" w:w="100"/>
            </w:tcMar>
            <w:vAlign w:val="center"/>
          </w:tcPr>
          <w:p>
            <w:r>
              <w:rPr>
                <w:sz w:val="18"/>
                <w:szCs w:val="18"/>
              </w:rPr>
              <w:t xml:space="preserve">Platform &amp; Identity</w:t>
            </w:r>
          </w:p>
        </w:tc>
        <w:tc>
          <w:tcPr>
            <w:tcW w:type="dxa" w:w="3360"/>
            <w:tcMar>
              <w:top w:type="dxa" w:w="60"/>
              <w:left w:type="dxa" w:w="100"/>
              <w:bottom w:type="dxa" w:w="60"/>
              <w:right w:type="dxa" w:w="100"/>
            </w:tcMar>
            <w:vAlign w:val="center"/>
          </w:tcPr>
          <w:p>
            <w:r>
              <w:rPr>
                <w:sz w:val="18"/>
                <w:szCs w:val="18"/>
              </w:rPr>
              <w:t xml:space="preserve">Corporate Branding, System Check, Maintenance (config)</w:t>
            </w:r>
          </w:p>
        </w:tc>
      </w:tr>
      <w:tr>
        <w:trPr>
          <w:tblHeader w:val="false"/>
        </w:trPr>
        <w:tc>
          <w:tcPr>
            <w:tcW w:type="dxa" w:w="3360"/>
            <w:tcMar>
              <w:top w:type="dxa" w:w="60"/>
              <w:left w:type="dxa" w:w="100"/>
              <w:bottom w:type="dxa" w:w="60"/>
              <w:right w:type="dxa" w:w="100"/>
            </w:tcMar>
            <w:vAlign w:val="center"/>
          </w:tcPr>
          <w:p>
            <w:r>
              <w:rPr>
                <w:sz w:val="18"/>
                <w:szCs w:val="18"/>
              </w:rPr>
              <w:t xml:space="preserve">A6</w:t>
            </w:r>
          </w:p>
        </w:tc>
        <w:tc>
          <w:tcPr>
            <w:tcW w:type="dxa" w:w="3360"/>
            <w:tcMar>
              <w:top w:type="dxa" w:w="60"/>
              <w:left w:type="dxa" w:w="100"/>
              <w:bottom w:type="dxa" w:w="60"/>
              <w:right w:type="dxa" w:w="100"/>
            </w:tcMar>
            <w:vAlign w:val="center"/>
          </w:tcPr>
          <w:p>
            <w:r>
              <w:rPr>
                <w:sz w:val="18"/>
                <w:szCs w:val="18"/>
              </w:rPr>
              <w:t xml:space="preserve">Platform &amp; Identity</w:t>
            </w:r>
          </w:p>
        </w:tc>
        <w:tc>
          <w:tcPr>
            <w:tcW w:type="dxa" w:w="3360"/>
            <w:tcMar>
              <w:top w:type="dxa" w:w="60"/>
              <w:left w:type="dxa" w:w="100"/>
              <w:bottom w:type="dxa" w:w="60"/>
              <w:right w:type="dxa" w:w="100"/>
            </w:tcMar>
            <w:vAlign w:val="center"/>
          </w:tcPr>
          <w:p>
            <w:r>
              <w:rPr>
                <w:sz w:val="18"/>
                <w:szCs w:val="18"/>
              </w:rPr>
              <w:t xml:space="preserve">Maintenance (GDPR purge)</w:t>
            </w:r>
          </w:p>
        </w:tc>
      </w:tr>
      <w:tr>
        <w:trPr>
          <w:tblHeader w:val="false"/>
        </w:trPr>
        <w:tc>
          <w:tcPr>
            <w:tcW w:type="dxa" w:w="3360"/>
            <w:tcMar>
              <w:top w:type="dxa" w:w="60"/>
              <w:left w:type="dxa" w:w="100"/>
              <w:bottom w:type="dxa" w:w="60"/>
              <w:right w:type="dxa" w:w="100"/>
            </w:tcMar>
            <w:vAlign w:val="center"/>
          </w:tcPr>
          <w:p>
            <w:r>
              <w:rPr>
                <w:sz w:val="18"/>
                <w:szCs w:val="18"/>
              </w:rPr>
              <w:t xml:space="preserve">A7</w:t>
            </w:r>
          </w:p>
        </w:tc>
        <w:tc>
          <w:tcPr>
            <w:tcW w:type="dxa" w:w="3360"/>
            <w:tcMar>
              <w:top w:type="dxa" w:w="60"/>
              <w:left w:type="dxa" w:w="100"/>
              <w:bottom w:type="dxa" w:w="60"/>
              <w:right w:type="dxa" w:w="100"/>
            </w:tcMar>
            <w:vAlign w:val="center"/>
          </w:tcPr>
          <w:p>
            <w:r>
              <w:rPr>
                <w:sz w:val="18"/>
                <w:szCs w:val="18"/>
              </w:rPr>
              <w:t xml:space="preserve">Platform &amp; Identity</w:t>
            </w:r>
          </w:p>
        </w:tc>
        <w:tc>
          <w:tcPr>
            <w:tcW w:type="dxa" w:w="3360"/>
            <w:tcMar>
              <w:top w:type="dxa" w:w="60"/>
              <w:left w:type="dxa" w:w="100"/>
              <w:bottom w:type="dxa" w:w="60"/>
              <w:right w:type="dxa" w:w="100"/>
            </w:tcMar>
            <w:vAlign w:val="center"/>
          </w:tcPr>
          <w:p>
            <w:r>
              <w:rPr>
                <w:sz w:val="18"/>
                <w:szCs w:val="18"/>
              </w:rPr>
              <w:t xml:space="preserve">*None — new this iteration (in-app Notification Center, replacing/extending the reference system's Workspace Notifications concept)*</w:t>
            </w:r>
          </w:p>
        </w:tc>
      </w:tr>
      <w:tr>
        <w:trPr>
          <w:tblHeader w:val="false"/>
        </w:trPr>
        <w:tc>
          <w:tcPr>
            <w:tcW w:type="dxa" w:w="3360"/>
            <w:tcMar>
              <w:top w:type="dxa" w:w="60"/>
              <w:left w:type="dxa" w:w="100"/>
              <w:bottom w:type="dxa" w:w="60"/>
              <w:right w:type="dxa" w:w="100"/>
            </w:tcMar>
            <w:vAlign w:val="center"/>
          </w:tcPr>
          <w:p>
            <w:r>
              <w:rPr>
                <w:sz w:val="18"/>
                <w:szCs w:val="18"/>
              </w:rPr>
              <w:t xml:space="preserve">A8</w:t>
            </w:r>
          </w:p>
        </w:tc>
        <w:tc>
          <w:tcPr>
            <w:tcW w:type="dxa" w:w="3360"/>
            <w:tcMar>
              <w:top w:type="dxa" w:w="60"/>
              <w:left w:type="dxa" w:w="100"/>
              <w:bottom w:type="dxa" w:w="60"/>
              <w:right w:type="dxa" w:w="100"/>
            </w:tcMar>
            <w:vAlign w:val="center"/>
          </w:tcPr>
          <w:p>
            <w:r>
              <w:rPr>
                <w:sz w:val="18"/>
                <w:szCs w:val="18"/>
              </w:rPr>
              <w:t xml:space="preserve">Platform &amp; Identity</w:t>
            </w:r>
          </w:p>
        </w:tc>
        <w:tc>
          <w:tcPr>
            <w:tcW w:type="dxa" w:w="3360"/>
            <w:tcMar>
              <w:top w:type="dxa" w:w="60"/>
              <w:left w:type="dxa" w:w="100"/>
              <w:bottom w:type="dxa" w:w="60"/>
              <w:right w:type="dxa" w:w="100"/>
            </w:tcMar>
            <w:vAlign w:val="center"/>
          </w:tcPr>
          <w:p>
            <w:r>
              <w:rPr>
                <w:sz w:val="18"/>
                <w:szCs w:val="18"/>
              </w:rPr>
              <w:t xml:space="preserve">*None — new this iteration (E-Signature &amp; Digital Consent Service)*</w:t>
            </w:r>
          </w:p>
        </w:tc>
      </w:tr>
      <w:tr>
        <w:trPr>
          <w:tblHeader w:val="false"/>
        </w:trPr>
        <w:tc>
          <w:tcPr>
            <w:tcW w:type="dxa" w:w="3360"/>
            <w:tcMar>
              <w:top w:type="dxa" w:w="60"/>
              <w:left w:type="dxa" w:w="100"/>
              <w:bottom w:type="dxa" w:w="60"/>
              <w:right w:type="dxa" w:w="100"/>
            </w:tcMar>
            <w:vAlign w:val="center"/>
          </w:tcPr>
          <w:p>
            <w:r>
              <w:rPr>
                <w:sz w:val="18"/>
                <w:szCs w:val="18"/>
              </w:rPr>
              <w:t xml:space="preserve">B1</w:t>
            </w:r>
          </w:p>
        </w:tc>
        <w:tc>
          <w:tcPr>
            <w:tcW w:type="dxa" w:w="3360"/>
            <w:tcMar>
              <w:top w:type="dxa" w:w="60"/>
              <w:left w:type="dxa" w:w="100"/>
              <w:bottom w:type="dxa" w:w="60"/>
              <w:right w:type="dxa" w:w="100"/>
            </w:tcMar>
            <w:vAlign w:val="center"/>
          </w:tcPr>
          <w:p>
            <w:r>
              <w:rPr>
                <w:sz w:val="18"/>
                <w:szCs w:val="18"/>
              </w:rPr>
              <w:t xml:space="preserve">Org &amp; Employee Data</w:t>
            </w:r>
          </w:p>
        </w:tc>
        <w:tc>
          <w:tcPr>
            <w:tcW w:type="dxa" w:w="3360"/>
            <w:tcMar>
              <w:top w:type="dxa" w:w="60"/>
              <w:left w:type="dxa" w:w="100"/>
              <w:bottom w:type="dxa" w:w="60"/>
              <w:right w:type="dxa" w:w="100"/>
            </w:tcMar>
            <w:vAlign w:val="center"/>
          </w:tcPr>
          <w:p>
            <w:r>
              <w:rPr>
                <w:sz w:val="18"/>
                <w:szCs w:val="18"/>
              </w:rPr>
              <w:t xml:space="preserve">Admin</w:t>
            </w:r>
          </w:p>
        </w:tc>
      </w:tr>
      <w:tr>
        <w:trPr>
          <w:tblHeader w:val="false"/>
        </w:trPr>
        <w:tc>
          <w:tcPr>
            <w:tcW w:type="dxa" w:w="3360"/>
            <w:tcMar>
              <w:top w:type="dxa" w:w="60"/>
              <w:left w:type="dxa" w:w="100"/>
              <w:bottom w:type="dxa" w:w="60"/>
              <w:right w:type="dxa" w:w="100"/>
            </w:tcMar>
            <w:vAlign w:val="center"/>
          </w:tcPr>
          <w:p>
            <w:r>
              <w:rPr>
                <w:sz w:val="18"/>
                <w:szCs w:val="18"/>
              </w:rPr>
              <w:t xml:space="preserve">B2</w:t>
            </w:r>
          </w:p>
        </w:tc>
        <w:tc>
          <w:tcPr>
            <w:tcW w:type="dxa" w:w="3360"/>
            <w:tcMar>
              <w:top w:type="dxa" w:w="60"/>
              <w:left w:type="dxa" w:w="100"/>
              <w:bottom w:type="dxa" w:w="60"/>
              <w:right w:type="dxa" w:w="100"/>
            </w:tcMar>
            <w:vAlign w:val="center"/>
          </w:tcPr>
          <w:p>
            <w:r>
              <w:rPr>
                <w:sz w:val="18"/>
                <w:szCs w:val="18"/>
              </w:rPr>
              <w:t xml:space="preserve">Org &amp; Employee Data</w:t>
            </w:r>
          </w:p>
        </w:tc>
        <w:tc>
          <w:tcPr>
            <w:tcW w:type="dxa" w:w="3360"/>
            <w:tcMar>
              <w:top w:type="dxa" w:w="60"/>
              <w:left w:type="dxa" w:w="100"/>
              <w:bottom w:type="dxa" w:w="60"/>
              <w:right w:type="dxa" w:w="100"/>
            </w:tcMar>
            <w:vAlign w:val="center"/>
          </w:tcPr>
          <w:p>
            <w:r>
              <w:rPr>
                <w:sz w:val="18"/>
                <w:szCs w:val="18"/>
              </w:rPr>
              <w:t xml:space="preserve">PIM</w:t>
            </w:r>
          </w:p>
        </w:tc>
      </w:tr>
      <w:tr>
        <w:trPr>
          <w:tblHeader w:val="false"/>
        </w:trPr>
        <w:tc>
          <w:tcPr>
            <w:tcW w:type="dxa" w:w="3360"/>
            <w:tcMar>
              <w:top w:type="dxa" w:w="60"/>
              <w:left w:type="dxa" w:w="100"/>
              <w:bottom w:type="dxa" w:w="60"/>
              <w:right w:type="dxa" w:w="100"/>
            </w:tcMar>
            <w:vAlign w:val="center"/>
          </w:tcPr>
          <w:p>
            <w:r>
              <w:rPr>
                <w:sz w:val="18"/>
                <w:szCs w:val="18"/>
              </w:rPr>
              <w:t xml:space="preserve">B3</w:t>
            </w:r>
          </w:p>
        </w:tc>
        <w:tc>
          <w:tcPr>
            <w:tcW w:type="dxa" w:w="3360"/>
            <w:tcMar>
              <w:top w:type="dxa" w:w="60"/>
              <w:left w:type="dxa" w:w="100"/>
              <w:bottom w:type="dxa" w:w="60"/>
              <w:right w:type="dxa" w:w="100"/>
            </w:tcMar>
            <w:vAlign w:val="center"/>
          </w:tcPr>
          <w:p>
            <w:r>
              <w:rPr>
                <w:sz w:val="18"/>
                <w:szCs w:val="18"/>
              </w:rPr>
              <w:t xml:space="preserve">Org &amp; Employee Data</w:t>
            </w:r>
          </w:p>
        </w:tc>
        <w:tc>
          <w:tcPr>
            <w:tcW w:type="dxa" w:w="3360"/>
            <w:tcMar>
              <w:top w:type="dxa" w:w="60"/>
              <w:left w:type="dxa" w:w="100"/>
              <w:bottom w:type="dxa" w:w="60"/>
              <w:right w:type="dxa" w:w="100"/>
            </w:tcMar>
            <w:vAlign w:val="center"/>
          </w:tcPr>
          <w:p>
            <w:r>
              <w:rPr>
                <w:sz w:val="18"/>
                <w:szCs w:val="18"/>
              </w:rPr>
              <w:t xml:space="preserve">PIM (Onboarding, Career Development, Training)</w:t>
            </w:r>
          </w:p>
        </w:tc>
      </w:tr>
      <w:tr>
        <w:trPr>
          <w:tblHeader w:val="false"/>
        </w:trPr>
        <w:tc>
          <w:tcPr>
            <w:tcW w:type="dxa" w:w="3360"/>
            <w:tcMar>
              <w:top w:type="dxa" w:w="60"/>
              <w:left w:type="dxa" w:w="100"/>
              <w:bottom w:type="dxa" w:w="60"/>
              <w:right w:type="dxa" w:w="100"/>
            </w:tcMar>
            <w:vAlign w:val="center"/>
          </w:tcPr>
          <w:p>
            <w:r>
              <w:rPr>
                <w:sz w:val="18"/>
                <w:szCs w:val="18"/>
              </w:rPr>
              <w:t xml:space="preserve">C1</w:t>
            </w:r>
          </w:p>
        </w:tc>
        <w:tc>
          <w:tcPr>
            <w:tcW w:type="dxa" w:w="3360"/>
            <w:tcMar>
              <w:top w:type="dxa" w:w="60"/>
              <w:left w:type="dxa" w:w="100"/>
              <w:bottom w:type="dxa" w:w="60"/>
              <w:right w:type="dxa" w:w="100"/>
            </w:tcMar>
            <w:vAlign w:val="center"/>
          </w:tcPr>
          <w:p>
            <w:r>
              <w:rPr>
                <w:sz w:val="18"/>
                <w:szCs w:val="18"/>
              </w:rPr>
              <w:t xml:space="preserve">Core HR Operations</w:t>
            </w:r>
          </w:p>
        </w:tc>
        <w:tc>
          <w:tcPr>
            <w:tcW w:type="dxa" w:w="3360"/>
            <w:tcMar>
              <w:top w:type="dxa" w:w="60"/>
              <w:left w:type="dxa" w:w="100"/>
              <w:bottom w:type="dxa" w:w="60"/>
              <w:right w:type="dxa" w:w="100"/>
            </w:tcMar>
            <w:vAlign w:val="center"/>
          </w:tcPr>
          <w:p>
            <w:r>
              <w:rPr>
                <w:sz w:val="18"/>
                <w:szCs w:val="18"/>
              </w:rPr>
              <w:t xml:space="preserve">Leave</w:t>
            </w:r>
          </w:p>
        </w:tc>
      </w:tr>
      <w:tr>
        <w:trPr>
          <w:tblHeader w:val="false"/>
        </w:trPr>
        <w:tc>
          <w:tcPr>
            <w:tcW w:type="dxa" w:w="3360"/>
            <w:tcMar>
              <w:top w:type="dxa" w:w="60"/>
              <w:left w:type="dxa" w:w="100"/>
              <w:bottom w:type="dxa" w:w="60"/>
              <w:right w:type="dxa" w:w="100"/>
            </w:tcMar>
            <w:vAlign w:val="center"/>
          </w:tcPr>
          <w:p>
            <w:r>
              <w:rPr>
                <w:sz w:val="18"/>
                <w:szCs w:val="18"/>
              </w:rPr>
              <w:t xml:space="preserve">C2</w:t>
            </w:r>
          </w:p>
        </w:tc>
        <w:tc>
          <w:tcPr>
            <w:tcW w:type="dxa" w:w="3360"/>
            <w:tcMar>
              <w:top w:type="dxa" w:w="60"/>
              <w:left w:type="dxa" w:w="100"/>
              <w:bottom w:type="dxa" w:w="60"/>
              <w:right w:type="dxa" w:w="100"/>
            </w:tcMar>
            <w:vAlign w:val="center"/>
          </w:tcPr>
          <w:p>
            <w:r>
              <w:rPr>
                <w:sz w:val="18"/>
                <w:szCs w:val="18"/>
              </w:rPr>
              <w:t xml:space="preserve">Core HR Operations</w:t>
            </w:r>
          </w:p>
        </w:tc>
        <w:tc>
          <w:tcPr>
            <w:tcW w:type="dxa" w:w="3360"/>
            <w:tcMar>
              <w:top w:type="dxa" w:w="60"/>
              <w:left w:type="dxa" w:w="100"/>
              <w:bottom w:type="dxa" w:w="60"/>
              <w:right w:type="dxa" w:w="100"/>
            </w:tcMar>
            <w:vAlign w:val="center"/>
          </w:tcPr>
          <w:p>
            <w:r>
              <w:rPr>
                <w:sz w:val="18"/>
                <w:szCs w:val="18"/>
              </w:rPr>
              <w:t xml:space="preserve">Time</w:t>
            </w:r>
          </w:p>
        </w:tc>
      </w:tr>
      <w:tr>
        <w:trPr>
          <w:tblHeader w:val="false"/>
        </w:trPr>
        <w:tc>
          <w:tcPr>
            <w:tcW w:type="dxa" w:w="3360"/>
            <w:tcMar>
              <w:top w:type="dxa" w:w="60"/>
              <w:left w:type="dxa" w:w="100"/>
              <w:bottom w:type="dxa" w:w="60"/>
              <w:right w:type="dxa" w:w="100"/>
            </w:tcMar>
            <w:vAlign w:val="center"/>
          </w:tcPr>
          <w:p>
            <w:r>
              <w:rPr>
                <w:sz w:val="18"/>
                <w:szCs w:val="18"/>
              </w:rPr>
              <w:t xml:space="preserve">C3</w:t>
            </w:r>
          </w:p>
        </w:tc>
        <w:tc>
          <w:tcPr>
            <w:tcW w:type="dxa" w:w="3360"/>
            <w:tcMar>
              <w:top w:type="dxa" w:w="60"/>
              <w:left w:type="dxa" w:w="100"/>
              <w:bottom w:type="dxa" w:w="60"/>
              <w:right w:type="dxa" w:w="100"/>
            </w:tcMar>
            <w:vAlign w:val="center"/>
          </w:tcPr>
          <w:p>
            <w:r>
              <w:rPr>
                <w:sz w:val="18"/>
                <w:szCs w:val="18"/>
              </w:rPr>
              <w:t xml:space="preserve">Core HR Operations</w:t>
            </w:r>
          </w:p>
        </w:tc>
        <w:tc>
          <w:tcPr>
            <w:tcW w:type="dxa" w:w="3360"/>
            <w:tcMar>
              <w:top w:type="dxa" w:w="60"/>
              <w:left w:type="dxa" w:w="100"/>
              <w:bottom w:type="dxa" w:w="60"/>
              <w:right w:type="dxa" w:w="100"/>
            </w:tcMar>
            <w:vAlign w:val="center"/>
          </w:tcPr>
          <w:p>
            <w:r>
              <w:rPr>
                <w:sz w:val="18"/>
                <w:szCs w:val="18"/>
              </w:rPr>
              <w:t xml:space="preserve">Attendance</w:t>
            </w:r>
          </w:p>
        </w:tc>
      </w:tr>
      <w:tr>
        <w:trPr>
          <w:tblHeader w:val="false"/>
        </w:trPr>
        <w:tc>
          <w:tcPr>
            <w:tcW w:type="dxa" w:w="3360"/>
            <w:tcMar>
              <w:top w:type="dxa" w:w="60"/>
              <w:left w:type="dxa" w:w="100"/>
              <w:bottom w:type="dxa" w:w="60"/>
              <w:right w:type="dxa" w:w="100"/>
            </w:tcMar>
            <w:vAlign w:val="center"/>
          </w:tcPr>
          <w:p>
            <w:r>
              <w:rPr>
                <w:sz w:val="18"/>
                <w:szCs w:val="18"/>
              </w:rPr>
              <w:t xml:space="preserve">D1</w:t>
            </w:r>
          </w:p>
        </w:tc>
        <w:tc>
          <w:tcPr>
            <w:tcW w:type="dxa" w:w="3360"/>
            <w:tcMar>
              <w:top w:type="dxa" w:w="60"/>
              <w:left w:type="dxa" w:w="100"/>
              <w:bottom w:type="dxa" w:w="60"/>
              <w:right w:type="dxa" w:w="100"/>
            </w:tcMar>
            <w:vAlign w:val="center"/>
          </w:tcPr>
          <w:p>
            <w:r>
              <w:rPr>
                <w:sz w:val="18"/>
                <w:szCs w:val="18"/>
              </w:rPr>
              <w:t xml:space="preserve">Talent Management</w:t>
            </w:r>
          </w:p>
        </w:tc>
        <w:tc>
          <w:tcPr>
            <w:tcW w:type="dxa" w:w="3360"/>
            <w:tcMar>
              <w:top w:type="dxa" w:w="60"/>
              <w:left w:type="dxa" w:w="100"/>
              <w:bottom w:type="dxa" w:w="60"/>
              <w:right w:type="dxa" w:w="100"/>
            </w:tcMar>
            <w:vAlign w:val="center"/>
          </w:tcPr>
          <w:p>
            <w:r>
              <w:rPr>
                <w:sz w:val="18"/>
                <w:szCs w:val="18"/>
              </w:rPr>
              <w:t xml:space="preserve">Recruitment</w:t>
            </w:r>
          </w:p>
        </w:tc>
      </w:tr>
      <w:tr>
        <w:trPr>
          <w:tblHeader w:val="false"/>
        </w:trPr>
        <w:tc>
          <w:tcPr>
            <w:tcW w:type="dxa" w:w="3360"/>
            <w:tcMar>
              <w:top w:type="dxa" w:w="60"/>
              <w:left w:type="dxa" w:w="100"/>
              <w:bottom w:type="dxa" w:w="60"/>
              <w:right w:type="dxa" w:w="100"/>
            </w:tcMar>
            <w:vAlign w:val="center"/>
          </w:tcPr>
          <w:p>
            <w:r>
              <w:rPr>
                <w:sz w:val="18"/>
                <w:szCs w:val="18"/>
              </w:rPr>
              <w:t xml:space="preserve">D2</w:t>
            </w:r>
          </w:p>
        </w:tc>
        <w:tc>
          <w:tcPr>
            <w:tcW w:type="dxa" w:w="3360"/>
            <w:tcMar>
              <w:top w:type="dxa" w:w="60"/>
              <w:left w:type="dxa" w:w="100"/>
              <w:bottom w:type="dxa" w:w="60"/>
              <w:right w:type="dxa" w:w="100"/>
            </w:tcMar>
            <w:vAlign w:val="center"/>
          </w:tcPr>
          <w:p>
            <w:r>
              <w:rPr>
                <w:sz w:val="18"/>
                <w:szCs w:val="18"/>
              </w:rPr>
              <w:t xml:space="preserve">Talent Management</w:t>
            </w:r>
          </w:p>
        </w:tc>
        <w:tc>
          <w:tcPr>
            <w:tcW w:type="dxa" w:w="3360"/>
            <w:tcMar>
              <w:top w:type="dxa" w:w="60"/>
              <w:left w:type="dxa" w:w="100"/>
              <w:bottom w:type="dxa" w:w="60"/>
              <w:right w:type="dxa" w:w="100"/>
            </w:tcMar>
            <w:vAlign w:val="center"/>
          </w:tcPr>
          <w:p>
            <w:r>
              <w:rPr>
                <w:sz w:val="18"/>
                <w:szCs w:val="18"/>
              </w:rPr>
              <w:t xml:space="preserve">Performance</w:t>
            </w:r>
          </w:p>
        </w:tc>
      </w:tr>
      <w:tr>
        <w:trPr>
          <w:tblHeader w:val="false"/>
        </w:trPr>
        <w:tc>
          <w:tcPr>
            <w:tcW w:type="dxa" w:w="3360"/>
            <w:tcMar>
              <w:top w:type="dxa" w:w="60"/>
              <w:left w:type="dxa" w:w="100"/>
              <w:bottom w:type="dxa" w:w="60"/>
              <w:right w:type="dxa" w:w="100"/>
            </w:tcMar>
            <w:vAlign w:val="center"/>
          </w:tcPr>
          <w:p>
            <w:r>
              <w:rPr>
                <w:sz w:val="18"/>
                <w:szCs w:val="18"/>
              </w:rPr>
              <w:t xml:space="preserve">D3</w:t>
            </w:r>
          </w:p>
        </w:tc>
        <w:tc>
          <w:tcPr>
            <w:tcW w:type="dxa" w:w="3360"/>
            <w:tcMar>
              <w:top w:type="dxa" w:w="60"/>
              <w:left w:type="dxa" w:w="100"/>
              <w:bottom w:type="dxa" w:w="60"/>
              <w:right w:type="dxa" w:w="100"/>
            </w:tcMar>
            <w:vAlign w:val="center"/>
          </w:tcPr>
          <w:p>
            <w:r>
              <w:rPr>
                <w:sz w:val="18"/>
                <w:szCs w:val="18"/>
              </w:rPr>
              <w:t xml:space="preserve">Talent Management</w:t>
            </w:r>
          </w:p>
        </w:tc>
        <w:tc>
          <w:tcPr>
            <w:tcW w:type="dxa" w:w="3360"/>
            <w:tcMar>
              <w:top w:type="dxa" w:w="60"/>
              <w:left w:type="dxa" w:w="100"/>
              <w:bottom w:type="dxa" w:w="60"/>
              <w:right w:type="dxa" w:w="100"/>
            </w:tcMar>
            <w:vAlign w:val="center"/>
          </w:tcPr>
          <w:p>
            <w:r>
              <w:rPr>
                <w:sz w:val="18"/>
                <w:szCs w:val="18"/>
              </w:rPr>
              <w:t xml:space="preserve">Discipline</w:t>
            </w:r>
          </w:p>
        </w:tc>
      </w:tr>
      <w:tr>
        <w:trPr>
          <w:tblHeader w:val="false"/>
        </w:trPr>
        <w:tc>
          <w:tcPr>
            <w:tcW w:type="dxa" w:w="3360"/>
            <w:tcMar>
              <w:top w:type="dxa" w:w="60"/>
              <w:left w:type="dxa" w:w="100"/>
              <w:bottom w:type="dxa" w:w="60"/>
              <w:right w:type="dxa" w:w="100"/>
            </w:tcMar>
            <w:vAlign w:val="center"/>
          </w:tcPr>
          <w:p>
            <w:r>
              <w:rPr>
                <w:sz w:val="18"/>
                <w:szCs w:val="18"/>
              </w:rPr>
              <w:t xml:space="preserve">E1</w:t>
            </w:r>
          </w:p>
        </w:tc>
        <w:tc>
          <w:tcPr>
            <w:tcW w:type="dxa" w:w="3360"/>
            <w:tcMar>
              <w:top w:type="dxa" w:w="60"/>
              <w:left w:type="dxa" w:w="100"/>
              <w:bottom w:type="dxa" w:w="60"/>
              <w:right w:type="dxa" w:w="100"/>
            </w:tcMar>
            <w:vAlign w:val="center"/>
          </w:tcPr>
          <w:p>
            <w:r>
              <w:rPr>
                <w:sz w:val="18"/>
                <w:szCs w:val="18"/>
              </w:rPr>
              <w:t xml:space="preserve">Operational/Financial</w:t>
            </w:r>
          </w:p>
        </w:tc>
        <w:tc>
          <w:tcPr>
            <w:tcW w:type="dxa" w:w="3360"/>
            <w:tcMar>
              <w:top w:type="dxa" w:w="60"/>
              <w:left w:type="dxa" w:w="100"/>
              <w:bottom w:type="dxa" w:w="60"/>
              <w:right w:type="dxa" w:w="100"/>
            </w:tcMar>
            <w:vAlign w:val="center"/>
          </w:tcPr>
          <w:p>
            <w:r>
              <w:rPr>
                <w:sz w:val="18"/>
                <w:szCs w:val="18"/>
              </w:rPr>
              <w:t xml:space="preserve">Claim</w:t>
            </w:r>
          </w:p>
        </w:tc>
      </w:tr>
      <w:tr>
        <w:trPr>
          <w:tblHeader w:val="false"/>
        </w:trPr>
        <w:tc>
          <w:tcPr>
            <w:tcW w:type="dxa" w:w="3360"/>
            <w:tcMar>
              <w:top w:type="dxa" w:w="60"/>
              <w:left w:type="dxa" w:w="100"/>
              <w:bottom w:type="dxa" w:w="60"/>
              <w:right w:type="dxa" w:w="100"/>
            </w:tcMar>
            <w:vAlign w:val="center"/>
          </w:tcPr>
          <w:p>
            <w:r>
              <w:rPr>
                <w:sz w:val="18"/>
                <w:szCs w:val="18"/>
              </w:rPr>
              <w:t xml:space="preserve">E2</w:t>
            </w:r>
          </w:p>
        </w:tc>
        <w:tc>
          <w:tcPr>
            <w:tcW w:type="dxa" w:w="3360"/>
            <w:tcMar>
              <w:top w:type="dxa" w:w="60"/>
              <w:left w:type="dxa" w:w="100"/>
              <w:bottom w:type="dxa" w:w="60"/>
              <w:right w:type="dxa" w:w="100"/>
            </w:tcMar>
            <w:vAlign w:val="center"/>
          </w:tcPr>
          <w:p>
            <w:r>
              <w:rPr>
                <w:sz w:val="18"/>
                <w:szCs w:val="18"/>
              </w:rPr>
              <w:t xml:space="preserve">Operational/Financial</w:t>
            </w:r>
          </w:p>
        </w:tc>
        <w:tc>
          <w:tcPr>
            <w:tcW w:type="dxa" w:w="3360"/>
            <w:tcMar>
              <w:top w:type="dxa" w:w="60"/>
              <w:left w:type="dxa" w:w="100"/>
              <w:bottom w:type="dxa" w:w="60"/>
              <w:right w:type="dxa" w:w="100"/>
            </w:tcMar>
            <w:vAlign w:val="center"/>
          </w:tcPr>
          <w:p>
            <w:r>
              <w:rPr>
                <w:sz w:val="18"/>
                <w:szCs w:val="18"/>
              </w:rPr>
              <w:t xml:space="preserve">Asset</w:t>
            </w:r>
          </w:p>
        </w:tc>
      </w:tr>
      <w:tr>
        <w:trPr>
          <w:tblHeader w:val="false"/>
        </w:trPr>
        <w:tc>
          <w:tcPr>
            <w:tcW w:type="dxa" w:w="3360"/>
            <w:tcMar>
              <w:top w:type="dxa" w:w="60"/>
              <w:left w:type="dxa" w:w="100"/>
              <w:bottom w:type="dxa" w:w="60"/>
              <w:right w:type="dxa" w:w="100"/>
            </w:tcMar>
            <w:vAlign w:val="center"/>
          </w:tcPr>
          <w:p>
            <w:r>
              <w:rPr>
                <w:sz w:val="18"/>
                <w:szCs w:val="18"/>
              </w:rPr>
              <w:t xml:space="preserve">E3</w:t>
            </w:r>
          </w:p>
        </w:tc>
        <w:tc>
          <w:tcPr>
            <w:tcW w:type="dxa" w:w="3360"/>
            <w:tcMar>
              <w:top w:type="dxa" w:w="60"/>
              <w:left w:type="dxa" w:w="100"/>
              <w:bottom w:type="dxa" w:w="60"/>
              <w:right w:type="dxa" w:w="100"/>
            </w:tcMar>
            <w:vAlign w:val="center"/>
          </w:tcPr>
          <w:p>
            <w:r>
              <w:rPr>
                <w:sz w:val="18"/>
                <w:szCs w:val="18"/>
              </w:rPr>
              <w:t xml:space="preserve">Operational/Financial</w:t>
            </w:r>
          </w:p>
        </w:tc>
        <w:tc>
          <w:tcPr>
            <w:tcW w:type="dxa" w:w="3360"/>
            <w:tcMar>
              <w:top w:type="dxa" w:w="60"/>
              <w:left w:type="dxa" w:w="100"/>
              <w:bottom w:type="dxa" w:w="60"/>
              <w:right w:type="dxa" w:w="100"/>
            </w:tcMar>
            <w:vAlign w:val="center"/>
          </w:tcPr>
          <w:p>
            <w:r>
              <w:rPr>
                <w:sz w:val="18"/>
                <w:szCs w:val="18"/>
              </w:rPr>
              <w:t xml:space="preserve">Vehicle</w:t>
            </w:r>
          </w:p>
        </w:tc>
      </w:tr>
      <w:tr>
        <w:trPr>
          <w:tblHeader w:val="false"/>
        </w:trPr>
        <w:tc>
          <w:tcPr>
            <w:tcW w:type="dxa" w:w="3360"/>
            <w:tcMar>
              <w:top w:type="dxa" w:w="60"/>
              <w:left w:type="dxa" w:w="100"/>
              <w:bottom w:type="dxa" w:w="60"/>
              <w:right w:type="dxa" w:w="100"/>
            </w:tcMar>
            <w:vAlign w:val="center"/>
          </w:tcPr>
          <w:p>
            <w:r>
              <w:rPr>
                <w:sz w:val="18"/>
                <w:szCs w:val="18"/>
              </w:rPr>
              <w:t xml:space="preserve">E4</w:t>
            </w:r>
          </w:p>
        </w:tc>
        <w:tc>
          <w:tcPr>
            <w:tcW w:type="dxa" w:w="3360"/>
            <w:tcMar>
              <w:top w:type="dxa" w:w="60"/>
              <w:left w:type="dxa" w:w="100"/>
              <w:bottom w:type="dxa" w:w="60"/>
              <w:right w:type="dxa" w:w="100"/>
            </w:tcMar>
            <w:vAlign w:val="center"/>
          </w:tcPr>
          <w:p>
            <w:r>
              <w:rPr>
                <w:sz w:val="18"/>
                <w:szCs w:val="18"/>
              </w:rPr>
              <w:t xml:space="preserve">Operational/Financial</w:t>
            </w:r>
          </w:p>
        </w:tc>
        <w:tc>
          <w:tcPr>
            <w:tcW w:type="dxa" w:w="3360"/>
            <w:tcMar>
              <w:top w:type="dxa" w:w="60"/>
              <w:left w:type="dxa" w:w="100"/>
              <w:bottom w:type="dxa" w:w="60"/>
              <w:right w:type="dxa" w:w="100"/>
            </w:tcMar>
            <w:vAlign w:val="center"/>
          </w:tcPr>
          <w:p>
            <w:r>
              <w:rPr>
                <w:sz w:val="18"/>
                <w:szCs w:val="18"/>
              </w:rPr>
              <w:t xml:space="preserve">Policy</w:t>
            </w:r>
          </w:p>
        </w:tc>
      </w:tr>
      <w:tr>
        <w:trPr>
          <w:tblHeader w:val="false"/>
        </w:trPr>
        <w:tc>
          <w:tcPr>
            <w:tcW w:type="dxa" w:w="3360"/>
            <w:tcMar>
              <w:top w:type="dxa" w:w="60"/>
              <w:left w:type="dxa" w:w="100"/>
              <w:bottom w:type="dxa" w:w="60"/>
              <w:right w:type="dxa" w:w="100"/>
            </w:tcMar>
            <w:vAlign w:val="center"/>
          </w:tcPr>
          <w:p>
            <w:r>
              <w:rPr>
                <w:sz w:val="18"/>
                <w:szCs w:val="18"/>
              </w:rPr>
              <w:t xml:space="preserve">E5</w:t>
            </w:r>
          </w:p>
        </w:tc>
        <w:tc>
          <w:tcPr>
            <w:tcW w:type="dxa" w:w="3360"/>
            <w:tcMar>
              <w:top w:type="dxa" w:w="60"/>
              <w:left w:type="dxa" w:w="100"/>
              <w:bottom w:type="dxa" w:w="60"/>
              <w:right w:type="dxa" w:w="100"/>
            </w:tcMar>
            <w:vAlign w:val="center"/>
          </w:tcPr>
          <w:p>
            <w:r>
              <w:rPr>
                <w:sz w:val="18"/>
                <w:szCs w:val="18"/>
              </w:rPr>
              <w:t xml:space="preserve">Operational/Financial</w:t>
            </w:r>
          </w:p>
        </w:tc>
        <w:tc>
          <w:tcPr>
            <w:tcW w:type="dxa" w:w="3360"/>
            <w:tcMar>
              <w:top w:type="dxa" w:w="60"/>
              <w:left w:type="dxa" w:w="100"/>
              <w:bottom w:type="dxa" w:w="60"/>
              <w:right w:type="dxa" w:w="100"/>
            </w:tcMar>
            <w:vAlign w:val="center"/>
          </w:tcPr>
          <w:p>
            <w:r>
              <w:rPr>
                <w:sz w:val="18"/>
                <w:szCs w:val="18"/>
              </w:rPr>
              <w:t xml:space="preserve">*None — new this iteration (Company Registration &amp; Compliance Documents)*</w:t>
            </w:r>
          </w:p>
        </w:tc>
      </w:tr>
      <w:tr>
        <w:trPr>
          <w:tblHeader w:val="false"/>
        </w:trPr>
        <w:tc>
          <w:tcPr>
            <w:tcW w:type="dxa" w:w="3360"/>
            <w:tcMar>
              <w:top w:type="dxa" w:w="60"/>
              <w:left w:type="dxa" w:w="100"/>
              <w:bottom w:type="dxa" w:w="60"/>
              <w:right w:type="dxa" w:w="100"/>
            </w:tcMar>
            <w:vAlign w:val="center"/>
          </w:tcPr>
          <w:p>
            <w:r>
              <w:rPr>
                <w:sz w:val="18"/>
                <w:szCs w:val="18"/>
              </w:rPr>
              <w:t xml:space="preserve">F1</w:t>
            </w:r>
          </w:p>
        </w:tc>
        <w:tc>
          <w:tcPr>
            <w:tcW w:type="dxa" w:w="3360"/>
            <w:tcMar>
              <w:top w:type="dxa" w:w="60"/>
              <w:left w:type="dxa" w:w="100"/>
              <w:bottom w:type="dxa" w:w="60"/>
              <w:right w:type="dxa" w:w="100"/>
            </w:tcMar>
            <w:vAlign w:val="center"/>
          </w:tcPr>
          <w:p>
            <w:r>
              <w:rPr>
                <w:sz w:val="18"/>
                <w:szCs w:val="18"/>
              </w:rPr>
              <w:t xml:space="preserve">Engagement/Analytics</w:t>
            </w:r>
          </w:p>
        </w:tc>
        <w:tc>
          <w:tcPr>
            <w:tcW w:type="dxa" w:w="3360"/>
            <w:tcMar>
              <w:top w:type="dxa" w:w="60"/>
              <w:left w:type="dxa" w:w="100"/>
              <w:bottom w:type="dxa" w:w="60"/>
              <w:right w:type="dxa" w:w="100"/>
            </w:tcMar>
            <w:vAlign w:val="center"/>
          </w:tcPr>
          <w:p>
            <w:r>
              <w:rPr>
                <w:sz w:val="18"/>
                <w:szCs w:val="18"/>
              </w:rPr>
              <w:t xml:space="preserve">Buzz</w:t>
            </w:r>
          </w:p>
        </w:tc>
      </w:tr>
      <w:tr>
        <w:trPr>
          <w:tblHeader w:val="false"/>
        </w:trPr>
        <w:tc>
          <w:tcPr>
            <w:tcW w:type="dxa" w:w="3360"/>
            <w:tcMar>
              <w:top w:type="dxa" w:w="60"/>
              <w:left w:type="dxa" w:w="100"/>
              <w:bottom w:type="dxa" w:w="60"/>
              <w:right w:type="dxa" w:w="100"/>
            </w:tcMar>
            <w:vAlign w:val="center"/>
          </w:tcPr>
          <w:p>
            <w:r>
              <w:rPr>
                <w:sz w:val="18"/>
                <w:szCs w:val="18"/>
              </w:rPr>
              <w:t xml:space="preserve">F2</w:t>
            </w:r>
          </w:p>
        </w:tc>
        <w:tc>
          <w:tcPr>
            <w:tcW w:type="dxa" w:w="3360"/>
            <w:tcMar>
              <w:top w:type="dxa" w:w="60"/>
              <w:left w:type="dxa" w:w="100"/>
              <w:bottom w:type="dxa" w:w="60"/>
              <w:right w:type="dxa" w:w="100"/>
            </w:tcMar>
            <w:vAlign w:val="center"/>
          </w:tcPr>
          <w:p>
            <w:r>
              <w:rPr>
                <w:sz w:val="18"/>
                <w:szCs w:val="18"/>
              </w:rPr>
              <w:t xml:space="preserve">Engagement/Analytics</w:t>
            </w:r>
          </w:p>
        </w:tc>
        <w:tc>
          <w:tcPr>
            <w:tcW w:type="dxa" w:w="3360"/>
            <w:tcMar>
              <w:top w:type="dxa" w:w="60"/>
              <w:left w:type="dxa" w:w="100"/>
              <w:bottom w:type="dxa" w:w="60"/>
              <w:right w:type="dxa" w:w="100"/>
            </w:tcMar>
            <w:vAlign w:val="center"/>
          </w:tcPr>
          <w:p>
            <w:r>
              <w:rPr>
                <w:sz w:val="18"/>
                <w:szCs w:val="18"/>
              </w:rPr>
              <w:t xml:space="preserve">Dashboard</w:t>
            </w:r>
          </w:p>
        </w:tc>
      </w:tr>
      <w:tr>
        <w:trPr>
          <w:tblHeader w:val="false"/>
        </w:trPr>
        <w:tc>
          <w:tcPr>
            <w:tcW w:type="dxa" w:w="3360"/>
            <w:tcMar>
              <w:top w:type="dxa" w:w="60"/>
              <w:left w:type="dxa" w:w="100"/>
              <w:bottom w:type="dxa" w:w="60"/>
              <w:right w:type="dxa" w:w="100"/>
            </w:tcMar>
            <w:vAlign w:val="center"/>
          </w:tcPr>
          <w:p>
            <w:r>
              <w:rPr>
                <w:sz w:val="18"/>
                <w:szCs w:val="18"/>
              </w:rPr>
              <w:t xml:space="preserve">F3</w:t>
            </w:r>
          </w:p>
        </w:tc>
        <w:tc>
          <w:tcPr>
            <w:tcW w:type="dxa" w:w="3360"/>
            <w:tcMar>
              <w:top w:type="dxa" w:w="60"/>
              <w:left w:type="dxa" w:w="100"/>
              <w:bottom w:type="dxa" w:w="60"/>
              <w:right w:type="dxa" w:w="100"/>
            </w:tcMar>
            <w:vAlign w:val="center"/>
          </w:tcPr>
          <w:p>
            <w:r>
              <w:rPr>
                <w:sz w:val="18"/>
                <w:szCs w:val="18"/>
              </w:rPr>
              <w:t xml:space="preserve">Engagement/Analytics</w:t>
            </w:r>
          </w:p>
        </w:tc>
        <w:tc>
          <w:tcPr>
            <w:tcW w:type="dxa" w:w="3360"/>
            <w:tcMar>
              <w:top w:type="dxa" w:w="60"/>
              <w:left w:type="dxa" w:w="100"/>
              <w:bottom w:type="dxa" w:w="60"/>
              <w:right w:type="dxa" w:w="100"/>
            </w:tcMar>
            <w:vAlign w:val="center"/>
          </w:tcPr>
          <w:p>
            <w:r>
              <w:rPr>
                <w:sz w:val="18"/>
                <w:szCs w:val="18"/>
              </w:rPr>
              <w:t xml:space="preserve">Corporate Directory</w:t>
            </w:r>
          </w:p>
        </w:tc>
      </w:tr>
      <w:tr>
        <w:trPr>
          <w:tblHeader w:val="false"/>
        </w:trPr>
        <w:tc>
          <w:tcPr>
            <w:tcW w:type="dxa" w:w="3360"/>
            <w:tcMar>
              <w:top w:type="dxa" w:w="60"/>
              <w:left w:type="dxa" w:w="100"/>
              <w:bottom w:type="dxa" w:w="60"/>
              <w:right w:type="dxa" w:w="100"/>
            </w:tcMar>
            <w:vAlign w:val="center"/>
          </w:tcPr>
          <w:p>
            <w:r>
              <w:rPr>
                <w:sz w:val="18"/>
                <w:szCs w:val="18"/>
              </w:rPr>
              <w:t xml:space="preserve">F4</w:t>
            </w:r>
          </w:p>
        </w:tc>
        <w:tc>
          <w:tcPr>
            <w:tcW w:type="dxa" w:w="3360"/>
            <w:tcMar>
              <w:top w:type="dxa" w:w="60"/>
              <w:left w:type="dxa" w:w="100"/>
              <w:bottom w:type="dxa" w:w="60"/>
              <w:right w:type="dxa" w:w="100"/>
            </w:tcMar>
            <w:vAlign w:val="center"/>
          </w:tcPr>
          <w:p>
            <w:r>
              <w:rPr>
                <w:sz w:val="18"/>
                <w:szCs w:val="18"/>
              </w:rPr>
              <w:t xml:space="preserve">Engagement/Analytics</w:t>
            </w:r>
          </w:p>
        </w:tc>
        <w:tc>
          <w:tcPr>
            <w:tcW w:type="dxa" w:w="3360"/>
            <w:tcMar>
              <w:top w:type="dxa" w:w="60"/>
              <w:left w:type="dxa" w:w="100"/>
              <w:bottom w:type="dxa" w:w="60"/>
              <w:right w:type="dxa" w:w="100"/>
            </w:tcMar>
            <w:vAlign w:val="center"/>
          </w:tcPr>
          <w:p>
            <w:r>
              <w:rPr>
                <w:sz w:val="18"/>
                <w:szCs w:val="18"/>
              </w:rPr>
              <w:t xml:space="preserve">Helpdesk</w:t>
            </w:r>
          </w:p>
        </w:tc>
      </w:tr>
      <w:tr>
        <w:trPr>
          <w:tblHeader w:val="false"/>
        </w:trPr>
        <w:tc>
          <w:tcPr>
            <w:tcW w:type="dxa" w:w="3360"/>
            <w:tcMar>
              <w:top w:type="dxa" w:w="60"/>
              <w:left w:type="dxa" w:w="100"/>
              <w:bottom w:type="dxa" w:w="60"/>
              <w:right w:type="dxa" w:w="100"/>
            </w:tcMar>
            <w:vAlign w:val="center"/>
          </w:tcPr>
          <w:p>
            <w:r>
              <w:rPr>
                <w:sz w:val="18"/>
                <w:szCs w:val="18"/>
              </w:rPr>
              <w:t xml:space="preserve">F5</w:t>
            </w:r>
          </w:p>
        </w:tc>
        <w:tc>
          <w:tcPr>
            <w:tcW w:type="dxa" w:w="3360"/>
            <w:tcMar>
              <w:top w:type="dxa" w:w="60"/>
              <w:left w:type="dxa" w:w="100"/>
              <w:bottom w:type="dxa" w:w="60"/>
              <w:right w:type="dxa" w:w="100"/>
            </w:tcMar>
            <w:vAlign w:val="center"/>
          </w:tcPr>
          <w:p>
            <w:r>
              <w:rPr>
                <w:sz w:val="18"/>
                <w:szCs w:val="18"/>
              </w:rPr>
              <w:t xml:space="preserve">Engagement/Analytics</w:t>
            </w:r>
          </w:p>
        </w:tc>
        <w:tc>
          <w:tcPr>
            <w:tcW w:type="dxa" w:w="3360"/>
            <w:tcMar>
              <w:top w:type="dxa" w:w="60"/>
              <w:left w:type="dxa" w:w="100"/>
              <w:bottom w:type="dxa" w:w="60"/>
              <w:right w:type="dxa" w:w="100"/>
            </w:tcMar>
            <w:vAlign w:val="center"/>
          </w:tcPr>
          <w:p>
            <w:r>
              <w:rPr>
                <w:sz w:val="18"/>
                <w:szCs w:val="18"/>
              </w:rPr>
              <w:t xml:space="preserve">Help</w:t>
            </w:r>
          </w:p>
        </w:tc>
      </w:tr>
      <w:tr>
        <w:trPr>
          <w:tblHeader w:val="false"/>
        </w:trPr>
        <w:tc>
          <w:tcPr>
            <w:tcW w:type="dxa" w:w="3360"/>
            <w:tcMar>
              <w:top w:type="dxa" w:w="60"/>
              <w:left w:type="dxa" w:w="100"/>
              <w:bottom w:type="dxa" w:w="60"/>
              <w:right w:type="dxa" w:w="100"/>
            </w:tcMar>
            <w:vAlign w:val="center"/>
          </w:tcPr>
          <w:p>
            <w:r>
              <w:rPr>
                <w:sz w:val="18"/>
                <w:szCs w:val="18"/>
              </w:rPr>
              <w:t xml:space="preserve">F6</w:t>
            </w:r>
          </w:p>
        </w:tc>
        <w:tc>
          <w:tcPr>
            <w:tcW w:type="dxa" w:w="3360"/>
            <w:tcMar>
              <w:top w:type="dxa" w:w="60"/>
              <w:left w:type="dxa" w:w="100"/>
              <w:bottom w:type="dxa" w:w="60"/>
              <w:right w:type="dxa" w:w="100"/>
            </w:tcMar>
            <w:vAlign w:val="center"/>
          </w:tcPr>
          <w:p>
            <w:r>
              <w:rPr>
                <w:sz w:val="18"/>
                <w:szCs w:val="18"/>
              </w:rPr>
              <w:t xml:space="preserve">Engagement/Analytics</w:t>
            </w:r>
          </w:p>
        </w:tc>
        <w:tc>
          <w:tcPr>
            <w:tcW w:type="dxa" w:w="3360"/>
            <w:tcMar>
              <w:top w:type="dxa" w:w="60"/>
              <w:left w:type="dxa" w:w="100"/>
              <w:bottom w:type="dxa" w:w="60"/>
              <w:right w:type="dxa" w:w="100"/>
            </w:tcMar>
            <w:vAlign w:val="center"/>
          </w:tcPr>
          <w:p>
            <w:r>
              <w:rPr>
                <w:sz w:val="18"/>
                <w:szCs w:val="18"/>
              </w:rPr>
              <w:t xml:space="preserve">Mobile</w:t>
            </w:r>
          </w:p>
        </w:tc>
      </w:tr>
      <w:tr>
        <w:trPr>
          <w:tblHeader w:val="false"/>
        </w:trPr>
        <w:tc>
          <w:tcPr>
            <w:tcW w:type="dxa" w:w="3360"/>
            <w:tcMar>
              <w:top w:type="dxa" w:w="60"/>
              <w:left w:type="dxa" w:w="100"/>
              <w:bottom w:type="dxa" w:w="60"/>
              <w:right w:type="dxa" w:w="100"/>
            </w:tcMar>
            <w:vAlign w:val="center"/>
          </w:tcPr>
          <w:p>
            <w:r>
              <w:rPr>
                <w:sz w:val="18"/>
                <w:szCs w:val="18"/>
              </w:rPr>
              <w:t xml:space="preserve">F7</w:t>
            </w:r>
          </w:p>
        </w:tc>
        <w:tc>
          <w:tcPr>
            <w:tcW w:type="dxa" w:w="3360"/>
            <w:tcMar>
              <w:top w:type="dxa" w:w="60"/>
              <w:left w:type="dxa" w:w="100"/>
              <w:bottom w:type="dxa" w:w="60"/>
              <w:right w:type="dxa" w:w="100"/>
            </w:tcMar>
            <w:vAlign w:val="center"/>
          </w:tcPr>
          <w:p>
            <w:r>
              <w:rPr>
                <w:sz w:val="18"/>
                <w:szCs w:val="18"/>
              </w:rPr>
              <w:t xml:space="preserve">Engagement/Analytics</w:t>
            </w:r>
          </w:p>
        </w:tc>
        <w:tc>
          <w:tcPr>
            <w:tcW w:type="dxa" w:w="3360"/>
            <w:tcMar>
              <w:top w:type="dxa" w:w="60"/>
              <w:left w:type="dxa" w:w="100"/>
              <w:bottom w:type="dxa" w:w="60"/>
              <w:right w:type="dxa" w:w="100"/>
            </w:tcMar>
            <w:vAlign w:val="center"/>
          </w:tcPr>
          <w:p>
            <w:r>
              <w:rPr>
                <w:sz w:val="18"/>
                <w:szCs w:val="18"/>
              </w:rPr>
              <w:t xml:space="preserve">Workspace Notifications — </w:t>
            </w:r>
            <w:r>
              <w:rPr>
                <w:b/>
                <w:bCs/>
                <w:sz w:val="18"/>
                <w:szCs w:val="18"/>
              </w:rPr>
              <w:t xml:space="preserve">descoped this iteration, not built</w:t>
            </w:r>
            <w:r>
              <w:rPr>
                <w:sz w:val="18"/>
                <w:szCs w:val="18"/>
              </w:rPr>
              <w:t xml:space="preserve"> (Section 8.3)</w:t>
            </w:r>
          </w:p>
        </w:tc>
      </w:tr>
      <w:tr>
        <w:trPr>
          <w:tblHeader w:val="false"/>
        </w:trPr>
        <w:tc>
          <w:tcPr>
            <w:tcW w:type="dxa" w:w="3360"/>
            <w:tcMar>
              <w:top w:type="dxa" w:w="60"/>
              <w:left w:type="dxa" w:w="100"/>
              <w:bottom w:type="dxa" w:w="60"/>
              <w:right w:type="dxa" w:w="100"/>
            </w:tcMar>
            <w:vAlign w:val="center"/>
          </w:tcPr>
          <w:p>
            <w:r>
              <w:rPr>
                <w:sz w:val="18"/>
                <w:szCs w:val="18"/>
              </w:rPr>
              <w:t xml:space="preserve">F8</w:t>
            </w:r>
          </w:p>
        </w:tc>
        <w:tc>
          <w:tcPr>
            <w:tcW w:type="dxa" w:w="3360"/>
            <w:tcMar>
              <w:top w:type="dxa" w:w="60"/>
              <w:left w:type="dxa" w:w="100"/>
              <w:bottom w:type="dxa" w:w="60"/>
              <w:right w:type="dxa" w:w="100"/>
            </w:tcMar>
            <w:vAlign w:val="center"/>
          </w:tcPr>
          <w:p>
            <w:r>
              <w:rPr>
                <w:sz w:val="18"/>
                <w:szCs w:val="18"/>
              </w:rPr>
              <w:t xml:space="preserve">Engagement/Analytics</w:t>
            </w:r>
          </w:p>
        </w:tc>
        <w:tc>
          <w:tcPr>
            <w:tcW w:type="dxa" w:w="3360"/>
            <w:tcMar>
              <w:top w:type="dxa" w:w="60"/>
              <w:left w:type="dxa" w:w="100"/>
              <w:bottom w:type="dxa" w:w="60"/>
              <w:right w:type="dxa" w:w="100"/>
            </w:tcMar>
            <w:vAlign w:val="center"/>
          </w:tcPr>
          <w:p>
            <w:r>
              <w:rPr>
                <w:sz w:val="18"/>
                <w:szCs w:val="18"/>
              </w:rPr>
              <w:t xml:space="preserve">*None — new this iteration (Employee Engagement &amp; Pulse Surveys)*</w:t>
            </w:r>
          </w:p>
        </w:tc>
      </w:tr>
    </w:tbl>
    <w:p>
      <w:pPr>
        <w:spacing w:after="120"/>
      </w:pPr>
    </w:p>
    <w:p>
      <w:pPr>
        <w:pStyle w:val="Heading2"/>
        <w:spacing w:after="160" w:before="280"/>
      </w:pPr>
      <w:r>
        <w:t xml:space="preserve">9.2 Glossary</w:t>
      </w:r>
    </w:p>
    <w:p>
      <w:pPr>
        <w:spacing w:after="160"/>
        <w:jc w:val="both"/>
      </w:pPr>
      <w:r>
        <w:rPr>
          <w:b/>
          <w:bCs/>
        </w:rPr>
        <w:t xml:space="preserve">Carried Over (entitlement batch)</w:t>
      </w:r>
      <w:r>
        <w:t xml:space="preserve"> — the Leave Entitlements batch type created by the year-end carryover job, holding an employee's unused Annual Leave from the prior year, effective only 1-Jan–31-Mar and automatically forfeited if unused by 31-Mar (Section C1).</w:t>
      </w:r>
    </w:p>
    <w:p>
      <w:pPr>
        <w:spacing w:after="160"/>
        <w:jc w:val="both"/>
      </w:pPr>
      <w:r>
        <w:rPr>
          <w:b/>
          <w:bCs/>
        </w:rPr>
        <w:t xml:space="preserve">Custom Role</w:t>
      </w:r>
      <w:r>
        <w:t xml:space="preserve"> — an Admin-created Role (as distinct from the five system-predefined roles) built via the role-builder's clone-and-edit permission-matrix workflow, fully equivalent to a system role at enforcement time (Section A2).</w:t>
      </w:r>
    </w:p>
    <w:p>
      <w:pPr>
        <w:spacing w:after="160"/>
        <w:jc w:val="both"/>
      </w:pPr>
      <w:r>
        <w:rPr>
          <w:b/>
          <w:bCs/>
        </w:rPr>
        <w:t xml:space="preserve">Data Group</w:t>
      </w:r>
      <w:r>
        <w:t xml:space="preserve"> — a named logical resource (e.g., "employee personal details") against which CRUD permissions are granted per role, optionally scoped to the acting user's own records only.</w:t>
      </w:r>
    </w:p>
    <w:p>
      <w:pPr>
        <w:spacing w:after="160"/>
        <w:jc w:val="both"/>
      </w:pPr>
      <w:r>
        <w:rPr>
          <w:b/>
          <w:bCs/>
        </w:rPr>
        <w:t xml:space="preserve">Employee ID Format Template</w:t>
      </w:r>
      <w:r>
        <w:t xml:space="preserve"> — the Admin-configurable pattern (literal text plus `{YY}`/`{MM}`/`{SEQ:n}` tokens) that generates each new employee's permanent, unique ID; SI's current format is `SIL{YY}{MM}{SEQ}` (Section B2).</w:t>
      </w:r>
    </w:p>
    <w:p>
      <w:pPr>
        <w:spacing w:after="160"/>
        <w:jc w:val="both"/>
      </w:pPr>
      <w:r>
        <w:rPr>
          <w:b/>
          <w:bCs/>
        </w:rPr>
        <w:t xml:space="preserve">ESS</w:t>
      </w:r>
      <w:r>
        <w:t xml:space="preserve"> — Employee Self-Service; the situational role every user holds with respect to their own employee record.</w:t>
      </w:r>
    </w:p>
    <w:p>
      <w:pPr>
        <w:spacing w:after="160"/>
        <w:jc w:val="both"/>
      </w:pPr>
      <w:r>
        <w:rPr>
          <w:b/>
          <w:bCs/>
        </w:rPr>
        <w:t xml:space="preserve">eNPS</w:t>
      </w:r>
      <w:r>
        <w:t xml:space="preserve"> — Employee Net Promoter Score; %Promoters (score 9–10) minus %Detractors (score 0–6) on a 0–10 "likelihood to recommend working here" question, computed automatically for each Pulse Survey run (Section F8).</w:t>
      </w:r>
    </w:p>
    <w:p>
      <w:pPr>
        <w:spacing w:after="160"/>
        <w:jc w:val="both"/>
      </w:pPr>
      <w:r>
        <w:rPr>
          <w:b/>
          <w:bCs/>
        </w:rPr>
        <w:t xml:space="preserve">FIFO Entitlement Consumption</w:t>
      </w:r>
      <w:r>
        <w:t xml:space="preserve"> — the rule that leave taken is deducted from the oldest still-open entitlement grant first, refined in this iteration so a nearer-expiry batch (e.g., a Carried Over batch) is always drawn down before a later-expiring one regardless of creation order (Section C1).</w:t>
      </w:r>
    </w:p>
    <w:p>
      <w:pPr>
        <w:spacing w:after="160"/>
        <w:jc w:val="both"/>
      </w:pPr>
      <w:r>
        <w:rPr>
          <w:b/>
          <w:bCs/>
        </w:rPr>
        <w:t xml:space="preserve">Minimum Tenure (Leave Type)</w:t>
      </w:r>
      <w:r>
        <w:t xml:space="preserve"> — a per-leave-type configuration (`minimumTenureMonths`) controlling how many months of service an employee must have before that leave type is available to them; Annual Leave defaults to 12 per SI policy (Section C1).</w:t>
      </w:r>
    </w:p>
    <w:p>
      <w:pPr>
        <w:spacing w:after="160"/>
        <w:jc w:val="both"/>
      </w:pPr>
      <w:r>
        <w:rPr>
          <w:b/>
          <w:bCs/>
        </w:rPr>
        <w:t xml:space="preserve">Notification Center</w:t>
      </w:r>
      <w:r>
        <w:t xml:space="preserve"> — the shared, cross-cutting in-app notification inbox (read/unread/clear, real-time delivery) used by every module alongside email and browser push (Section A7).</w:t>
      </w:r>
    </w:p>
    <w:p>
      <w:pPr>
        <w:spacing w:after="160"/>
        <w:jc w:val="both"/>
      </w:pPr>
      <w:r>
        <w:rPr>
          <w:b/>
          <w:bCs/>
        </w:rPr>
        <w:t xml:space="preserve">Renewal &amp; Compliance Reminder Engine</w:t>
      </w:r>
      <w:r>
        <w:t xml:space="preserve"> — the shared platform service (Section 3.2) for any renewable item (vehicle document, asset warranty/service contract, company registration document): it stores an expiry date, an Admin-configurable set of reminder tiers (how many reminders and how many days before expiry each fires), and a notify list by role; a scheduled sweep raises Notification Center + email alerts at each tier and continues raising a persistent alert after expiry until the item is renewed or retired.</w:t>
      </w:r>
    </w:p>
    <w:p>
      <w:pPr>
        <w:spacing w:after="160"/>
        <w:jc w:val="both"/>
      </w:pPr>
      <w:r>
        <w:rPr>
          <w:b/>
          <w:bCs/>
        </w:rPr>
        <w:t xml:space="preserve">Reporting-Line Graph</w:t>
      </w:r>
      <w:r>
        <w:t xml:space="preserve"> — the many-to-many, typed relationship between employees and their supervisor(s)/subordinate(s), independent of the organizational sub-unit tree.</w:t>
      </w:r>
    </w:p>
    <w:p>
      <w:pPr>
        <w:spacing w:after="160"/>
        <w:jc w:val="both"/>
      </w:pPr>
      <w:r>
        <w:rPr>
          <w:b/>
          <w:bCs/>
        </w:rPr>
        <w:t xml:space="preserve">Travel Advance</w:t>
      </w:r>
      <w:r>
        <w:t xml:space="preserve"> — a cash advance requested and approved against a Claim Event before travel occurs, later reconciled against the employee's submitted expense claims with a computed variance (advance minus reconciled claims); unreconciled advances are tracked on a dedicated report (Section E1).</w:t>
      </w:r>
    </w:p>
    <w:p>
      <w:pPr>
        <w:spacing w:after="160"/>
        <w:jc w:val="both"/>
      </w:pPr>
      <w:r>
        <w:rPr>
          <w:b/>
          <w:bCs/>
        </w:rPr>
        <w:t xml:space="preserve">Trusted Device</w:t>
      </w:r>
      <w:r>
        <w:t xml:space="preserve"> — a browser/device that has completed 2FA once (by either TOTP or emailed one-time code) and been granted a time-limited (default 30-day, Admin-configurable) token allowing future logins to skip the second-factor step; independently revocable per device by the user or an Admin (Section A1).</w:t>
      </w:r>
    </w:p>
    <w:p>
      <w:pPr>
        <w:spacing w:after="160"/>
        <w:jc w:val="both"/>
      </w:pPr>
      <w:r>
        <w:rPr>
          <w:b/>
          <w:bCs/>
        </w:rPr>
        <w:t xml:space="preserve">Workflow State Machine</w:t>
      </w:r>
      <w:r>
        <w:t xml:space="preserve"> — the shared, data-driven `(module, state, role, action) → resulting state` engine underlying every approval process in the system.</w:t>
      </w:r>
    </w:p>
    <w:p>
      <w:pPr>
        <w:pStyle w:val="Heading1"/>
      </w:pPr>
      <w:r>
        <w:t>10. Implementation Status &amp; Post-Completion Hardening</w:t>
      </w:r>
    </w:p>
    <w:p>
      <w:r>
        <w:t>This section was added after the fact, once the build was complete, to record what this specification's original nine sections describe as intent now describe as shipped fact — and to document a subsequent hardening pass that is not part of the original roadmap. The day-to-day build journal this section summarizes — every module's design decisions, trade-offs, bugs found and fixed, and how each was verified — lives in PLAN.md alongside the codebase, not in this document; this section is the executive summary of that record, not a replacement for it.</w:t>
      </w:r>
    </w:p>
    <w:p>
      <w:pPr>
        <w:pStyle w:val="Heading2"/>
      </w:pPr>
      <w:r>
        <w:t>10.1 Build Completion</w:t>
      </w:r>
    </w:p>
    <w:p>
      <w:r>
        <w:t>All six phases named in Section 7's Development Schedule are complete: Phase 0 (Platform Foundation — RBAC and the custom role-builder, local auth, 2FA, the in-app Notification Center with browser push, the E-Signature &amp; Digital Consent Service, the generic REST API framework, the generic workflow-state-machine engine, audit logging, the Renewal &amp; Compliance Reminder Engine, object storage, the scheduled-job registry, and CI); Phase 1 (core employee/organization records and employee self-service); Phase 2 (Domain C — Leave, Time &amp; Project Tracking, and Attendance, including the Accrual &amp; Carry-Over Engine); Phase 3 (Domain D — Recruitment, Performance Management, and Discipline); Phase 4 (Domain E — Expense Claims extensions, Asset Management, Vehicle Fleet Management, Policy Document Management, and Company Registration &amp; Compliance Documents); and Phase 5 (Domain F — Buzz, Dashboard &amp; HR Analytics, Corporate Directory, Helpdesk incl. the confidential Grievance/Whistleblower category, Help &amp; Support Integration, Mobile API Coverage, and Employee Engagement &amp; Pulse Surveys).</w:t>
      </w:r>
    </w:p>
    <w:p>
      <w:r>
        <w:t>Workspace Notifications (F7) and Shift Roster/Scheduling were the only two features explicitly descoped, per SI's own direction recorded elsewhere in this document (Sections 6 and 8.3) — nothing else in this specification was silently dropped. The build remains a prototype exercised against realistic demo data on a single development host, not a production deployment: local stand-ins are in place wherever this document itself already anticipates one (log-driven mail in place of real SMTP, a stub SSO login pending a real identity provider, local disk in place of a provisioned S3-compatible object store, and short-poll refresh in place of a WebSocket/Reverb server for “live” updates such as the Notification Center and dashboard approval counts) — the architecture supports each of these being swapped for the real thing at deployment without a redesign, per this document's own repeated framing of them as configuration, not code.</w:t>
      </w:r>
    </w:p>
    <w:p>
      <w:pPr>
        <w:pStyle w:val="Heading2"/>
      </w:pPr>
      <w:r>
        <w:t>10.2 Post-Completion Hardening (not part of the original roadmap)</w:t>
      </w:r>
    </w:p>
    <w:p>
      <w:r>
        <w:t>With the roadmap complete, two further passes were made: closing four functional gaps a post-completion review had flagged, and a full security audit of the finished application. Neither is numbered elsewhere in this document because neither was scoped in advance — they are recorded here as the natural next step once “build everything specified” was done.</w:t>
      </w:r>
    </w:p>
    <w:p>
      <w:pPr>
        <w:pStyle w:val="Heading3"/>
      </w:pPr>
      <w:r>
        <w:t>10.2.1 Functional gaps closed</w:t>
      </w:r>
    </w:p>
    <w:p>
      <w:pPr>
        <w:pStyle w:val="ListParagraph"/>
        <w:numPr>
          <w:ilvl w:val="0"/>
          <w:numId w:val="1"/>
        </w:numPr>
      </w:pPr>
      <w:r>
        <w:rPr>
          <w:b/>
        </w:rPr>
        <w:t xml:space="preserve">Renewal &amp; Compliance Engine administration. </w:t>
      </w:r>
      <w:r>
        <w:t>The reminder-tier and notify-target configuration Section 3.2 describes was seeded once during Phase 4 with no screen to change it afterward. An Admin/HR Admin-only screen now manages both, per renewable type, reusing the same role-or-employee grant pattern already established for Helpdesk handlers and Policy access grants (Sections F4 and E4).</w:t>
      </w:r>
    </w:p>
    <w:p>
      <w:pPr>
        <w:pStyle w:val="ListParagraph"/>
        <w:numPr>
          <w:ilvl w:val="0"/>
          <w:numId w:val="1"/>
        </w:numPr>
      </w:pPr>
      <w:r>
        <w:rPr>
          <w:b/>
        </w:rPr>
        <w:t xml:space="preserve">Two-factor authentication on API/mobile token issuance. </w:t>
      </w:r>
      <w:r>
        <w:t>Section A1's 2FA policy was enforced on the web session but not on Section 3.2/F6's REST API — a 2FA-required account could obtain a full-access API token with password alone. Token issuance now mirrors the web flow: a 2FA-required login receives a short-lived, single-purpose token that can reach only a new verification endpoint, exchanged for a full-access token only after the same TOTP/email/backup-code check the web login already performs, with the same trusted-device skip carried as a request/response value in place of a browser cookie.</w:t>
      </w:r>
    </w:p>
    <w:p>
      <w:pPr>
        <w:pStyle w:val="ListParagraph"/>
        <w:numPr>
          <w:ilvl w:val="0"/>
          <w:numId w:val="1"/>
        </w:numPr>
      </w:pPr>
      <w:r>
        <w:rPr>
          <w:b/>
        </w:rPr>
        <w:t xml:space="preserve">Password entropy scoring. </w:t>
      </w:r>
      <w:r>
        <w:t>Section A1's password policy enforced length and character-class rules but no real strength check, letting a password satisfy every rule while remaining trivially guessable. A configurable minimum entropy score (industry-standard zxcvbn scoring, 0–4, off by default) now sits alongside the existing rules.</w:t>
      </w:r>
    </w:p>
    <w:p>
      <w:pPr>
        <w:pStyle w:val="ListParagraph"/>
        <w:numPr>
          <w:ilvl w:val="0"/>
          <w:numId w:val="1"/>
        </w:numPr>
      </w:pPr>
      <w:r>
        <w:rPr>
          <w:b/>
        </w:rPr>
        <w:t xml:space="preserve">Data retention for logs. </w:t>
      </w:r>
      <w:r>
        <w:t>Section 5's Non-Functional Requirements call for “a data-retention policy for audit logs, login history, and notification logs”; none existed. A daily job now archives (to a dated file, not deleted outright) and then removes rows past an Admin-configured age, independently per log type, with every window defaulting to “keep forever” until an Admin opts in — the actual retention periods are a legal/compliance decision outside this build's scope, not an engineering one.</w:t>
      </w:r>
    </w:p>
    <w:p>
      <w:pPr>
        <w:pStyle w:val="Heading3"/>
      </w:pPr>
      <w:r>
        <w:t>10.2.2 Security audit</w:t>
      </w:r>
    </w:p>
    <w:p>
      <w:r>
        <w:t>A full review — a dependency vulnerability scan, a systematic search for injection, cross-site scripting, mass-assignment, path-traversal, and insecure-randomness patterns across the codebase, and manual verification of session/cookie configuration, response headers, rate limiting, and the authorization logic protecting the Section F6 API surface — found the following, all fixed in the same pass unless noted otherwise:</w:t>
      </w:r>
    </w:p>
    <w:p>
      <w:pPr>
        <w:pStyle w:val="ListParagraph"/>
        <w:numPr>
          <w:ilvl w:val="0"/>
          <w:numId w:val="1"/>
        </w:numPr>
      </w:pPr>
      <w:r>
        <w:rPr>
          <w:b/>
        </w:rPr>
        <w:t xml:space="preserve">Critical — sensitive files were readable by anyone, unauthenticated. </w:t>
      </w:r>
      <w:r>
        <w:t>Every file-upload feature except Policy Documents (E4) and Company Registration Documents (E5) — which Section E's own text already specified as access-controlled — stored its files on a publicly web-served disk by omission rather than decision. Employee personal documents, Disciplinary Case records, candidate CVs, expense receipts, interview materials, e-signature evidence, training certificates, and recruiting attachments were each confirmed retrievable by a direct, unauthenticated request. Every affected collection now sits behind the same kind of access-controlled delivery path E4/E5 already modeled, each reusing that record's own existing visibility rule rather than a new access model.</w:t>
      </w:r>
    </w:p>
    <w:p>
      <w:pPr>
        <w:pStyle w:val="ListParagraph"/>
        <w:numPr>
          <w:ilvl w:val="0"/>
          <w:numId w:val="1"/>
        </w:numPr>
      </w:pPr>
      <w:r>
        <w:rPr>
          <w:b/>
        </w:rPr>
        <w:t xml:space="preserve">Critical — password-reset codes did not expire, and no endpoint was rate-limited. </w:t>
      </w:r>
      <w:r>
        <w:t>A defect in the reset-code expiry check meant the stated 30-minute validity window never actually took effect, and — confirmed on inspection — no part of the application enforced any rate limit anywhere, despite Section 5's Non-Functional Requirements calling for “rate limiting on authentication and password-reset endpoints” specifically. Both are fixed: the expiry check now behaves correctly, and login, two-factor verification, and password reset (web and, where applicable, the API) are all rate-limited.</w:t>
      </w:r>
    </w:p>
    <w:p>
      <w:pPr>
        <w:pStyle w:val="ListParagraph"/>
        <w:numPr>
          <w:ilvl w:val="0"/>
          <w:numId w:val="1"/>
        </w:numPr>
      </w:pPr>
      <w:r>
        <w:rPr>
          <w:b/>
        </w:rPr>
        <w:t xml:space="preserve">Medium — a pulse-survey response bypassed its own audience scoping. </w:t>
      </w:r>
      <w:r>
        <w:t>Section F8's department/location-scoped runs correctly hid an out-of-scope run from an employee's own list, but the underlying action never re-checked that server-side, so a targeted request could still record a response outside the intended audience. The check now lives with the action itself.</w:t>
      </w:r>
    </w:p>
    <w:p>
      <w:pPr>
        <w:pStyle w:val="ListParagraph"/>
        <w:numPr>
          <w:ilvl w:val="0"/>
          <w:numId w:val="1"/>
        </w:numPr>
      </w:pPr>
      <w:r>
        <w:rPr>
          <w:b/>
        </w:rPr>
        <w:t xml:space="preserve">Medium — a GDPR purge (Section A6) did not fully erase personal data. </w:t>
      </w:r>
      <w:r>
        <w:t>Section A6's purge/anonymization tooling correctly redacted an employee's live record, but the same values remained readable in that employee's prior audit-log history, since an ordinary audit trail is expected to hold exactly that kind of before/after detail. A genuine erasure now redacts both.</w:t>
      </w:r>
    </w:p>
    <w:p>
      <w:pPr>
        <w:pStyle w:val="ListParagraph"/>
        <w:numPr>
          <w:ilvl w:val="0"/>
          <w:numId w:val="1"/>
        </w:numPr>
      </w:pPr>
      <w:r>
        <w:rPr>
          <w:b/>
        </w:rPr>
        <w:t xml:space="preserve">Additional fixes: </w:t>
      </w:r>
      <w:r>
        <w:t>file-type restrictions were added to several upload forms that had accepted any file type (a stored cross-site-scripting risk); authenticator app (TOTP) codes can no longer be reused within their own brief validity window; API tokens now expire automatically rather than remaining valid indefinitely; the seeded demonstration accounts (Section 7's development data) can no longer be created outside a local/test environment by mistake; and standard protective HTTP response headers were added throughout.</w:t>
      </w:r>
    </w:p>
    <w:p>
      <w:r>
        <w:t>Two items initially left as documented trade-offs were closed in a follow-up pass, on request: Buzz/Post photos now go through the same private-disk-plus-authenticated-controller path as the other affected collections described in 10.2.2, gated on the feed's own existing visibility rule (Section F1); and the public, unauthenticated careers/job-application upload (Section D1) is now rate-limited to 10 applications per hour, keyed by IP.</w:t>
      </w:r>
    </w:p>
    <w:p>
      <w:pPr>
        <w:pStyle w:val="Heading2"/>
      </w:pPr>
      <w:r>
        <w:t>10.3 Post-launch requests</w:t>
      </w:r>
    </w:p>
    <w:p>
      <w:r>
        <w:t>Four small, discrete requests handled after the v9.0 hardening pass above, each verified and shipped separately rather than batched.</w:t>
      </w:r>
    </w:p>
    <w:p>
      <w:pPr>
        <w:pStyle w:val="Heading3"/>
      </w:pPr>
      <w:r>
        <w:t>10.3.1 Sign-in/verify illustrations restored; demo credentials removed</w:t>
      </w:r>
    </w:p>
    <w:p>
      <w:r>
        <w:t>The sign-in and 2FA-verify screens had drifted from the original UI/UX artifact (Main.dc.html, TwoFactor.dc.html): both illustration slots held a simplified placeholder icon instead of the artifact's org-chart-with-pulse and laptop/phone/shield graphics. The exact SVG markup was restored from the artifact files. Separately, the login form's demo-account credentials list — an onboarding/development convenience with no place on a screen anyone could reach — was removed.</w:t>
      </w:r>
    </w:p>
    <w:p>
      <w:pPr>
        <w:pStyle w:val="Heading3"/>
      </w:pPr>
      <w:r>
        <w:t>10.3.2 Single sign-on: Google Workspace and Microsoft 365</w:t>
      </w:r>
    </w:p>
    <w:p>
      <w:r>
        <w:t>Section A3's SSO button had been a configuration-only stub since Phase 1 (see Section 10.2.1's superseded note). It now performs real OAuth 2.0/OIDC sign-in via Laravel Socialite, exactly the technology named in Section 3's stack (Google as a Socialite core driver; Microsoft 365/Entra ID via the socialiteproviders/microsoft package). This delivers the OpenID Connect half of the A3 heading for these two named identity providers; the LDAP/AD half of that heading remains unimplemented.</w:t>
      </w:r>
    </w:p>
    <w:p>
      <w:r>
        <w:t>Sign-in does not auto-provision accounts: a successful identity-provider login is matched against an existing User by email, and a non-match is rejected the same way a wrong password is, consistent with this system's “accounts are created by HR during onboarding” model. A successful SSO login also satisfies the system's own two-factor gate, on the basis that the identity provider is itself the strong-authentication factor. Client credentials are encrypted and admin-configurable from the Settings screen — the same storage pattern already used for SMTP credentials — rather than requiring a server-side .env edit and redeploy to enable, disable, or rotate a provider.</w:t>
      </w:r>
    </w:p>
    <w:p>
      <w:r>
        <w:rPr>
          <w:b/>
        </w:rPr>
        <w:t xml:space="preserve">Lockout risk found and fixed in the same pass: </w:t>
      </w:r>
      <w:r>
        <w:t>the existing “enforce password policy on login” gate (Section A1) forces a “type your current password” change whenever the organization's password policy has tightened since an account was created. That gate is meaningless — and a genuine lockout — for a user who signs in only via SSO and may never have known or used a local password. The SSO sign-in path now flags its session accordingly, and the policy gate skips its forced redirect for that session.</w:t>
      </w:r>
    </w:p>
    <w:p>
      <w:pPr>
        <w:pStyle w:val="Heading3"/>
      </w:pPr>
      <w:r>
        <w:t>10.3.3 Notification bell: unread count badge</w:t>
      </w:r>
    </w:p>
    <w:p>
      <w:r>
        <w:t>Requested so this system's notification bell (Section A7) presents the same way as the equivalent bell in the companion SI PIM application: the unread indicator changed from a plain dot to a count badge (capped at “9+”), the bell's accessible label states the unread count, and the panel only offers “Mark all read”/“Clear all” when there is something to act on.</w:t>
      </w:r>
    </w:p>
    <w:p>
      <w:pPr>
        <w:pStyle w:val="Heading3"/>
      </w:pPr>
      <w:r>
        <w:t>10.3.4 Full-codebase review</w:t>
      </w:r>
    </w:p>
    <w:p>
      <w:r>
        <w:t>Requested directly, following the three changes above: every file touched since the v9.0 hardening pass was re-reviewed for regressions and security issues, rather than repeating that full audit from scratch. This is what surfaced the SSO/password-policy lockout risk in Section 10.3.2. A dependency vulnerability scan of the two packages this phase added found no advisories, and the full automated test suite — extended with dedicated coverage for the SSO sign-in flow and the notification badge — passed.</w:t>
      </w:r>
    </w:p>
    <w:p>
      <w:pPr>
        <w:pStyle w:val="Heading2"/>
      </w:pPr>
      <w:r>
        <w:t>10.4 HRIS backlog review (October 2026)</w:t>
      </w:r>
    </w:p>
    <w:p>
      <w:r>
        <w:t>A 19-item backlog of bug reports and feature requests from Systems Intelligenz HRA was worked through in full. Items with an unambiguous correct behavior were implemented directly; three items needing an explicit policy decision (a department short-code format, onboarding/offboarding task duration, and leave-type visibility) were confirmed with SI before building; and three larger items (chart-based reporting, navigation restructuring, and Pulse Survey question flexibility) were written up as a proposal for SI’s review before any code was written, then built once approved, with further refinements SI requested after seeing the result.</w:t>
      </w:r>
    </w:p>
    <w:p>
      <w:pPr>
        <w:pStyle w:val="Heading3"/>
      </w:pPr>
      <w:r>
        <w:t>10.4.1 Workspace and self-service fixes</w:t>
      </w:r>
    </w:p>
    <w:p>
      <w:r>
        <w:t>Profile photo upload (B2) silently failed to persist in the view after a successful save, caused by Eloquent’s relation cache not refreshing after the underlying media record was written; fixed, with file-type/size/resolution requirements now shown inline. The duplicate “My Profile” sidebar entry was removed (the avatar-menu entry already reaches the same screen). The sidebar’s scroll position now persists across the full-page navigations this application deliberately uses (Section 3.5’s frontend note), instead of resetting to the top on every click. The Home dashboard’s “My Open Requests” tile now opens a new detail screen listing every leave request and expense claim the employee has submitted with its full approval-trail status, rather than being a static count with nowhere to click through to. The Corporate Directory (F3) now shows each employee’s uploaded photo, drops the Employee ID column, and adds who they report to.</w:t>
      </w:r>
    </w:p>
    <w:p>
      <w:pPr>
        <w:pStyle w:val="Heading3"/>
      </w:pPr>
      <w:r>
        <w:t>10.4.2 Employee record refinements (extends B1, B2, B3)</w:t>
      </w:r>
    </w:p>
    <w:p>
      <w:r>
        <w:t>Preferred Name, a field on the Employee Master Record (B2) that had never been surfaced in any screen since it was added, was removed outright rather than wired up to a use it never had. B1’s Organization &amp; Master Data screen (its “Sub-units” tab, renamed “Departments” throughout its UI to match how SI refers to them; the underlying data model is unchanged) gained a Department Code on each department: exactly three uppercase letters, enforced unique, entered manually, for use as a short form in reports (e.g., “Sales &amp; Marketing” becomes SMA). The Gender field on the Personal tab was narrowed to Male/Female. B2’s self-service employee view, renamed “My Info” in the interface (it was “My Profile”; its editable section is labelled “Biodata”), was expanded to include the Qualifications sub-record (education, skills, languages, licenses, memberships, work experience) and a new “Career Development” tab (development plans and training records) alongside the existing Personal and Contact tabs. Onboarding/offboarding task assignment itself (B3) remains an HR-initiated action only, deliberately not added to self-service, so an employee cannot assign onboarding/offboarding tasks to themselves.</w:t>
      </w:r>
    </w:p>
    <w:p>
      <w:pPr>
        <w:pStyle w:val="Heading3"/>
      </w:pPr>
      <w:r>
        <w:t>10.4.3 Onboarding/Offboarding templates (extends B3)</w:t>
      </w:r>
    </w:p>
    <w:p>
      <w:r>
        <w:t>Templates, previously delete-and-recreate only, are now editable in place. Each template’s task items gained a duration (expressed in hours or days) as a field distinct from B3’s existing due-date offset — one answers “how long this takes,” the other “when it is due” — with the template’s cumulative total time now shown alongside its name.</w:t>
      </w:r>
    </w:p>
    <w:p>
      <w:pPr>
        <w:pStyle w:val="Heading3"/>
      </w:pPr>
      <w:r>
        <w:t>10.4.4 Leave type visibility (extends C1)</w:t>
      </w:r>
    </w:p>
    <w:p>
      <w:r>
        <w:t>Apply Leave’s leave-type list now hides a type only when the requesting employee has zero entitlement to it and that type is flagged as excluded from reporting if unentitled (an existing C1 configuration flag); a leave type SI has deliberately made available to everyone without a pre-assigned entitlement (e.g., unpaid leave) is never hidden by this rule. Re-validated server-side on submission as well as in the dropdown, since the selected type is client-supplied.</w:t>
      </w:r>
    </w:p>
    <w:p>
      <w:pPr>
        <w:pStyle w:val="Heading3"/>
      </w:pPr>
      <w:r>
        <w:t>10.4.5 Navigation and layout (supersedes 3.4’s navigation description; extends A5)</w:t>
      </w:r>
    </w:p>
    <w:p>
      <w:r>
        <w:t>3.4’s three-group sidebar (Workspace / My Team / Company) no longer reflects the number of screens the system has grown to since Phase 0 — the Admin group alone had grown to eighteen screens in one flat list. The sidebar is now eight groups: Home (pinned above every group, never itself collapsed), Workspace, Company, My Info, Socials, My Team (unchanged), and three replacing the old single Admin group — HR Admin (the day-to-day HR configuration screens), Reports (Leave/Timesheet/Attendance/Employee reports, previously scattered one per module with no common home), and Admin (system/security-level screens only). Page body text — sub-headings and in-page copy, not headings, buttons, or the navigation itself — was increased via a five-step type scale added to the design system’s tokens (3.4), consolidating what had become nine slightly different hand-picked sizes. Two defects in the mobile (narrower than 1024px) layout, present since the responsive shell was first built, were found and fixed in the same pass: the top bar’s avatar/notification cluster rendered at the left edge instead of the right (a single-flex-child side effect of hiding the search box at that width), and most of the navigation was simply unreachable below the sidebar’s cutoff width — a “more” bottom-sheet had been styled but never connected to a control, so only four of the sidebar’s several dozen destinations had any mobile entry point at all. The bottom tab bar now includes a “More” action opening that sheet, grouped the same way as the sidebar.</w:t>
      </w:r>
    </w:p>
    <w:p>
      <w:pPr>
        <w:pStyle w:val="Heading3"/>
      </w:pPr>
      <w:r>
        <w:t>10.4.6 Chart-based reporting (extends C1, C2, C3, B2, F2)</w:t>
      </w:r>
    </w:p>
    <w:p>
      <w:r>
        <w:t>SI’s reports — Leave (C1), Timesheet and Attendance (C2/C3), and the Employee Report Builder (B2) — gained a chart alongside their existing table, never replacing it, since the table remains the detailed record HR audits against: a bar chart of leave days used by type, a bar chart of timesheet hours by the report’s own grouping, a line chart of daily attendance-hours trend, and a doughnut chart of headcount composition for the employee report builder’s current filtered result. F2’s dashboard headcount-by-department/location tiles, previously a hand-rolled bar-meter standing in for a chart, were replaced with the same real chart component.</w:t>
      </w:r>
    </w:p>
    <w:p>
      <w:pPr>
        <w:pStyle w:val="Heading3"/>
      </w:pPr>
      <w:r>
        <w:t>10.4.7 Pulse Survey question banks (extends F8)</w:t>
      </w:r>
    </w:p>
    <w:p>
      <w:r>
        <w:t>F8’s original design fixed every template to exactly one scale question plus one optional free-text question, by design, to keep completion rates high. That constraint is preserved in spirit but no longer in mechanism: a template is now a question bank of any number of scale or free-text questions, and a run selects a subset of up to five when it launches — short by a configurable cap, not short because only two questions exist. Results now report per question (average score, response distribution, and eNPS for a scale question; a filtered comment list for a free-text question), still gated on the same minimum-response anonymization threshold as before, since that threshold protects anonymity based on how many people responded at all, not on any one question. Launching a run is now a capability independent of authoring the question bank: HR Officer, who previously had no Pulse Survey access beyond responding as an employee, can now launch a run from an HR-Admin-authored template and view its results, while creating or editing templates stays HR Admin/Admin only. A pre-existing F2 dashboard tile summarizing eNPS was adjusted in the same pass, since eNPS now belongs to a specific question rather than to a run as a whole.</w:t>
      </w:r>
    </w:p>
    <w:p>
      <w:pPr>
        <w:pStyle w:val="Heading3"/>
      </w:pPr>
      <w:r>
        <w:t>10.4.8 Admin Settings reorganized into tabs (extends A5)</w:t>
      </w:r>
    </w:p>
    <w:p>
      <w:r>
        <w:t>A5’s single-page Settings screen had grown to fifteen independent configuration sections in one long scroll. It is now five tabs grouping settings an administrator would reasonably change together: Security (two-factor policy, password policy, data retention, idle session timeout), Branding &amp; Organization (branding, Employee ID format, organization profile), Integrations (SMTP, Google Workspace SSO, Microsoft 365 SSO), System (health check visibility, optional profile tabs, dashboard scope, Help &amp; Support), and Modules (Time &amp; Attendance, Expense Claims).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b/>
      <w:bCs/>
      <w:color w:val="1F3864"/>
      <w:sz w:val="30"/>
      <w:szCs w:val="30"/>
    </w:rPr>
  </w:style>
  <w:style w:type="paragraph" w:styleId="Heading2">
    <w:name w:val="Heading 2"/>
    <w:basedOn w:val="Normal"/>
    <w:next w:val="Normal"/>
    <w:qFormat/>
    <w:pPr>
      <w:spacing w:after="140" w:before="260"/>
      <w:outlineLvl w:val="1"/>
    </w:pPr>
    <w:rPr>
      <w:b/>
      <w:bCs/>
      <w:color w:val="2E5395"/>
      <w:sz w:val="25"/>
      <w:szCs w:val="25"/>
    </w:rPr>
  </w:style>
  <w:style w:type="paragraph" w:styleId="Heading3">
    <w:name w:val="Heading 3"/>
    <w:basedOn w:val="Normal"/>
    <w:next w:val="Normal"/>
    <w:qFormat/>
    <w:pPr>
      <w:spacing w:after="100" w:before="200"/>
      <w:outlineLvl w:val="2"/>
    </w:pPr>
    <w:rPr>
      <w:b/>
      <w:bCs/>
      <w:color w:val="2E5395"/>
      <w:sz w:val="22"/>
      <w:szCs w:val="22"/>
    </w:rPr>
  </w:style>
  <w:style w:type="paragraph" w:styleId="Heading4">
    <w:name w:val="Heading 4"/>
    <w:basedOn w:val="Normal"/>
    <w:next w:val="Normal"/>
    <w:qFormat/>
    <w:pPr>
      <w:spacing w:after="80" w:before="160"/>
      <w:outlineLvl w:val="3"/>
    </w:pPr>
    <w:rPr>
      <w:b/>
      <w:bCs/>
      <w:i/>
      <w:iCs/>
      <w:color w:val="404040"/>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2026-09-27T02:48:09.919Z</dcterms:created>
  <dcterms:modified xsi:type="dcterms:W3CDTF">2026-09-27T02:48:09.931Z</dcterms:modified>
</cp:coreProperties>
</file>

<file path=docProps/custom.xml><?xml version="1.0" encoding="utf-8"?>
<Properties xmlns="http://schemas.openxmlformats.org/officeDocument/2006/custom-properties" xmlns:vt="http://schemas.openxmlformats.org/officeDocument/2006/docPropsVTypes"/>
</file>