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2200" w:after="600"/>
      </w:pPr>
      <w:r>
        <w:rPr>
          <w:rFonts w:ascii="Arial" w:hAnsi="Arial"/>
          <w:b/>
          <w:color w:val="111111"/>
          <w:sz w:val="22"/>
        </w:rPr>
        <w:t>━━━━━━━━</w:t>
      </w:r>
    </w:p>
    <w:p>
      <w:pPr>
        <w:pStyle w:val="Title"/>
        <w:spacing w:after="280"/>
      </w:pPr>
      <w:r>
        <w:rPr>
          <w:rFonts w:ascii="Arial" w:hAnsi="Arial"/>
          <w:b/>
          <w:color w:val="111111"/>
          <w:sz w:val="64"/>
        </w:rPr>
        <w:t>PC Orbit UX and Feature</w:t>
        <w:br/>
        <w:t>Investment Memo</w:t>
      </w:r>
    </w:p>
    <w:p>
      <w:pPr>
        <w:spacing w:after="680"/>
      </w:pPr>
      <w:r>
        <w:rPr>
          <w:rFonts w:ascii="Arial" w:hAnsi="Arial"/>
          <w:color w:val="666666"/>
          <w:sz w:val="27"/>
        </w:rPr>
        <w:t>How to turn a strong Windows control engine into a user experience that feels effortless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08"/>
        <w:gridCol w:w="4608"/>
      </w:tblGrid>
      <w:tr>
        <w:trPr>
          <w:tblHeader w:val="true"/>
        </w:trPr>
        <w:tc>
          <w:tcPr>
            <w:tcW w:type="dxa" w:w="4680"/>
            <w:shd w:fill="111111"/>
            <w:tcMar>
              <w:top w:w="115" w:type="dxa"/>
              <w:start w:w="110" w:type="dxa"/>
              <w:bottom w:w="115" w:type="dxa"/>
              <w:end w:w="110" w:type="dxa"/>
            </w:tcMar>
            <w:vAlign w:val="center"/>
          </w:tcPr>
          <w:p>
            <w:pPr>
              <w:spacing w:after="0"/>
              <w:jc w:val="center"/>
            </w:pPr>
            <w:r>
              <w:rPr>
                <w:rFonts w:ascii="Arial" w:hAnsi="Arial"/>
                <w:b/>
                <w:color w:val="FFFFFF"/>
                <w:sz w:val="19"/>
              </w:rPr>
              <w:t>To</w:t>
            </w:r>
          </w:p>
        </w:tc>
        <w:tc>
          <w:tcPr>
            <w:tcW w:type="dxa" w:w="4680"/>
            <w:shd w:fill="111111"/>
            <w:tcMar>
              <w:top w:w="115" w:type="dxa"/>
              <w:start w:w="110" w:type="dxa"/>
              <w:bottom w:w="115" w:type="dxa"/>
              <w:end w:w="110" w:type="dxa"/>
            </w:tcMar>
            <w:vAlign w:val="center"/>
          </w:tcPr>
          <w:p>
            <w:pPr>
              <w:spacing w:after="0"/>
              <w:jc w:val="center"/>
            </w:pPr>
            <w:r>
              <w:rPr>
                <w:rFonts w:ascii="Arial" w:hAnsi="Arial"/>
                <w:b/>
                <w:color w:val="FFFFFF"/>
                <w:sz w:val="19"/>
              </w:rPr>
              <w:t>Date</w:t>
            </w:r>
          </w:p>
        </w:tc>
      </w:tr>
      <w:tr>
        <w:tc>
          <w:tcPr>
            <w:tcW w:type="dxa" w:w="4608"/>
            <w:shd w:fill="F3F3F3"/>
            <w:tcMar>
              <w:top w:w="100" w:type="dxa"/>
              <w:start w:w="110" w:type="dxa"/>
              <w:bottom w:w="100" w:type="dxa"/>
              <w:end w:w="110" w:type="dxa"/>
            </w:tcMar>
            <w:vAlign w:val="center"/>
          </w:tcPr>
          <w:p>
            <w:pPr>
              <w:spacing w:after="0" w:line="240" w:lineRule="auto"/>
              <w:jc w:val="center"/>
            </w:pPr>
            <w:r>
              <w:rPr>
                <w:rFonts w:ascii="Arial" w:hAnsi="Arial"/>
                <w:color w:val="111111"/>
                <w:sz w:val="19"/>
              </w:rPr>
              <w:t>PC Orbit product and engineering team</w:t>
            </w:r>
          </w:p>
        </w:tc>
        <w:tc>
          <w:tcPr>
            <w:tcW w:type="dxa" w:w="4608"/>
            <w:shd w:fill="F3F3F3"/>
            <w:tcMar>
              <w:top w:w="100" w:type="dxa"/>
              <w:start w:w="110" w:type="dxa"/>
              <w:bottom w:w="100" w:type="dxa"/>
              <w:end w:w="110" w:type="dxa"/>
            </w:tcMar>
            <w:vAlign w:val="center"/>
          </w:tcPr>
          <w:p>
            <w:pPr>
              <w:spacing w:after="0" w:line="240" w:lineRule="auto"/>
              <w:jc w:val="center"/>
            </w:pPr>
            <w:r>
              <w:rPr>
                <w:rFonts w:ascii="Arial" w:hAnsi="Arial"/>
                <w:color w:val="111111"/>
                <w:sz w:val="19"/>
              </w:rPr>
              <w:t>05 September 2026</w:t>
            </w:r>
          </w:p>
        </w:tc>
      </w:tr>
      <w:tr>
        <w:tc>
          <w:tcPr>
            <w:tcW w:type="dxa" w:w="4608"/>
            <w:tcMar>
              <w:top w:w="100" w:type="dxa"/>
              <w:start w:w="110" w:type="dxa"/>
              <w:bottom w:w="100" w:type="dxa"/>
              <w:end w:w="110" w:type="dxa"/>
            </w:tcMar>
            <w:vAlign w:val="center"/>
          </w:tcPr>
          <w:p>
            <w:pPr>
              <w:spacing w:after="0" w:line="240" w:lineRule="auto"/>
              <w:jc w:val="center"/>
            </w:pPr>
            <w:r>
              <w:rPr>
                <w:rFonts w:ascii="Arial" w:hAnsi="Arial"/>
                <w:color w:val="111111"/>
                <w:sz w:val="19"/>
              </w:rPr>
              <w:t>Decision</w:t>
            </w:r>
          </w:p>
        </w:tc>
        <w:tc>
          <w:tcPr>
            <w:tcW w:type="dxa" w:w="4608"/>
            <w:tcMar>
              <w:top w:w="100" w:type="dxa"/>
              <w:start w:w="110" w:type="dxa"/>
              <w:bottom w:w="100" w:type="dxa"/>
              <w:end w:w="110" w:type="dxa"/>
            </w:tcMar>
            <w:vAlign w:val="center"/>
          </w:tcPr>
          <w:p>
            <w:pPr>
              <w:spacing w:after="0" w:line="240" w:lineRule="auto"/>
              <w:jc w:val="center"/>
            </w:pPr>
            <w:r>
              <w:rPr>
                <w:rFonts w:ascii="Arial" w:hAnsi="Arial"/>
                <w:color w:val="111111"/>
                <w:sz w:val="19"/>
              </w:rPr>
              <w:t>Prioritize mission orchestration over more utility pages</w:t>
            </w:r>
          </w:p>
        </w:tc>
      </w:tr>
      <w:tr>
        <w:tc>
          <w:tcPr>
            <w:tcW w:type="dxa" w:w="4608"/>
            <w:shd w:fill="F3F3F3"/>
            <w:tcMar>
              <w:top w:w="100" w:type="dxa"/>
              <w:start w:w="110" w:type="dxa"/>
              <w:bottom w:w="100" w:type="dxa"/>
              <w:end w:w="110" w:type="dxa"/>
            </w:tcMar>
            <w:vAlign w:val="center"/>
          </w:tcPr>
          <w:p>
            <w:pPr>
              <w:spacing w:after="0" w:line="240" w:lineRule="auto"/>
              <w:jc w:val="center"/>
            </w:pPr>
            <w:r>
              <w:rPr>
                <w:rFonts w:ascii="Arial" w:hAnsi="Arial"/>
                <w:color w:val="111111"/>
                <w:sz w:val="19"/>
              </w:rPr>
              <w:t>Scope</w:t>
            </w:r>
          </w:p>
        </w:tc>
        <w:tc>
          <w:tcPr>
            <w:tcW w:type="dxa" w:w="4608"/>
            <w:shd w:fill="F3F3F3"/>
            <w:tcMar>
              <w:top w:w="100" w:type="dxa"/>
              <w:start w:w="110" w:type="dxa"/>
              <w:bottom w:w="100" w:type="dxa"/>
              <w:end w:w="110" w:type="dxa"/>
            </w:tcMar>
            <w:vAlign w:val="center"/>
          </w:tcPr>
          <w:p>
            <w:pPr>
              <w:spacing w:after="0" w:line="240" w:lineRule="auto"/>
              <w:jc w:val="center"/>
            </w:pPr>
            <w:r>
              <w:rPr>
                <w:rFonts w:ascii="Arial" w:hAnsi="Arial"/>
                <w:color w:val="111111"/>
                <w:sz w:val="19"/>
              </w:rPr>
              <w:t>Windows 10 and 11 desktop application</w:t>
            </w:r>
          </w:p>
        </w:tc>
      </w:tr>
      <w:tr>
        <w:tc>
          <w:tcPr>
            <w:tcW w:type="dxa" w:w="4608"/>
            <w:tcMar>
              <w:top w:w="100" w:type="dxa"/>
              <w:start w:w="110" w:type="dxa"/>
              <w:bottom w:w="100" w:type="dxa"/>
              <w:end w:w="110" w:type="dxa"/>
            </w:tcMar>
            <w:vAlign w:val="center"/>
          </w:tcPr>
          <w:p>
            <w:pPr>
              <w:spacing w:after="0" w:line="240" w:lineRule="auto"/>
              <w:jc w:val="center"/>
            </w:pPr>
            <w:r>
              <w:rPr>
                <w:rFonts w:ascii="Arial" w:hAnsi="Arial"/>
                <w:color w:val="111111"/>
                <w:sz w:val="19"/>
              </w:rPr>
              <w:t>Evidence</w:t>
            </w:r>
          </w:p>
        </w:tc>
        <w:tc>
          <w:tcPr>
            <w:tcW w:type="dxa" w:w="4608"/>
            <w:tcMar>
              <w:top w:w="100" w:type="dxa"/>
              <w:start w:w="110" w:type="dxa"/>
              <w:bottom w:w="100" w:type="dxa"/>
              <w:end w:w="110" w:type="dxa"/>
            </w:tcMar>
            <w:vAlign w:val="center"/>
          </w:tcPr>
          <w:p>
            <w:pPr>
              <w:spacing w:after="0" w:line="240" w:lineRule="auto"/>
              <w:jc w:val="center"/>
            </w:pPr>
            <w:r>
              <w:rPr>
                <w:rFonts w:ascii="Arial" w:hAnsi="Arial"/>
                <w:color w:val="111111"/>
                <w:sz w:val="19"/>
              </w:rPr>
              <w:t>Static repository audit and official platform documentation</w:t>
            </w:r>
          </w:p>
        </w:tc>
      </w:tr>
    </w:tbl>
    <w:p>
      <w:pPr>
        <w:spacing w:after="20"/>
      </w:pPr>
    </w:p>
    <w:p>
      <w:r>
        <w:br w:type="page"/>
      </w:r>
    </w:p>
    <w:p>
      <w:pPr>
        <w:keepNext/>
        <w:spacing w:before="180" w:after="140"/>
      </w:pPr>
      <w:r>
        <w:rPr>
          <w:rFonts w:ascii="Arial" w:hAnsi="Arial"/>
          <w:b/>
          <w:color w:val="111111"/>
          <w:sz w:val="29"/>
        </w:rPr>
        <w:t>1.  Executive Recommendation</w:t>
      </w:r>
    </w:p>
    <w:p>
      <w:pPr>
        <w:keepLines/>
        <w:spacing w:after="120" w:line="254" w:lineRule="auto"/>
      </w:pPr>
      <w:r>
        <w:rPr>
          <w:rFonts w:ascii="Arial" w:hAnsi="Arial"/>
          <w:color w:val="111111"/>
          <w:sz w:val="21"/>
        </w:rPr>
        <w:t>PC Orbit already has enough capability to look substantial. The missing wow effect comes from orchestration, not from a shortage of tools. Users still have to translate a human problem into the correct page and combine evidence from several places themselves.</w:t>
      </w:r>
    </w:p>
    <w:p>
      <w:pPr>
        <w:keepLines/>
        <w:spacing w:after="120" w:line="254" w:lineRule="auto"/>
      </w:pPr>
      <w:r>
        <w:rPr>
          <w:rFonts w:ascii="Arial" w:hAnsi="Arial"/>
          <w:b/>
          <w:color w:val="111111"/>
          <w:sz w:val="21"/>
        </w:rPr>
        <w:t>Decision requested:</w:t>
      </w:r>
      <w:r>
        <w:rPr>
          <w:rFonts w:ascii="Arial" w:hAnsi="Arial"/>
          <w:color w:val="111111"/>
          <w:sz w:val="21"/>
        </w:rPr>
        <w:t xml:space="preserve"> fund four Priority 0 journeys before adding another top-level page.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3456"/>
      </w:tblGrid>
      <w:tr>
        <w:trPr>
          <w:tblHeader w:val="true"/>
        </w:trPr>
        <w:tc>
          <w:tcPr>
            <w:tcW w:type="dxa" w:w="3120"/>
            <w:shd w:fill="111111"/>
            <w:tcMar>
              <w:top w:w="115" w:type="dxa"/>
              <w:start w:w="110" w:type="dxa"/>
              <w:bottom w:w="115" w:type="dxa"/>
              <w:end w:w="110" w:type="dxa"/>
            </w:tcMar>
            <w:vAlign w:val="center"/>
          </w:tcPr>
          <w:p>
            <w:pPr>
              <w:spacing w:after="0"/>
              <w:jc w:val="center"/>
            </w:pPr>
            <w:r>
              <w:rPr>
                <w:rFonts w:ascii="Arial" w:hAnsi="Arial"/>
                <w:b/>
                <w:color w:val="FFFFFF"/>
                <w:sz w:val="18"/>
              </w:rPr>
              <w:t>Priority 0 investment</w:t>
            </w:r>
          </w:p>
        </w:tc>
        <w:tc>
          <w:tcPr>
            <w:tcW w:type="dxa" w:w="3120"/>
            <w:shd w:fill="111111"/>
            <w:tcMar>
              <w:top w:w="115" w:type="dxa"/>
              <w:start w:w="110" w:type="dxa"/>
              <w:bottom w:w="115" w:type="dxa"/>
              <w:end w:w="110" w:type="dxa"/>
            </w:tcMar>
            <w:vAlign w:val="center"/>
          </w:tcPr>
          <w:p>
            <w:pPr>
              <w:spacing w:after="0"/>
              <w:jc w:val="center"/>
            </w:pPr>
            <w:r>
              <w:rPr>
                <w:rFonts w:ascii="Arial" w:hAnsi="Arial"/>
                <w:b/>
                <w:color w:val="FFFFFF"/>
                <w:sz w:val="18"/>
              </w:rPr>
              <w:t>User-visible result</w:t>
            </w:r>
          </w:p>
        </w:tc>
        <w:tc>
          <w:tcPr>
            <w:tcW w:type="dxa" w:w="3120"/>
            <w:shd w:fill="111111"/>
            <w:tcMar>
              <w:top w:w="115" w:type="dxa"/>
              <w:start w:w="110" w:type="dxa"/>
              <w:bottom w:w="115" w:type="dxa"/>
              <w:end w:w="110" w:type="dxa"/>
            </w:tcMar>
            <w:vAlign w:val="center"/>
          </w:tcPr>
          <w:p>
            <w:pPr>
              <w:spacing w:after="0"/>
              <w:jc w:val="center"/>
            </w:pPr>
            <w:r>
              <w:rPr>
                <w:rFonts w:ascii="Arial" w:hAnsi="Arial"/>
                <w:b/>
                <w:color w:val="FFFFFF"/>
                <w:sz w:val="18"/>
              </w:rPr>
              <w:t>Why now</w:t>
            </w:r>
          </w:p>
        </w:tc>
      </w:tr>
      <w:tr>
        <w:tc>
          <w:tcPr>
            <w:tcW w:type="dxa" w:w="2088"/>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Mission Center</w:t>
            </w:r>
          </w:p>
        </w:tc>
        <w:tc>
          <w:tcPr>
            <w:tcW w:type="dxa" w:w="3816"/>
            <w:shd w:fill="F3F3F3"/>
            <w:tcMar>
              <w:top w:w="100" w:type="dxa"/>
              <w:start w:w="110" w:type="dxa"/>
              <w:bottom w:w="100" w:type="dxa"/>
              <w:end w:w="110" w:type="dxa"/>
            </w:tcMar>
            <w:vAlign w:val="center"/>
          </w:tcPr>
          <w:p>
            <w:pPr>
              <w:spacing w:after="0" w:line="240" w:lineRule="auto"/>
              <w:jc w:val="left"/>
            </w:pPr>
            <w:r>
              <w:rPr>
                <w:rFonts w:ascii="Arial" w:hAnsi="Arial"/>
                <w:color w:val="111111"/>
                <w:sz w:val="18"/>
              </w:rPr>
              <w:t>Type a goal or symptom and start the right workflow</w:t>
            </w:r>
          </w:p>
        </w:tc>
        <w:tc>
          <w:tcPr>
            <w:tcW w:type="dxa" w:w="3456"/>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Search aliases, navigation and outcomes already exist</w:t>
            </w:r>
          </w:p>
        </w:tc>
      </w:tr>
      <w:tr>
        <w:tc>
          <w:tcPr>
            <w:tcW w:type="dxa" w:w="2088"/>
            <w:tcMar>
              <w:top w:w="100" w:type="dxa"/>
              <w:start w:w="110" w:type="dxa"/>
              <w:bottom w:w="100" w:type="dxa"/>
              <w:end w:w="110" w:type="dxa"/>
            </w:tcMar>
            <w:vAlign w:val="center"/>
          </w:tcPr>
          <w:p>
            <w:pPr>
              <w:spacing w:after="0" w:line="240" w:lineRule="auto"/>
              <w:jc w:val="center"/>
            </w:pPr>
            <w:r>
              <w:rPr>
                <w:rFonts w:ascii="Arial" w:hAnsi="Arial"/>
                <w:color w:val="111111"/>
                <w:sz w:val="18"/>
              </w:rPr>
              <w:t>Next route for every finding</w:t>
            </w:r>
          </w:p>
        </w:tc>
        <w:tc>
          <w:tcPr>
            <w:tcW w:type="dxa" w:w="3816"/>
            <w:tcMar>
              <w:top w:w="100" w:type="dxa"/>
              <w:start w:w="110" w:type="dxa"/>
              <w:bottom w:w="100" w:type="dxa"/>
              <w:end w:w="110" w:type="dxa"/>
            </w:tcMar>
            <w:vAlign w:val="center"/>
          </w:tcPr>
          <w:p>
            <w:pPr>
              <w:spacing w:after="0" w:line="240" w:lineRule="auto"/>
              <w:jc w:val="left"/>
            </w:pPr>
            <w:r>
              <w:rPr>
                <w:rFonts w:ascii="Arial" w:hAnsi="Arial"/>
                <w:color w:val="111111"/>
                <w:sz w:val="18"/>
              </w:rPr>
              <w:t>No warning ends in a dead end</w:t>
            </w:r>
          </w:p>
        </w:tc>
        <w:tc>
          <w:tcPr>
            <w:tcW w:type="dxa" w:w="3456"/>
            <w:tcMar>
              <w:top w:w="100" w:type="dxa"/>
              <w:start w:w="110" w:type="dxa"/>
              <w:bottom w:w="100" w:type="dxa"/>
              <w:end w:w="110" w:type="dxa"/>
            </w:tcMar>
            <w:vAlign w:val="center"/>
          </w:tcPr>
          <w:p>
            <w:pPr>
              <w:spacing w:after="0" w:line="240" w:lineRule="auto"/>
              <w:jc w:val="center"/>
            </w:pPr>
            <w:r>
              <w:rPr>
                <w:rFonts w:ascii="Arial" w:hAnsi="Arial"/>
                <w:color w:val="111111"/>
                <w:sz w:val="18"/>
              </w:rPr>
              <w:t>Uses existing pages, guides and safe actions</w:t>
            </w:r>
          </w:p>
        </w:tc>
      </w:tr>
      <w:tr>
        <w:tc>
          <w:tcPr>
            <w:tcW w:type="dxa" w:w="2088"/>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Incident Mode</w:t>
            </w:r>
          </w:p>
        </w:tc>
        <w:tc>
          <w:tcPr>
            <w:tcW w:type="dxa" w:w="3816"/>
            <w:shd w:fill="F3F3F3"/>
            <w:tcMar>
              <w:top w:w="100" w:type="dxa"/>
              <w:start w:w="110" w:type="dxa"/>
              <w:bottom w:w="100" w:type="dxa"/>
              <w:end w:w="110" w:type="dxa"/>
            </w:tcMar>
            <w:vAlign w:val="center"/>
          </w:tcPr>
          <w:p>
            <w:pPr>
              <w:spacing w:after="0" w:line="240" w:lineRule="auto"/>
              <w:jc w:val="left"/>
            </w:pPr>
            <w:r>
              <w:rPr>
                <w:rFonts w:ascii="Arial" w:hAnsi="Arial"/>
                <w:color w:val="111111"/>
                <w:sz w:val="18"/>
              </w:rPr>
              <w:t>Shows what changed before a slowdown, crash or device failure</w:t>
            </w:r>
          </w:p>
        </w:tc>
        <w:tc>
          <w:tcPr>
            <w:tcW w:type="dxa" w:w="3456"/>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Timeline, diff and correlation primitives are already present</w:t>
            </w:r>
          </w:p>
        </w:tc>
      </w:tr>
      <w:tr>
        <w:tc>
          <w:tcPr>
            <w:tcW w:type="dxa" w:w="2088"/>
            <w:tcMar>
              <w:top w:w="100" w:type="dxa"/>
              <w:start w:w="110" w:type="dxa"/>
              <w:bottom w:w="100" w:type="dxa"/>
              <w:end w:w="110" w:type="dxa"/>
            </w:tcMar>
            <w:vAlign w:val="center"/>
          </w:tcPr>
          <w:p>
            <w:pPr>
              <w:spacing w:after="0" w:line="240" w:lineRule="auto"/>
              <w:jc w:val="center"/>
            </w:pPr>
            <w:r>
              <w:rPr>
                <w:rFonts w:ascii="Arial" w:hAnsi="Arial"/>
                <w:color w:val="111111"/>
                <w:sz w:val="18"/>
              </w:rPr>
              <w:t>Recovery Ladder</w:t>
            </w:r>
          </w:p>
        </w:tc>
        <w:tc>
          <w:tcPr>
            <w:tcW w:type="dxa" w:w="3816"/>
            <w:tcMar>
              <w:top w:w="100" w:type="dxa"/>
              <w:start w:w="110" w:type="dxa"/>
              <w:bottom w:w="100" w:type="dxa"/>
              <w:end w:w="110" w:type="dxa"/>
            </w:tcMar>
            <w:vAlign w:val="center"/>
          </w:tcPr>
          <w:p>
            <w:pPr>
              <w:spacing w:after="0" w:line="240" w:lineRule="auto"/>
              <w:jc w:val="left"/>
            </w:pPr>
            <w:r>
              <w:rPr>
                <w:rFonts w:ascii="Arial" w:hAnsi="Arial"/>
                <w:color w:val="111111"/>
                <w:sz w:val="18"/>
              </w:rPr>
              <w:t>Chooses the least disruptive supported recovery path</w:t>
            </w:r>
          </w:p>
        </w:tc>
        <w:tc>
          <w:tcPr>
            <w:tcW w:type="dxa" w:w="3456"/>
            <w:tcMar>
              <w:top w:w="100" w:type="dxa"/>
              <w:start w:w="110" w:type="dxa"/>
              <w:bottom w:w="100" w:type="dxa"/>
              <w:end w:w="110" w:type="dxa"/>
            </w:tcMar>
            <w:vAlign w:val="center"/>
          </w:tcPr>
          <w:p>
            <w:pPr>
              <w:spacing w:after="0" w:line="240" w:lineRule="auto"/>
              <w:jc w:val="center"/>
            </w:pPr>
            <w:r>
              <w:rPr>
                <w:rFonts w:ascii="Arial" w:hAnsi="Arial"/>
                <w:color w:val="111111"/>
                <w:sz w:val="18"/>
              </w:rPr>
              <w:t>Extends current preflight and reboot-resume strengths</w:t>
            </w:r>
          </w:p>
        </w:tc>
      </w:tr>
    </w:tbl>
    <w:p>
      <w:pPr>
        <w:spacing w:after="20"/>
      </w:pPr>
    </w:p>
    <w:p>
      <w:pPr>
        <w:keepNext/>
        <w:spacing w:before="140" w:after="60"/>
      </w:pPr>
      <w:r>
        <w:rPr>
          <w:rFonts w:ascii="Arial" w:hAnsi="Arial"/>
          <w:b/>
          <w:color w:val="111111"/>
          <w:sz w:val="21"/>
        </w:rPr>
        <w:t>Bottom line</w:t>
      </w:r>
    </w:p>
    <w:p>
      <w:pPr>
        <w:keepLines w:val="0"/>
        <w:spacing w:after="120" w:line="254" w:lineRule="auto"/>
      </w:pPr>
      <w:r>
        <w:rPr>
          <w:rFonts w:ascii="Arial" w:hAnsi="Arial"/>
          <w:color w:val="111111"/>
          <w:sz w:val="21"/>
        </w:rPr>
        <w:t>Do not compete on the number of switches. Compete on finishing a job safely: understand the machine, choose the smallest change, prepare a way back, continue through restart and prove the result.</w:t>
      </w:r>
    </w:p>
    <w:p>
      <w:pPr>
        <w:keepNext/>
        <w:spacing w:before="180" w:after="140"/>
      </w:pPr>
      <w:r>
        <w:rPr>
          <w:rFonts w:ascii="Arial" w:hAnsi="Arial"/>
          <w:b/>
          <w:color w:val="111111"/>
          <w:sz w:val="29"/>
        </w:rPr>
        <w:t>2.  Current Product Strength</w:t>
      </w:r>
    </w:p>
    <w:p>
      <w:pPr>
        <w:keepLines w:val="0"/>
        <w:spacing w:after="120" w:line="254" w:lineRule="auto"/>
      </w:pPr>
      <w:r>
        <w:rPr>
          <w:rFonts w:ascii="Arial" w:hAnsi="Arial"/>
          <w:color w:val="111111"/>
          <w:sz w:val="21"/>
        </w:rPr>
        <w:t>The desktop app exposes 16 pages across six navigation sections. The shipped portfolio includes health findings, evidence-rich readings, hardware and performance views, security and recovery checks, quarantine cleanup, startup control, driver inventory, application and Office deployment, Windows reinstall preflight, firmware guidance and writes, outcome planning, transaction history, undo, timeline and snapshot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112"/>
        <w:gridCol w:w="2520"/>
      </w:tblGrid>
      <w:tr>
        <w:trPr>
          <w:tblHeader w:val="true"/>
        </w:trPr>
        <w:tc>
          <w:tcPr>
            <w:tcW w:type="dxa" w:w="3120"/>
            <w:shd w:fill="111111"/>
            <w:tcMar>
              <w:top w:w="115" w:type="dxa"/>
              <w:start w:w="110" w:type="dxa"/>
              <w:bottom w:w="115" w:type="dxa"/>
              <w:end w:w="110" w:type="dxa"/>
            </w:tcMar>
            <w:vAlign w:val="center"/>
          </w:tcPr>
          <w:p>
            <w:pPr>
              <w:spacing w:after="0"/>
              <w:jc w:val="center"/>
            </w:pPr>
            <w:r>
              <w:rPr>
                <w:rFonts w:ascii="Arial" w:hAnsi="Arial"/>
                <w:b/>
                <w:color w:val="FFFFFF"/>
                <w:sz w:val="17"/>
              </w:rPr>
              <w:t>Area</w:t>
            </w:r>
          </w:p>
        </w:tc>
        <w:tc>
          <w:tcPr>
            <w:tcW w:type="dxa" w:w="3120"/>
            <w:shd w:fill="111111"/>
            <w:tcMar>
              <w:top w:w="115" w:type="dxa"/>
              <w:start w:w="110" w:type="dxa"/>
              <w:bottom w:w="115" w:type="dxa"/>
              <w:end w:w="110" w:type="dxa"/>
            </w:tcMar>
            <w:vAlign w:val="center"/>
          </w:tcPr>
          <w:p>
            <w:pPr>
              <w:spacing w:after="0"/>
              <w:jc w:val="center"/>
            </w:pPr>
            <w:r>
              <w:rPr>
                <w:rFonts w:ascii="Arial" w:hAnsi="Arial"/>
                <w:b/>
                <w:color w:val="FFFFFF"/>
                <w:sz w:val="17"/>
              </w:rPr>
              <w:t>Implemented capability</w:t>
            </w:r>
          </w:p>
        </w:tc>
        <w:tc>
          <w:tcPr>
            <w:tcW w:type="dxa" w:w="3120"/>
            <w:shd w:fill="111111"/>
            <w:tcMar>
              <w:top w:w="115" w:type="dxa"/>
              <w:start w:w="110" w:type="dxa"/>
              <w:bottom w:w="115" w:type="dxa"/>
              <w:end w:w="110" w:type="dxa"/>
            </w:tcMar>
            <w:vAlign w:val="center"/>
          </w:tcPr>
          <w:p>
            <w:pPr>
              <w:spacing w:after="0"/>
              <w:jc w:val="center"/>
            </w:pPr>
            <w:r>
              <w:rPr>
                <w:rFonts w:ascii="Arial" w:hAnsi="Arial"/>
                <w:b/>
                <w:color w:val="FFFFFF"/>
                <w:sz w:val="17"/>
              </w:rPr>
              <w:t>Assessment</w:t>
            </w:r>
          </w:p>
        </w:tc>
      </w:tr>
      <w:tr>
        <w:tc>
          <w:tcPr>
            <w:tcW w:type="dxa" w:w="1728"/>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Overview</w:t>
            </w:r>
          </w:p>
        </w:tc>
        <w:tc>
          <w:tcPr>
            <w:tcW w:type="dxa" w:w="5112"/>
            <w:shd w:fill="F3F3F3"/>
            <w:tcMar>
              <w:top w:w="100" w:type="dxa"/>
              <w:start w:w="110" w:type="dxa"/>
              <w:bottom w:w="100" w:type="dxa"/>
              <w:end w:w="110" w:type="dxa"/>
            </w:tcMar>
            <w:vAlign w:val="center"/>
          </w:tcPr>
          <w:p>
            <w:pPr>
              <w:spacing w:after="0" w:line="240" w:lineRule="auto"/>
              <w:jc w:val="left"/>
            </w:pPr>
            <w:r>
              <w:rPr>
                <w:rFonts w:ascii="Arial" w:hAnsi="Arial"/>
                <w:color w:val="111111"/>
                <w:sz w:val="17"/>
              </w:rPr>
              <w:t>Health score, findings, evidence and selected fix links</w:t>
            </w:r>
          </w:p>
        </w:tc>
        <w:tc>
          <w:tcPr>
            <w:tcW w:type="dxa" w:w="2520"/>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Strong summary; incomplete routes</w:t>
            </w:r>
          </w:p>
        </w:tc>
      </w:tr>
      <w:tr>
        <w:tc>
          <w:tcPr>
            <w:tcW w:type="dxa" w:w="1728"/>
            <w:tcMar>
              <w:top w:w="100" w:type="dxa"/>
              <w:start w:w="110" w:type="dxa"/>
              <w:bottom w:w="100" w:type="dxa"/>
              <w:end w:w="110" w:type="dxa"/>
            </w:tcMar>
            <w:vAlign w:val="center"/>
          </w:tcPr>
          <w:p>
            <w:pPr>
              <w:spacing w:after="0" w:line="240" w:lineRule="auto"/>
              <w:jc w:val="center"/>
            </w:pPr>
            <w:r>
              <w:rPr>
                <w:rFonts w:ascii="Arial" w:hAnsi="Arial"/>
                <w:color w:val="111111"/>
                <w:sz w:val="17"/>
              </w:rPr>
              <w:t>My PC</w:t>
            </w:r>
          </w:p>
        </w:tc>
        <w:tc>
          <w:tcPr>
            <w:tcW w:type="dxa" w:w="5112"/>
            <w:tcMar>
              <w:top w:w="100" w:type="dxa"/>
              <w:start w:w="110" w:type="dxa"/>
              <w:bottom w:w="100" w:type="dxa"/>
              <w:end w:w="110" w:type="dxa"/>
            </w:tcMar>
            <w:vAlign w:val="center"/>
          </w:tcPr>
          <w:p>
            <w:pPr>
              <w:spacing w:after="0" w:line="240" w:lineRule="auto"/>
              <w:jc w:val="left"/>
            </w:pPr>
            <w:r>
              <w:rPr>
                <w:rFonts w:ascii="Arial" w:hAnsi="Arial"/>
                <w:color w:val="111111"/>
                <w:sz w:val="17"/>
              </w:rPr>
              <w:t>Readings, hardware, live performance, BIOS and firmware</w:t>
            </w:r>
          </w:p>
        </w:tc>
        <w:tc>
          <w:tcPr>
            <w:tcW w:type="dxa" w:w="2520"/>
            <w:tcMar>
              <w:top w:w="100" w:type="dxa"/>
              <w:start w:w="110" w:type="dxa"/>
              <w:bottom w:w="100" w:type="dxa"/>
              <w:end w:w="110" w:type="dxa"/>
            </w:tcMar>
            <w:vAlign w:val="center"/>
          </w:tcPr>
          <w:p>
            <w:pPr>
              <w:spacing w:after="0" w:line="240" w:lineRule="auto"/>
              <w:jc w:val="center"/>
            </w:pPr>
            <w:r>
              <w:rPr>
                <w:rFonts w:ascii="Arial" w:hAnsi="Arial"/>
                <w:color w:val="111111"/>
                <w:sz w:val="17"/>
              </w:rPr>
              <w:t>Broad and evidence-aware</w:t>
            </w:r>
          </w:p>
        </w:tc>
      </w:tr>
      <w:tr>
        <w:tc>
          <w:tcPr>
            <w:tcW w:type="dxa" w:w="1728"/>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Protection</w:t>
            </w:r>
          </w:p>
        </w:tc>
        <w:tc>
          <w:tcPr>
            <w:tcW w:type="dxa" w:w="5112"/>
            <w:shd w:fill="F3F3F3"/>
            <w:tcMar>
              <w:top w:w="100" w:type="dxa"/>
              <w:start w:w="110" w:type="dxa"/>
              <w:bottom w:w="100" w:type="dxa"/>
              <w:end w:w="110" w:type="dxa"/>
            </w:tcMar>
            <w:vAlign w:val="center"/>
          </w:tcPr>
          <w:p>
            <w:pPr>
              <w:spacing w:after="0" w:line="240" w:lineRule="auto"/>
              <w:jc w:val="left"/>
            </w:pPr>
            <w:r>
              <w:rPr>
                <w:rFonts w:ascii="Arial" w:hAnsi="Arial"/>
                <w:color w:val="111111"/>
                <w:sz w:val="17"/>
              </w:rPr>
              <w:t>Security, Windows 11 readiness, WinRE, restore and quarantine</w:t>
            </w:r>
          </w:p>
        </w:tc>
        <w:tc>
          <w:tcPr>
            <w:tcW w:type="dxa" w:w="2520"/>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Good recovery awareness</w:t>
            </w:r>
          </w:p>
        </w:tc>
      </w:tr>
      <w:tr>
        <w:tc>
          <w:tcPr>
            <w:tcW w:type="dxa" w:w="1728"/>
            <w:tcMar>
              <w:top w:w="100" w:type="dxa"/>
              <w:start w:w="110" w:type="dxa"/>
              <w:bottom w:w="100" w:type="dxa"/>
              <w:end w:w="110" w:type="dxa"/>
            </w:tcMar>
            <w:vAlign w:val="center"/>
          </w:tcPr>
          <w:p>
            <w:pPr>
              <w:spacing w:after="0" w:line="240" w:lineRule="auto"/>
              <w:jc w:val="center"/>
            </w:pPr>
            <w:r>
              <w:rPr>
                <w:rFonts w:ascii="Arial" w:hAnsi="Arial"/>
                <w:color w:val="111111"/>
                <w:sz w:val="17"/>
              </w:rPr>
              <w:t>Tune-up</w:t>
            </w:r>
          </w:p>
        </w:tc>
        <w:tc>
          <w:tcPr>
            <w:tcW w:type="dxa" w:w="5112"/>
            <w:tcMar>
              <w:top w:w="100" w:type="dxa"/>
              <w:start w:w="110" w:type="dxa"/>
              <w:bottom w:w="100" w:type="dxa"/>
              <w:end w:w="110" w:type="dxa"/>
            </w:tcMar>
            <w:vAlign w:val="center"/>
          </w:tcPr>
          <w:p>
            <w:pPr>
              <w:spacing w:after="0" w:line="240" w:lineRule="auto"/>
              <w:jc w:val="left"/>
            </w:pPr>
            <w:r>
              <w:rPr>
                <w:rFonts w:ascii="Arial" w:hAnsi="Arial"/>
                <w:color w:val="111111"/>
                <w:sz w:val="17"/>
              </w:rPr>
              <w:t>Safe cleanup, startup control and driver inventory</w:t>
            </w:r>
          </w:p>
        </w:tc>
        <w:tc>
          <w:tcPr>
            <w:tcW w:type="dxa" w:w="2520"/>
            <w:tcMar>
              <w:top w:w="100" w:type="dxa"/>
              <w:start w:w="110" w:type="dxa"/>
              <w:bottom w:w="100" w:type="dxa"/>
              <w:end w:w="110" w:type="dxa"/>
            </w:tcMar>
            <w:vAlign w:val="center"/>
          </w:tcPr>
          <w:p>
            <w:pPr>
              <w:spacing w:after="0" w:line="240" w:lineRule="auto"/>
              <w:jc w:val="center"/>
            </w:pPr>
            <w:r>
              <w:rPr>
                <w:rFonts w:ascii="Arial" w:hAnsi="Arial"/>
                <w:color w:val="111111"/>
                <w:sz w:val="17"/>
              </w:rPr>
              <w:t>Safer than one-click optimizers</w:t>
            </w:r>
          </w:p>
        </w:tc>
      </w:tr>
      <w:tr>
        <w:tc>
          <w:tcPr>
            <w:tcW w:type="dxa" w:w="1728"/>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Apps and Windows</w:t>
            </w:r>
          </w:p>
        </w:tc>
        <w:tc>
          <w:tcPr>
            <w:tcW w:type="dxa" w:w="5112"/>
            <w:shd w:fill="F3F3F3"/>
            <w:tcMar>
              <w:top w:w="100" w:type="dxa"/>
              <w:start w:w="110" w:type="dxa"/>
              <w:bottom w:w="100" w:type="dxa"/>
              <w:end w:w="110" w:type="dxa"/>
            </w:tcMar>
            <w:vAlign w:val="center"/>
          </w:tcPr>
          <w:p>
            <w:pPr>
              <w:spacing w:after="0" w:line="240" w:lineRule="auto"/>
              <w:jc w:val="left"/>
            </w:pPr>
            <w:r>
              <w:rPr>
                <w:rFonts w:ascii="Arial" w:hAnsi="Arial"/>
                <w:color w:val="111111"/>
                <w:sz w:val="17"/>
              </w:rPr>
              <w:t>Batch apps, Office, license, edition and ISO repair install</w:t>
            </w:r>
          </w:p>
        </w:tc>
        <w:tc>
          <w:tcPr>
            <w:tcW w:type="dxa" w:w="2520"/>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High utility; some handoffs</w:t>
            </w:r>
          </w:p>
        </w:tc>
      </w:tr>
      <w:tr>
        <w:tc>
          <w:tcPr>
            <w:tcW w:type="dxa" w:w="1728"/>
            <w:tcMar>
              <w:top w:w="100" w:type="dxa"/>
              <w:start w:w="110" w:type="dxa"/>
              <w:bottom w:w="100" w:type="dxa"/>
              <w:end w:w="110" w:type="dxa"/>
            </w:tcMar>
            <w:vAlign w:val="center"/>
          </w:tcPr>
          <w:p>
            <w:pPr>
              <w:spacing w:after="0" w:line="240" w:lineRule="auto"/>
              <w:jc w:val="center"/>
            </w:pPr>
            <w:r>
              <w:rPr>
                <w:rFonts w:ascii="Arial" w:hAnsi="Arial"/>
                <w:color w:val="111111"/>
                <w:sz w:val="17"/>
              </w:rPr>
              <w:t>Changes</w:t>
            </w:r>
          </w:p>
        </w:tc>
        <w:tc>
          <w:tcPr>
            <w:tcW w:type="dxa" w:w="5112"/>
            <w:tcMar>
              <w:top w:w="100" w:type="dxa"/>
              <w:start w:w="110" w:type="dxa"/>
              <w:bottom w:w="100" w:type="dxa"/>
              <w:end w:w="110" w:type="dxa"/>
            </w:tcMar>
            <w:vAlign w:val="center"/>
          </w:tcPr>
          <w:p>
            <w:pPr>
              <w:spacing w:after="0" w:line="240" w:lineRule="auto"/>
              <w:jc w:val="left"/>
            </w:pPr>
            <w:r>
              <w:rPr>
                <w:rFonts w:ascii="Arial" w:hAnsi="Arial"/>
                <w:color w:val="111111"/>
                <w:sz w:val="17"/>
              </w:rPr>
              <w:t>Plan, apply, restart resume, undo, timeline and compare</w:t>
            </w:r>
          </w:p>
        </w:tc>
        <w:tc>
          <w:tcPr>
            <w:tcW w:type="dxa" w:w="2520"/>
            <w:tcMar>
              <w:top w:w="100" w:type="dxa"/>
              <w:start w:w="110" w:type="dxa"/>
              <w:bottom w:w="100" w:type="dxa"/>
              <w:end w:w="110" w:type="dxa"/>
            </w:tcMar>
            <w:vAlign w:val="center"/>
          </w:tcPr>
          <w:p>
            <w:pPr>
              <w:spacing w:after="0" w:line="240" w:lineRule="auto"/>
              <w:jc w:val="center"/>
            </w:pPr>
            <w:r>
              <w:rPr>
                <w:rFonts w:ascii="Arial" w:hAnsi="Arial"/>
                <w:color w:val="111111"/>
                <w:sz w:val="17"/>
              </w:rPr>
              <w:t>Core differentiator</w:t>
            </w:r>
          </w:p>
        </w:tc>
      </w:tr>
    </w:tbl>
    <w:p>
      <w:pPr>
        <w:spacing w:after="20"/>
      </w:pPr>
    </w:p>
    <w:p>
      <w:pPr>
        <w:keepNext/>
        <w:spacing w:before="140" w:after="60"/>
      </w:pPr>
      <w:r>
        <w:rPr>
          <w:rFonts w:ascii="Arial" w:hAnsi="Arial"/>
          <w:b/>
          <w:color w:val="111111"/>
          <w:sz w:val="21"/>
        </w:rPr>
        <w:t>The moat already in the code</w:t>
      </w:r>
    </w:p>
    <w:p>
      <w:pPr>
        <w:keepNext/>
        <w:spacing w:after="60" w:line="250" w:lineRule="auto"/>
        <w:ind w:left="331" w:hanging="216"/>
      </w:pPr>
      <w:r>
        <w:rPr>
          <w:rFonts w:ascii="Arial" w:hAnsi="Arial"/>
          <w:color w:val="111111"/>
          <w:sz w:val="20"/>
        </w:rPr>
        <w:t>•  Unknown remains distinct from off or failed, and readings carry evidence.</w:t>
      </w:r>
    </w:p>
    <w:p>
      <w:pPr>
        <w:keepNext/>
        <w:spacing w:after="60" w:line="250" w:lineRule="auto"/>
        <w:ind w:left="331" w:hanging="216"/>
      </w:pPr>
      <w:r>
        <w:rPr>
          <w:rFonts w:ascii="Arial" w:hAnsi="Arial"/>
          <w:color w:val="111111"/>
          <w:sz w:val="20"/>
        </w:rPr>
        <w:t>•  Plans are machine-specific, hashed and divided at restart boundaries.</w:t>
      </w:r>
    </w:p>
    <w:p>
      <w:pPr>
        <w:keepNext/>
        <w:spacing w:after="60" w:line="250" w:lineRule="auto"/>
        <w:ind w:left="331" w:hanging="216"/>
      </w:pPr>
      <w:r>
        <w:rPr>
          <w:rFonts w:ascii="Arial" w:hAnsi="Arial"/>
          <w:color w:val="111111"/>
          <w:sz w:val="20"/>
        </w:rPr>
        <w:t>•  Success is verified through an independent read path.</w:t>
      </w:r>
    </w:p>
    <w:p>
      <w:pPr>
        <w:keepNext/>
        <w:spacing w:after="60" w:line="250" w:lineRule="auto"/>
        <w:ind w:left="331" w:hanging="216"/>
      </w:pPr>
      <w:r>
        <w:rPr>
          <w:rFonts w:ascii="Arial" w:hAnsi="Arial"/>
          <w:color w:val="111111"/>
          <w:sz w:val="20"/>
        </w:rPr>
        <w:t>•  Undo is a reverse transaction; cleanup uses quarantine.</w:t>
      </w:r>
    </w:p>
    <w:p>
      <w:pPr>
        <w:keepNext/>
        <w:spacing w:after="60" w:line="250" w:lineRule="auto"/>
        <w:ind w:left="331" w:hanging="216"/>
      </w:pPr>
      <w:r>
        <w:rPr>
          <w:rFonts w:ascii="Arial" w:hAnsi="Arial"/>
          <w:color w:val="111111"/>
          <w:sz w:val="20"/>
        </w:rPr>
        <w:t>•  Firmware actions are gated by support tier, recovery access and confirmation.</w:t>
      </w:r>
    </w:p>
    <w:p>
      <w:pPr>
        <w:keepNext w:val="0"/>
        <w:spacing w:after="60" w:line="250" w:lineRule="auto"/>
        <w:ind w:left="331" w:hanging="216"/>
      </w:pPr>
      <w:r>
        <w:rPr>
          <w:rFonts w:ascii="Arial" w:hAnsi="Arial"/>
          <w:color w:val="111111"/>
          <w:sz w:val="20"/>
        </w:rPr>
        <w:t>•  English and Vietnamese are first-class surfaces.</w:t>
      </w:r>
    </w:p>
    <w:p>
      <w:pPr>
        <w:keepNext/>
        <w:spacing w:before="180" w:after="140"/>
      </w:pPr>
      <w:r>
        <w:rPr>
          <w:rFonts w:ascii="Arial" w:hAnsi="Arial"/>
          <w:b/>
          <w:color w:val="111111"/>
          <w:sz w:val="29"/>
        </w:rPr>
        <w:t>3.  Why It Does Not Yet Feel Effortless</w:t>
      </w:r>
    </w:p>
    <w:p>
      <w:pPr>
        <w:keepNext/>
        <w:spacing w:before="140" w:after="60"/>
      </w:pPr>
      <w:r>
        <w:rPr>
          <w:rFonts w:ascii="Arial" w:hAnsi="Arial"/>
          <w:b/>
          <w:color w:val="111111"/>
          <w:sz w:val="21"/>
        </w:rPr>
        <w:t>Sixteen destinations but only four missions</w:t>
      </w:r>
    </w:p>
    <w:p>
      <w:pPr>
        <w:keepLines w:val="0"/>
        <w:spacing w:after="120" w:line="254" w:lineRule="auto"/>
      </w:pPr>
      <w:r>
        <w:rPr>
          <w:rFonts w:ascii="Arial" w:hAnsi="Arial"/>
          <w:color w:val="111111"/>
          <w:sz w:val="21"/>
        </w:rPr>
        <w:t>The navigation is organized by subsystem, while user problems cross subsystems. Only four outcome plans ship: Docker and WSL 2 readiness, Windows 11 readiness, maximum display refresh and System Restore. A user arriving with “my PC became slow after yesterday's update” must assemble the journey manually.</w:t>
      </w:r>
    </w:p>
    <w:p>
      <w:pPr>
        <w:keepNext/>
        <w:spacing w:before="140" w:after="60"/>
      </w:pPr>
      <w:r>
        <w:rPr>
          <w:rFonts w:ascii="Arial" w:hAnsi="Arial"/>
          <w:b/>
          <w:color w:val="111111"/>
          <w:sz w:val="21"/>
        </w:rPr>
        <w:t>The global search promise is not implemented</w:t>
      </w:r>
    </w:p>
    <w:p>
      <w:pPr>
        <w:keepLines w:val="0"/>
        <w:spacing w:after="120" w:line="254" w:lineRule="auto"/>
      </w:pPr>
      <w:r>
        <w:rPr>
          <w:rFonts w:ascii="Arial" w:hAnsi="Arial"/>
          <w:color w:val="111111"/>
          <w:sz w:val="21"/>
        </w:rPr>
        <w:t>The language catalog already contains “Tìm cài đặt, công cụ, ứng dụng…”, but no production code uses that key. Ctrl F only focuses search inside Apps or BIOS. The app cannot route “máy chậm”, “không có âm thanh” or “cài lại Windows” to a mission.</w:t>
      </w:r>
    </w:p>
    <w:p>
      <w:pPr>
        <w:keepNext/>
        <w:spacing w:before="140" w:after="60"/>
      </w:pPr>
      <w:r>
        <w:rPr>
          <w:rFonts w:ascii="Arial" w:hAnsi="Arial"/>
          <w:b/>
          <w:color w:val="111111"/>
          <w:sz w:val="21"/>
        </w:rPr>
        <w:t>The timeline is evidence without interpretation</w:t>
      </w:r>
    </w:p>
    <w:p>
      <w:pPr>
        <w:keepLines w:val="0"/>
        <w:spacing w:after="120" w:line="254" w:lineRule="auto"/>
      </w:pPr>
      <w:r>
        <w:rPr>
          <w:rFonts w:ascii="Arial" w:hAnsi="Arial"/>
          <w:color w:val="111111"/>
          <w:sz w:val="21"/>
        </w:rPr>
        <w:t>The core contains `TimelineBuilder.Preceding`, which returns changes before an incident, and tests cover it. No production UI calls it. The Timeline page renders a chronological list but does not ask when the symptom began, rank relevant changes or propose a reversible next test.</w:t>
      </w:r>
    </w:p>
    <w:p>
      <w:pPr>
        <w:keepNext/>
        <w:spacing w:before="140" w:after="60"/>
      </w:pPr>
      <w:r>
        <w:rPr>
          <w:rFonts w:ascii="Arial" w:hAnsi="Arial"/>
          <w:b/>
          <w:color w:val="111111"/>
          <w:sz w:val="21"/>
        </w:rPr>
        <w:t>Correct safety decisions can still create dead ends</w:t>
      </w:r>
    </w:p>
    <w:p>
      <w:pPr>
        <w:keepLines w:val="0"/>
        <w:spacing w:after="120" w:line="254" w:lineRule="auto"/>
      </w:pPr>
      <w:r>
        <w:rPr>
          <w:rFonts w:ascii="Arial" w:hAnsi="Arial"/>
          <w:color w:val="111111"/>
          <w:sz w:val="21"/>
        </w:rPr>
        <w:t>The Dashboard hides Fix when a finding has no outcome. This is correct when automation would be unsafe, but no automatic action should still lead to a filtered page, model-specific guide, official Windows route or support handoff.</w:t>
      </w:r>
    </w:p>
    <w:p>
      <w:pPr>
        <w:keepNext/>
        <w:spacing w:before="140" w:after="60"/>
      </w:pPr>
      <w:r>
        <w:rPr>
          <w:rFonts w:ascii="Arial" w:hAnsi="Arial"/>
          <w:b/>
          <w:color w:val="111111"/>
          <w:sz w:val="21"/>
        </w:rPr>
        <w:t>Reinstall ends when Windows Setup starts</w:t>
      </w:r>
    </w:p>
    <w:p>
      <w:pPr>
        <w:keepLines w:val="0"/>
        <w:spacing w:after="120" w:line="254" w:lineRule="auto"/>
      </w:pPr>
      <w:r>
        <w:rPr>
          <w:rFonts w:ascii="Arial" w:hAnsi="Arial"/>
          <w:color w:val="111111"/>
          <w:sz w:val="21"/>
        </w:rPr>
        <w:t>ISO inspection and readiness checks are useful, but the current contract explicitly says PC Orbit cannot report what happens after Setup launches. The experience should begin with the least disruptive recovery option and continue after restart to verify the selected result.</w:t>
      </w:r>
    </w:p>
    <w:p>
      <w:pPr>
        <w:keepNext/>
        <w:spacing w:before="180" w:after="140"/>
      </w:pPr>
      <w:r>
        <w:rPr>
          <w:rFonts w:ascii="Arial" w:hAnsi="Arial"/>
          <w:b/>
          <w:color w:val="111111"/>
          <w:sz w:val="29"/>
        </w:rPr>
        <w:t>4.  Product Investments</w:t>
      </w:r>
    </w:p>
    <w:p>
      <w:pPr>
        <w:keepNext/>
        <w:spacing w:before="140" w:after="60"/>
      </w:pPr>
      <w:r>
        <w:rPr>
          <w:rFonts w:ascii="Arial" w:hAnsi="Arial"/>
          <w:b/>
          <w:color w:val="111111"/>
          <w:sz w:val="21"/>
        </w:rPr>
        <w:t>Priority 0 Mission Center and app-wide intent search</w:t>
      </w:r>
    </w:p>
    <w:p>
      <w:pPr>
        <w:keepLines w:val="0"/>
        <w:spacing w:after="120" w:line="254" w:lineRule="auto"/>
      </w:pPr>
      <w:r>
        <w:rPr>
          <w:rFonts w:ascii="Arial" w:hAnsi="Arial"/>
          <w:color w:val="111111"/>
          <w:sz w:val="21"/>
        </w:rPr>
        <w:t>Add one entry point on Overview: “Bạn muốn làm gì với máy này?” Match Vietnamese and English aliases to outcomes, pages, findings and guided workflows. Results should be deterministic mission cards showing what will be inspected, possible changes, estimated time, restarts and recovery path.</w:t>
      </w:r>
    </w:p>
    <w:p>
      <w:pPr>
        <w:keepNext w:val="0"/>
        <w:spacing w:after="60" w:line="250" w:lineRule="auto"/>
        <w:ind w:left="331" w:hanging="216"/>
      </w:pPr>
      <w:r>
        <w:rPr>
          <w:rFonts w:ascii="Arial" w:hAnsi="Arial"/>
          <w:color w:val="111111"/>
          <w:sz w:val="20"/>
        </w:rPr>
        <w:t>•  Máy chậm, treo hoặc lỗi sau Windows Update</w:t>
      </w:r>
    </w:p>
    <w:p>
      <w:pPr>
        <w:keepNext w:val="0"/>
        <w:spacing w:after="60" w:line="250" w:lineRule="auto"/>
        <w:ind w:left="331" w:hanging="216"/>
      </w:pPr>
      <w:r>
        <w:rPr>
          <w:rFonts w:ascii="Arial" w:hAnsi="Arial"/>
          <w:color w:val="111111"/>
          <w:sz w:val="20"/>
        </w:rPr>
        <w:t>•  Cài lại Windows nhưng giữ dữ liệu</w:t>
      </w:r>
    </w:p>
    <w:p>
      <w:pPr>
        <w:keepNext w:val="0"/>
        <w:spacing w:after="60" w:line="250" w:lineRule="auto"/>
        <w:ind w:left="331" w:hanging="216"/>
      </w:pPr>
      <w:r>
        <w:rPr>
          <w:rFonts w:ascii="Arial" w:hAnsi="Arial"/>
          <w:color w:val="111111"/>
          <w:sz w:val="20"/>
        </w:rPr>
        <w:t>•  Chuẩn bị máy mới</w:t>
      </w:r>
    </w:p>
    <w:p>
      <w:pPr>
        <w:keepNext w:val="0"/>
        <w:spacing w:after="60" w:line="250" w:lineRule="auto"/>
        <w:ind w:left="331" w:hanging="216"/>
      </w:pPr>
      <w:r>
        <w:rPr>
          <w:rFonts w:ascii="Arial" w:hAnsi="Arial"/>
          <w:color w:val="111111"/>
          <w:sz w:val="20"/>
        </w:rPr>
        <w:t>•  Không có âm thanh, mạng hoặc màn hình</w:t>
      </w:r>
    </w:p>
    <w:p>
      <w:pPr>
        <w:keepNext w:val="0"/>
        <w:spacing w:after="60" w:line="250" w:lineRule="auto"/>
        <w:ind w:left="331" w:hanging="216"/>
      </w:pPr>
      <w:r>
        <w:rPr>
          <w:rFonts w:ascii="Arial" w:hAnsi="Arial"/>
          <w:color w:val="111111"/>
          <w:sz w:val="20"/>
        </w:rPr>
        <w:t>•  Giải phóng dung lượng</w:t>
      </w:r>
    </w:p>
    <w:p>
      <w:pPr>
        <w:keepNext w:val="0"/>
        <w:spacing w:after="60" w:line="250" w:lineRule="auto"/>
        <w:ind w:left="331" w:hanging="216"/>
      </w:pPr>
      <w:r>
        <w:rPr>
          <w:rFonts w:ascii="Arial" w:hAnsi="Arial"/>
          <w:color w:val="111111"/>
          <w:sz w:val="20"/>
        </w:rPr>
        <w:t>•  Bật Secure Boot, TPM hoặc virtualization</w:t>
      </w:r>
    </w:p>
    <w:p>
      <w:pPr>
        <w:keepNext/>
        <w:spacing w:before="140" w:after="60"/>
      </w:pPr>
      <w:r>
        <w:rPr>
          <w:rFonts w:ascii="Arial" w:hAnsi="Arial"/>
          <w:b/>
          <w:color w:val="111111"/>
          <w:sz w:val="21"/>
        </w:rPr>
        <w:t>Priority 0 Next route for every finding</w:t>
      </w:r>
    </w:p>
    <w:p>
      <w:pPr>
        <w:keepLines w:val="0"/>
        <w:spacing w:after="120" w:line="254" w:lineRule="auto"/>
      </w:pPr>
      <w:r>
        <w:rPr>
          <w:rFonts w:ascii="Arial" w:hAnsi="Arial"/>
          <w:color w:val="111111"/>
          <w:sz w:val="21"/>
        </w:rPr>
        <w:t>Add `NextRoute` separately from `SuggestedActionId`. A route may open an outcome, a prefiltered page, a model guide, an official settings deep link or a support handoff. Only verified changes receive Apply buttons.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192"/>
      </w:tblGrid>
      <w:tr>
        <w:trPr>
          <w:tblHeader w:val="true"/>
        </w:trPr>
        <w:tc>
          <w:tcPr>
            <w:tcW w:type="dxa" w:w="4680"/>
            <w:shd w:fill="111111"/>
            <w:tcMar>
              <w:top w:w="115" w:type="dxa"/>
              <w:start w:w="110" w:type="dxa"/>
              <w:bottom w:w="115" w:type="dxa"/>
              <w:end w:w="110" w:type="dxa"/>
            </w:tcMar>
            <w:vAlign w:val="center"/>
          </w:tcPr>
          <w:p>
            <w:pPr>
              <w:spacing w:after="0"/>
              <w:jc w:val="center"/>
            </w:pPr>
            <w:r>
              <w:rPr>
                <w:rFonts w:ascii="Arial" w:hAnsi="Arial"/>
                <w:b/>
                <w:color w:val="FFFFFF"/>
                <w:sz w:val="18"/>
              </w:rPr>
              <w:t>Finding</w:t>
            </w:r>
          </w:p>
        </w:tc>
        <w:tc>
          <w:tcPr>
            <w:tcW w:type="dxa" w:w="4680"/>
            <w:shd w:fill="111111"/>
            <w:tcMar>
              <w:top w:w="115" w:type="dxa"/>
              <w:start w:w="110" w:type="dxa"/>
              <w:bottom w:w="115" w:type="dxa"/>
              <w:end w:w="110" w:type="dxa"/>
            </w:tcMar>
            <w:vAlign w:val="center"/>
          </w:tcPr>
          <w:p>
            <w:pPr>
              <w:spacing w:after="0"/>
              <w:jc w:val="center"/>
            </w:pPr>
            <w:r>
              <w:rPr>
                <w:rFonts w:ascii="Arial" w:hAnsi="Arial"/>
                <w:b/>
                <w:color w:val="FFFFFF"/>
                <w:sz w:val="18"/>
              </w:rPr>
              <w:t>Next route</w:t>
            </w:r>
          </w:p>
        </w:tc>
      </w:tr>
      <w:tr>
        <w:tc>
          <w:tcPr>
            <w:tcW w:type="dxa" w:w="3024"/>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Low system drive</w:t>
            </w:r>
          </w:p>
        </w:tc>
        <w:tc>
          <w:tcPr>
            <w:tcW w:type="dxa" w:w="6192"/>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Open Cleanup with safe items preselected and show immediate versus delayed reclaim</w:t>
            </w:r>
          </w:p>
        </w:tc>
      </w:tr>
      <w:tr>
        <w:tc>
          <w:tcPr>
            <w:tcW w:type="dxa" w:w="3024"/>
            <w:tcMar>
              <w:top w:w="100" w:type="dxa"/>
              <w:start w:w="110" w:type="dxa"/>
              <w:bottom w:w="100" w:type="dxa"/>
              <w:end w:w="110" w:type="dxa"/>
            </w:tcMar>
            <w:vAlign w:val="center"/>
          </w:tcPr>
          <w:p>
            <w:pPr>
              <w:spacing w:after="0" w:line="240" w:lineRule="auto"/>
              <w:jc w:val="center"/>
            </w:pPr>
            <w:r>
              <w:rPr>
                <w:rFonts w:ascii="Arial" w:hAnsi="Arial"/>
                <w:color w:val="111111"/>
                <w:sz w:val="18"/>
              </w:rPr>
              <w:t>Memory below rated speed</w:t>
            </w:r>
          </w:p>
        </w:tc>
        <w:tc>
          <w:tcPr>
            <w:tcW w:type="dxa" w:w="6192"/>
            <w:tcMar>
              <w:top w:w="100" w:type="dxa"/>
              <w:start w:w="110" w:type="dxa"/>
              <w:bottom w:w="100" w:type="dxa"/>
              <w:end w:w="110" w:type="dxa"/>
            </w:tcMar>
            <w:vAlign w:val="center"/>
          </w:tcPr>
          <w:p>
            <w:pPr>
              <w:spacing w:after="0" w:line="240" w:lineRule="auto"/>
              <w:jc w:val="center"/>
            </w:pPr>
            <w:r>
              <w:rPr>
                <w:rFonts w:ascii="Arial" w:hAnsi="Arial"/>
                <w:color w:val="111111"/>
                <w:sz w:val="18"/>
              </w:rPr>
              <w:t>Open the exact BIOS guide and explain instability risk</w:t>
            </w:r>
          </w:p>
        </w:tc>
      </w:tr>
      <w:tr>
        <w:tc>
          <w:tcPr>
            <w:tcW w:type="dxa" w:w="3024"/>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WinRE unavailable</w:t>
            </w:r>
          </w:p>
        </w:tc>
        <w:tc>
          <w:tcPr>
            <w:tcW w:type="dxa" w:w="6192"/>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Open Recovery Ladder with backup and BitLocker checks</w:t>
            </w:r>
          </w:p>
        </w:tc>
      </w:tr>
      <w:tr>
        <w:tc>
          <w:tcPr>
            <w:tcW w:type="dxa" w:w="3024"/>
            <w:tcMar>
              <w:top w:w="100" w:type="dxa"/>
              <w:start w:w="110" w:type="dxa"/>
              <w:bottom w:w="100" w:type="dxa"/>
              <w:end w:w="110" w:type="dxa"/>
            </w:tcMar>
            <w:vAlign w:val="center"/>
          </w:tcPr>
          <w:p>
            <w:pPr>
              <w:spacing w:after="0" w:line="240" w:lineRule="auto"/>
              <w:jc w:val="center"/>
            </w:pPr>
            <w:r>
              <w:rPr>
                <w:rFonts w:ascii="Arial" w:hAnsi="Arial"/>
                <w:color w:val="111111"/>
                <w:sz w:val="18"/>
              </w:rPr>
              <w:t>Old firmware</w:t>
            </w:r>
          </w:p>
        </w:tc>
        <w:tc>
          <w:tcPr>
            <w:tcW w:type="dxa" w:w="6192"/>
            <w:tcMar>
              <w:top w:w="100" w:type="dxa"/>
              <w:start w:w="110" w:type="dxa"/>
              <w:bottom w:w="100" w:type="dxa"/>
              <w:end w:w="110" w:type="dxa"/>
            </w:tcMar>
            <w:vAlign w:val="center"/>
          </w:tcPr>
          <w:p>
            <w:pPr>
              <w:spacing w:after="0" w:line="240" w:lineRule="auto"/>
              <w:jc w:val="center"/>
            </w:pPr>
            <w:r>
              <w:rPr>
                <w:rFonts w:ascii="Arial" w:hAnsi="Arial"/>
                <w:color w:val="111111"/>
                <w:sz w:val="18"/>
              </w:rPr>
              <w:t>Open the verified vendor support route for the detected model</w:t>
            </w:r>
          </w:p>
        </w:tc>
      </w:tr>
      <w:tr>
        <w:tc>
          <w:tcPr>
            <w:tcW w:type="dxa" w:w="3024"/>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Driver problem code</w:t>
            </w:r>
          </w:p>
        </w:tc>
        <w:tc>
          <w:tcPr>
            <w:tcW w:type="dxa" w:w="6192"/>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Open Incident Mode scoped to the affected device</w:t>
            </w:r>
          </w:p>
        </w:tc>
      </w:tr>
    </w:tbl>
    <w:p>
      <w:pPr>
        <w:spacing w:after="20"/>
      </w:pPr>
    </w:p>
    <w:p>
      <w:pPr>
        <w:keepNext/>
        <w:spacing w:before="140" w:after="60"/>
      </w:pPr>
      <w:r>
        <w:rPr>
          <w:rFonts w:ascii="Arial" w:hAnsi="Arial"/>
          <w:b/>
          <w:color w:val="111111"/>
          <w:sz w:val="21"/>
        </w:rPr>
        <w:t>Priority 0 Incident Mode</w:t>
      </w:r>
    </w:p>
    <w:p>
      <w:pPr>
        <w:keepLines w:val="0"/>
        <w:spacing w:after="120" w:line="254" w:lineRule="auto"/>
      </w:pPr>
      <w:r>
        <w:rPr>
          <w:rFonts w:ascii="Arial" w:hAnsi="Arial"/>
          <w:color w:val="111111"/>
          <w:sz w:val="21"/>
        </w:rPr>
        <w:t>Ask when the problem started, then combine recent updates, drivers, crashes, WHEA, PC Orbit transactions, capability changes, process load and device problem codes. Show what changed, evidence for and against each hypothesis, and the smallest reversible test. Rescan and compare automatically after each test. Label timing correlation separately from direct evidence.</w:t>
      </w:r>
    </w:p>
    <w:p>
      <w:pPr>
        <w:keepNext/>
        <w:spacing w:before="140" w:after="60"/>
      </w:pPr>
      <w:r>
        <w:rPr>
          <w:rFonts w:ascii="Arial" w:hAnsi="Arial"/>
          <w:b/>
          <w:color w:val="111111"/>
          <w:sz w:val="21"/>
        </w:rPr>
        <w:t>Priority 0 Recovery Ladder</w:t>
      </w:r>
    </w:p>
    <w:p>
      <w:pPr>
        <w:keepLines w:val="0"/>
        <w:spacing w:after="120" w:line="254" w:lineRule="auto"/>
      </w:pPr>
      <w:r>
        <w:rPr>
          <w:rFonts w:ascii="Arial" w:hAnsi="Arial"/>
          <w:color w:val="111111"/>
          <w:sz w:val="21"/>
        </w:rPr>
        <w:t>Choose the least disruptive supported option: targeted troubleshooter, Windows Update reinstall that preserves apps and data, update removal or restore, WinRE repair, Reset or ISO repair install, and clean installation only as the last destructive option. Confirm backup, BitLocker key, power, space and WinRE first; resume and verify after restart.</w:t>
      </w:r>
    </w:p>
    <w:p>
      <w:pPr>
        <w:keepNext/>
        <w:spacing w:before="180" w:after="140"/>
      </w:pPr>
      <w:r>
        <w:rPr>
          <w:rFonts w:ascii="Arial" w:hAnsi="Arial"/>
          <w:b/>
          <w:color w:val="111111"/>
          <w:sz w:val="29"/>
        </w:rPr>
        <w:t>5.  Follow-on Investments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968"/>
        <w:gridCol w:w="2304"/>
      </w:tblGrid>
      <w:tr>
        <w:trPr>
          <w:tblHeader w:val="true"/>
        </w:trPr>
        <w:tc>
          <w:tcPr>
            <w:tcW w:type="dxa" w:w="3120"/>
            <w:shd w:fill="111111"/>
            <w:tcMar>
              <w:top w:w="115" w:type="dxa"/>
              <w:start w:w="110" w:type="dxa"/>
              <w:bottom w:w="115" w:type="dxa"/>
              <w:end w:w="110" w:type="dxa"/>
            </w:tcMar>
            <w:vAlign w:val="center"/>
          </w:tcPr>
          <w:p>
            <w:pPr>
              <w:spacing w:after="0"/>
              <w:jc w:val="center"/>
            </w:pPr>
            <w:r>
              <w:rPr>
                <w:rFonts w:ascii="Arial" w:hAnsi="Arial"/>
                <w:b/>
                <w:color w:val="FFFFFF"/>
                <w:sz w:val="17"/>
              </w:rPr>
              <w:t>Investment</w:t>
            </w:r>
          </w:p>
        </w:tc>
        <w:tc>
          <w:tcPr>
            <w:tcW w:type="dxa" w:w="3120"/>
            <w:shd w:fill="111111"/>
            <w:tcMar>
              <w:top w:w="115" w:type="dxa"/>
              <w:start w:w="110" w:type="dxa"/>
              <w:bottom w:w="115" w:type="dxa"/>
              <w:end w:w="110" w:type="dxa"/>
            </w:tcMar>
            <w:vAlign w:val="center"/>
          </w:tcPr>
          <w:p>
            <w:pPr>
              <w:spacing w:after="0"/>
              <w:jc w:val="center"/>
            </w:pPr>
            <w:r>
              <w:rPr>
                <w:rFonts w:ascii="Arial" w:hAnsi="Arial"/>
                <w:b/>
                <w:color w:val="FFFFFF"/>
                <w:sz w:val="17"/>
              </w:rPr>
              <w:t>Value</w:t>
            </w:r>
          </w:p>
        </w:tc>
        <w:tc>
          <w:tcPr>
            <w:tcW w:type="dxa" w:w="3120"/>
            <w:shd w:fill="111111"/>
            <w:tcMar>
              <w:top w:w="115" w:type="dxa"/>
              <w:start w:w="110" w:type="dxa"/>
              <w:bottom w:w="115" w:type="dxa"/>
              <w:end w:w="110" w:type="dxa"/>
            </w:tcMar>
            <w:vAlign w:val="center"/>
          </w:tcPr>
          <w:p>
            <w:pPr>
              <w:spacing w:after="0"/>
              <w:jc w:val="center"/>
            </w:pPr>
            <w:r>
              <w:rPr>
                <w:rFonts w:ascii="Arial" w:hAnsi="Arial"/>
                <w:b/>
                <w:color w:val="FFFFFF"/>
                <w:sz w:val="17"/>
              </w:rPr>
              <w:t>Guardrail</w:t>
            </w:r>
          </w:p>
        </w:tc>
      </w:tr>
      <w:tr>
        <w:tc>
          <w:tcPr>
            <w:tcW w:type="dxa" w:w="2088"/>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Proactive Watch</w:t>
            </w:r>
          </w:p>
        </w:tc>
        <w:tc>
          <w:tcPr>
            <w:tcW w:type="dxa" w:w="4968"/>
            <w:shd w:fill="F3F3F3"/>
            <w:tcMar>
              <w:top w:w="100" w:type="dxa"/>
              <w:start w:w="110" w:type="dxa"/>
              <w:bottom w:w="100" w:type="dxa"/>
              <w:end w:w="110" w:type="dxa"/>
            </w:tcMar>
            <w:vAlign w:val="center"/>
          </w:tcPr>
          <w:p>
            <w:pPr>
              <w:spacing w:after="0" w:line="240" w:lineRule="auto"/>
              <w:jc w:val="left"/>
            </w:pPr>
            <w:r>
              <w:rPr>
                <w:rFonts w:ascii="Arial" w:hAnsi="Arial"/>
                <w:color w:val="111111"/>
                <w:sz w:val="17"/>
              </w:rPr>
              <w:t>Notify only on meaningful drift, new hardware errors, degraded recovery or device failures</w:t>
            </w:r>
          </w:p>
        </w:tc>
        <w:tc>
          <w:tcPr>
            <w:tcW w:type="dxa" w:w="2304"/>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Opt in, local first, quiet while unchanged</w:t>
            </w:r>
          </w:p>
        </w:tc>
      </w:tr>
      <w:tr>
        <w:tc>
          <w:tcPr>
            <w:tcW w:type="dxa" w:w="2088"/>
            <w:tcMar>
              <w:top w:w="100" w:type="dxa"/>
              <w:start w:w="110" w:type="dxa"/>
              <w:bottom w:w="100" w:type="dxa"/>
              <w:end w:w="110" w:type="dxa"/>
            </w:tcMar>
            <w:vAlign w:val="center"/>
          </w:tcPr>
          <w:p>
            <w:pPr>
              <w:spacing w:after="0" w:line="240" w:lineRule="auto"/>
              <w:jc w:val="center"/>
            </w:pPr>
            <w:r>
              <w:rPr>
                <w:rFonts w:ascii="Arial" w:hAnsi="Arial"/>
                <w:color w:val="111111"/>
                <w:sz w:val="17"/>
              </w:rPr>
              <w:t>PC Blueprint</w:t>
            </w:r>
          </w:p>
        </w:tc>
        <w:tc>
          <w:tcPr>
            <w:tcW w:type="dxa" w:w="4968"/>
            <w:tcMar>
              <w:top w:w="100" w:type="dxa"/>
              <w:start w:w="110" w:type="dxa"/>
              <w:bottom w:w="100" w:type="dxa"/>
              <w:end w:w="110" w:type="dxa"/>
            </w:tcMar>
            <w:vAlign w:val="center"/>
          </w:tcPr>
          <w:p>
            <w:pPr>
              <w:spacing w:after="0" w:line="240" w:lineRule="auto"/>
              <w:jc w:val="left"/>
            </w:pPr>
            <w:r>
              <w:rPr>
                <w:rFonts w:ascii="Arial" w:hAnsi="Arial"/>
                <w:color w:val="111111"/>
                <w:sz w:val="17"/>
              </w:rPr>
              <w:t>Reconcile apps, selected settings, backup readiness and critical drivers on a new PC</w:t>
            </w:r>
          </w:p>
        </w:tc>
        <w:tc>
          <w:tcPr>
            <w:tcW w:type="dxa" w:w="2304"/>
            <w:tcMar>
              <w:top w:w="100" w:type="dxa"/>
              <w:start w:w="110" w:type="dxa"/>
              <w:bottom w:w="100" w:type="dxa"/>
              <w:end w:w="110" w:type="dxa"/>
            </w:tcMar>
            <w:vAlign w:val="center"/>
          </w:tcPr>
          <w:p>
            <w:pPr>
              <w:spacing w:after="0" w:line="240" w:lineRule="auto"/>
              <w:jc w:val="center"/>
            </w:pPr>
            <w:r>
              <w:rPr>
                <w:rFonts w:ascii="Arial" w:hAnsi="Arial"/>
                <w:color w:val="111111"/>
                <w:sz w:val="17"/>
              </w:rPr>
              <w:t>Preview applicability; never copy secrets</w:t>
            </w:r>
          </w:p>
        </w:tc>
      </w:tr>
      <w:tr>
        <w:tc>
          <w:tcPr>
            <w:tcW w:type="dxa" w:w="2088"/>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Support handoff</w:t>
            </w:r>
          </w:p>
        </w:tc>
        <w:tc>
          <w:tcPr>
            <w:tcW w:type="dxa" w:w="4968"/>
            <w:shd w:fill="F3F3F3"/>
            <w:tcMar>
              <w:top w:w="100" w:type="dxa"/>
              <w:start w:w="110" w:type="dxa"/>
              <w:bottom w:w="100" w:type="dxa"/>
              <w:end w:w="110" w:type="dxa"/>
            </w:tcMar>
            <w:vAlign w:val="center"/>
          </w:tcPr>
          <w:p>
            <w:pPr>
              <w:spacing w:after="0" w:line="240" w:lineRule="auto"/>
              <w:jc w:val="left"/>
            </w:pPr>
            <w:r>
              <w:rPr>
                <w:rFonts w:ascii="Arial" w:hAnsi="Arial"/>
                <w:color w:val="111111"/>
                <w:sz w:val="17"/>
              </w:rPr>
              <w:t>Create a redacted mission-scoped bundle and offer trusted Quick Assist</w:t>
            </w:r>
          </w:p>
        </w:tc>
        <w:tc>
          <w:tcPr>
            <w:tcW w:type="dxa" w:w="2304"/>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Preview, redact and warn about remote-control scams</w:t>
            </w:r>
          </w:p>
        </w:tc>
      </w:tr>
      <w:tr>
        <w:tc>
          <w:tcPr>
            <w:tcW w:type="dxa" w:w="2088"/>
            <w:tcMar>
              <w:top w:w="100" w:type="dxa"/>
              <w:start w:w="110" w:type="dxa"/>
              <w:bottom w:w="100" w:type="dxa"/>
              <w:end w:w="110" w:type="dxa"/>
            </w:tcMar>
            <w:vAlign w:val="center"/>
          </w:tcPr>
          <w:p>
            <w:pPr>
              <w:spacing w:after="0" w:line="240" w:lineRule="auto"/>
              <w:jc w:val="center"/>
            </w:pPr>
            <w:r>
              <w:rPr>
                <w:rFonts w:ascii="Arial" w:hAnsi="Arial"/>
                <w:color w:val="111111"/>
                <w:sz w:val="17"/>
              </w:rPr>
              <w:t>Hardware trends</w:t>
            </w:r>
          </w:p>
        </w:tc>
        <w:tc>
          <w:tcPr>
            <w:tcW w:type="dxa" w:w="4968"/>
            <w:tcMar>
              <w:top w:w="100" w:type="dxa"/>
              <w:start w:w="110" w:type="dxa"/>
              <w:bottom w:w="100" w:type="dxa"/>
              <w:end w:w="110" w:type="dxa"/>
            </w:tcMar>
            <w:vAlign w:val="center"/>
          </w:tcPr>
          <w:p>
            <w:pPr>
              <w:spacing w:after="0" w:line="240" w:lineRule="auto"/>
              <w:jc w:val="left"/>
            </w:pPr>
            <w:r>
              <w:rPr>
                <w:rFonts w:ascii="Arial" w:hAnsi="Arial"/>
                <w:color w:val="111111"/>
                <w:sz w:val="17"/>
              </w:rPr>
              <w:t>Track storage wear, battery capacity, sleep drain and WHEA frequency</w:t>
            </w:r>
          </w:p>
        </w:tc>
        <w:tc>
          <w:tcPr>
            <w:tcW w:type="dxa" w:w="2304"/>
            <w:tcMar>
              <w:top w:w="100" w:type="dxa"/>
              <w:start w:w="110" w:type="dxa"/>
              <w:bottom w:w="100" w:type="dxa"/>
              <w:end w:w="110" w:type="dxa"/>
            </w:tcMar>
            <w:vAlign w:val="center"/>
          </w:tcPr>
          <w:p>
            <w:pPr>
              <w:spacing w:after="0" w:line="240" w:lineRule="auto"/>
              <w:jc w:val="center"/>
            </w:pPr>
            <w:r>
              <w:rPr>
                <w:rFonts w:ascii="Arial" w:hAnsi="Arial"/>
                <w:color w:val="111111"/>
                <w:sz w:val="17"/>
              </w:rPr>
              <w:t>Compare against the same machine, not a universal score</w:t>
            </w:r>
          </w:p>
        </w:tc>
      </w:tr>
      <w:tr>
        <w:tc>
          <w:tcPr>
            <w:tcW w:type="dxa" w:w="2088"/>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Driver export and rollback</w:t>
            </w:r>
          </w:p>
        </w:tc>
        <w:tc>
          <w:tcPr>
            <w:tcW w:type="dxa" w:w="4968"/>
            <w:shd w:fill="F3F3F3"/>
            <w:tcMar>
              <w:top w:w="100" w:type="dxa"/>
              <w:start w:w="110" w:type="dxa"/>
              <w:bottom w:w="100" w:type="dxa"/>
              <w:end w:w="110" w:type="dxa"/>
            </w:tcMar>
            <w:vAlign w:val="center"/>
          </w:tcPr>
          <w:p>
            <w:pPr>
              <w:spacing w:after="0" w:line="240" w:lineRule="auto"/>
              <w:jc w:val="left"/>
            </w:pPr>
            <w:r>
              <w:rPr>
                <w:rFonts w:ascii="Arial" w:hAnsi="Arial"/>
                <w:color w:val="111111"/>
                <w:sz w:val="17"/>
              </w:rPr>
              <w:t>Protect reinstall and recover a specific broken subsystem</w:t>
            </w:r>
          </w:p>
        </w:tc>
        <w:tc>
          <w:tcPr>
            <w:tcW w:type="dxa" w:w="2304"/>
            <w:shd w:fill="F3F3F3"/>
            <w:tcMar>
              <w:top w:w="100" w:type="dxa"/>
              <w:start w:w="110" w:type="dxa"/>
              <w:bottom w:w="100" w:type="dxa"/>
              <w:end w:w="110" w:type="dxa"/>
            </w:tcMar>
            <w:vAlign w:val="center"/>
          </w:tcPr>
          <w:p>
            <w:pPr>
              <w:spacing w:after="0" w:line="240" w:lineRule="auto"/>
              <w:jc w:val="center"/>
            </w:pPr>
            <w:r>
              <w:rPr>
                <w:rFonts w:ascii="Arial" w:hAnsi="Arial"/>
                <w:color w:val="111111"/>
                <w:sz w:val="17"/>
              </w:rPr>
              <w:t>No update-all and no aggregate driver sites</w:t>
            </w:r>
          </w:p>
        </w:tc>
      </w:tr>
    </w:tbl>
    <w:p>
      <w:pPr>
        <w:spacing w:after="20"/>
      </w:pPr>
    </w:p>
    <w:p>
      <w:pPr>
        <w:keepNext/>
        <w:spacing w:before="180" w:after="140"/>
      </w:pPr>
      <w:r>
        <w:rPr>
          <w:rFonts w:ascii="Arial" w:hAnsi="Arial"/>
          <w:b/>
          <w:color w:val="111111"/>
          <w:sz w:val="29"/>
        </w:rPr>
        <w:t>6.  Priority and Ninety Day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5"/>
        <w:gridCol w:w="3139"/>
        <w:gridCol w:w="965"/>
        <w:gridCol w:w="1094"/>
        <w:gridCol w:w="1123"/>
        <w:gridCol w:w="835"/>
        <w:gridCol w:w="835"/>
      </w:tblGrid>
      <w:tr>
        <w:trPr>
          <w:tblHeader w:val="true"/>
        </w:trPr>
        <w:tc>
          <w:tcPr>
            <w:tcW w:type="dxa" w:w="1337"/>
            <w:shd w:fill="111111"/>
            <w:tcMar>
              <w:top w:w="115" w:type="dxa"/>
              <w:start w:w="110" w:type="dxa"/>
              <w:bottom w:w="115" w:type="dxa"/>
              <w:end w:w="110" w:type="dxa"/>
            </w:tcMar>
            <w:vAlign w:val="center"/>
          </w:tcPr>
          <w:p>
            <w:pPr>
              <w:spacing w:after="0"/>
              <w:jc w:val="center"/>
            </w:pPr>
            <w:r>
              <w:rPr>
                <w:rFonts w:ascii="Arial" w:hAnsi="Arial"/>
                <w:b/>
                <w:color w:val="FFFFFF"/>
                <w:sz w:val="16"/>
              </w:rPr>
              <w:t>Rank</w:t>
            </w:r>
          </w:p>
        </w:tc>
        <w:tc>
          <w:tcPr>
            <w:tcW w:type="dxa" w:w="1337"/>
            <w:shd w:fill="111111"/>
            <w:tcMar>
              <w:top w:w="115" w:type="dxa"/>
              <w:start w:w="110" w:type="dxa"/>
              <w:bottom w:w="115" w:type="dxa"/>
              <w:end w:w="110" w:type="dxa"/>
            </w:tcMar>
            <w:vAlign w:val="center"/>
          </w:tcPr>
          <w:p>
            <w:pPr>
              <w:spacing w:after="0"/>
              <w:jc w:val="center"/>
            </w:pPr>
            <w:r>
              <w:rPr>
                <w:rFonts w:ascii="Arial" w:hAnsi="Arial"/>
                <w:b/>
                <w:color w:val="FFFFFF"/>
                <w:sz w:val="16"/>
              </w:rPr>
              <w:t>Investment</w:t>
            </w:r>
          </w:p>
        </w:tc>
        <w:tc>
          <w:tcPr>
            <w:tcW w:type="dxa" w:w="1337"/>
            <w:shd w:fill="111111"/>
            <w:tcMar>
              <w:top w:w="115" w:type="dxa"/>
              <w:start w:w="110" w:type="dxa"/>
              <w:bottom w:w="115" w:type="dxa"/>
              <w:end w:w="110" w:type="dxa"/>
            </w:tcMar>
            <w:vAlign w:val="center"/>
          </w:tcPr>
          <w:p>
            <w:pPr>
              <w:spacing w:after="0"/>
              <w:jc w:val="center"/>
            </w:pPr>
            <w:r>
              <w:rPr>
                <w:rFonts w:ascii="Arial" w:hAnsi="Arial"/>
                <w:b/>
                <w:color w:val="FFFFFF"/>
                <w:sz w:val="16"/>
              </w:rPr>
              <w:t>Impact</w:t>
            </w:r>
          </w:p>
        </w:tc>
        <w:tc>
          <w:tcPr>
            <w:tcW w:type="dxa" w:w="1337"/>
            <w:shd w:fill="111111"/>
            <w:tcMar>
              <w:top w:w="115" w:type="dxa"/>
              <w:start w:w="110" w:type="dxa"/>
              <w:bottom w:w="115" w:type="dxa"/>
              <w:end w:w="110" w:type="dxa"/>
            </w:tcMar>
            <w:vAlign w:val="center"/>
          </w:tcPr>
          <w:p>
            <w:pPr>
              <w:spacing w:after="0"/>
              <w:jc w:val="center"/>
            </w:pPr>
            <w:r>
              <w:rPr>
                <w:rFonts w:ascii="Arial" w:hAnsi="Arial"/>
                <w:b/>
                <w:color w:val="FFFFFF"/>
                <w:sz w:val="16"/>
              </w:rPr>
              <w:t>Core reuse</w:t>
            </w:r>
          </w:p>
        </w:tc>
        <w:tc>
          <w:tcPr>
            <w:tcW w:type="dxa" w:w="1337"/>
            <w:shd w:fill="111111"/>
            <w:tcMar>
              <w:top w:w="115" w:type="dxa"/>
              <w:start w:w="110" w:type="dxa"/>
              <w:bottom w:w="115" w:type="dxa"/>
              <w:end w:w="110" w:type="dxa"/>
            </w:tcMar>
            <w:vAlign w:val="center"/>
          </w:tcPr>
          <w:p>
            <w:pPr>
              <w:spacing w:after="0"/>
              <w:jc w:val="center"/>
            </w:pPr>
            <w:r>
              <w:rPr>
                <w:rFonts w:ascii="Arial" w:hAnsi="Arial"/>
                <w:b/>
                <w:color w:val="FFFFFF"/>
                <w:sz w:val="16"/>
              </w:rPr>
              <w:t>Difference</w:t>
            </w:r>
          </w:p>
        </w:tc>
        <w:tc>
          <w:tcPr>
            <w:tcW w:type="dxa" w:w="1337"/>
            <w:shd w:fill="111111"/>
            <w:tcMar>
              <w:top w:w="115" w:type="dxa"/>
              <w:start w:w="110" w:type="dxa"/>
              <w:bottom w:w="115" w:type="dxa"/>
              <w:end w:w="110" w:type="dxa"/>
            </w:tcMar>
            <w:vAlign w:val="center"/>
          </w:tcPr>
          <w:p>
            <w:pPr>
              <w:spacing w:after="0"/>
              <w:jc w:val="center"/>
            </w:pPr>
            <w:r>
              <w:rPr>
                <w:rFonts w:ascii="Arial" w:hAnsi="Arial"/>
                <w:b/>
                <w:color w:val="FFFFFF"/>
                <w:sz w:val="16"/>
              </w:rPr>
              <w:t>Effort</w:t>
            </w:r>
          </w:p>
        </w:tc>
        <w:tc>
          <w:tcPr>
            <w:tcW w:type="dxa" w:w="1337"/>
            <w:shd w:fill="111111"/>
            <w:tcMar>
              <w:top w:w="115" w:type="dxa"/>
              <w:start w:w="110" w:type="dxa"/>
              <w:bottom w:w="115" w:type="dxa"/>
              <w:end w:w="110" w:type="dxa"/>
            </w:tcMar>
            <w:vAlign w:val="center"/>
          </w:tcPr>
          <w:p>
            <w:pPr>
              <w:spacing w:after="0"/>
              <w:jc w:val="center"/>
            </w:pPr>
            <w:r>
              <w:rPr>
                <w:rFonts w:ascii="Arial" w:hAnsi="Arial"/>
                <w:b/>
                <w:color w:val="FFFFFF"/>
                <w:sz w:val="16"/>
              </w:rPr>
              <w:t>Phase</w:t>
            </w:r>
          </w:p>
        </w:tc>
      </w:tr>
      <w:tr>
        <w:tc>
          <w:tcPr>
            <w:tcW w:type="dxa" w:w="605"/>
            <w:shd w:fill="F3F3F3"/>
            <w:tcMar>
              <w:top w:w="100" w:type="dxa"/>
              <w:start w:w="110" w:type="dxa"/>
              <w:bottom w:w="100" w:type="dxa"/>
              <w:end w:w="110" w:type="dxa"/>
            </w:tcMar>
            <w:vAlign w:val="center"/>
          </w:tcPr>
          <w:p>
            <w:pPr>
              <w:spacing w:after="0" w:line="240" w:lineRule="auto"/>
              <w:jc w:val="center"/>
            </w:pPr>
            <w:r>
              <w:rPr>
                <w:rFonts w:ascii="Arial" w:hAnsi="Arial"/>
                <w:color w:val="111111"/>
                <w:sz w:val="16"/>
              </w:rPr>
              <w:t>1</w:t>
            </w:r>
          </w:p>
        </w:tc>
        <w:tc>
          <w:tcPr>
            <w:tcW w:type="dxa" w:w="3139"/>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Mission Center</w:t>
            </w:r>
          </w:p>
        </w:tc>
        <w:tc>
          <w:tcPr>
            <w:tcW w:type="dxa" w:w="965"/>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5</w:t>
            </w:r>
          </w:p>
        </w:tc>
        <w:tc>
          <w:tcPr>
            <w:tcW w:type="dxa" w:w="1094"/>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5</w:t>
            </w:r>
          </w:p>
        </w:tc>
        <w:tc>
          <w:tcPr>
            <w:tcW w:type="dxa" w:w="1123"/>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835"/>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2</w:t>
            </w:r>
          </w:p>
        </w:tc>
        <w:tc>
          <w:tcPr>
            <w:tcW w:type="dxa" w:w="835"/>
            <w:shd w:fill="F3F3F3"/>
            <w:tcMar>
              <w:top w:w="100" w:type="dxa"/>
              <w:start w:w="110" w:type="dxa"/>
              <w:bottom w:w="100" w:type="dxa"/>
              <w:end w:w="110" w:type="dxa"/>
            </w:tcMar>
            <w:vAlign w:val="center"/>
          </w:tcPr>
          <w:p>
            <w:pPr>
              <w:spacing w:after="0" w:line="240" w:lineRule="auto"/>
              <w:jc w:val="center"/>
            </w:pPr>
            <w:r>
              <w:rPr>
                <w:rFonts w:ascii="Arial" w:hAnsi="Arial"/>
                <w:color w:val="111111"/>
                <w:sz w:val="16"/>
              </w:rPr>
              <w:t>P0</w:t>
            </w:r>
          </w:p>
        </w:tc>
      </w:tr>
      <w:tr>
        <w:tc>
          <w:tcPr>
            <w:tcW w:type="dxa" w:w="605"/>
            <w:tcMar>
              <w:top w:w="100" w:type="dxa"/>
              <w:start w:w="110" w:type="dxa"/>
              <w:bottom w:w="100" w:type="dxa"/>
              <w:end w:w="110" w:type="dxa"/>
            </w:tcMar>
            <w:vAlign w:val="center"/>
          </w:tcPr>
          <w:p>
            <w:pPr>
              <w:spacing w:after="0" w:line="240" w:lineRule="auto"/>
              <w:jc w:val="center"/>
            </w:pPr>
            <w:r>
              <w:rPr>
                <w:rFonts w:ascii="Arial" w:hAnsi="Arial"/>
                <w:color w:val="111111"/>
                <w:sz w:val="16"/>
              </w:rPr>
              <w:t>2</w:t>
            </w:r>
          </w:p>
        </w:tc>
        <w:tc>
          <w:tcPr>
            <w:tcW w:type="dxa" w:w="3139"/>
            <w:tcMar>
              <w:top w:w="100" w:type="dxa"/>
              <w:start w:w="110" w:type="dxa"/>
              <w:bottom w:w="100" w:type="dxa"/>
              <w:end w:w="110" w:type="dxa"/>
            </w:tcMar>
            <w:vAlign w:val="center"/>
          </w:tcPr>
          <w:p>
            <w:pPr>
              <w:spacing w:after="0" w:line="240" w:lineRule="auto"/>
              <w:jc w:val="left"/>
            </w:pPr>
            <w:r>
              <w:rPr>
                <w:rFonts w:ascii="Arial" w:hAnsi="Arial"/>
                <w:color w:val="111111"/>
                <w:sz w:val="16"/>
              </w:rPr>
              <w:t>Next route for every finding</w:t>
            </w:r>
          </w:p>
        </w:tc>
        <w:tc>
          <w:tcPr>
            <w:tcW w:type="dxa" w:w="965"/>
            <w:tcMar>
              <w:top w:w="100" w:type="dxa"/>
              <w:start w:w="110" w:type="dxa"/>
              <w:bottom w:w="100" w:type="dxa"/>
              <w:end w:w="110" w:type="dxa"/>
            </w:tcMar>
            <w:vAlign w:val="center"/>
          </w:tcPr>
          <w:p>
            <w:pPr>
              <w:spacing w:after="0" w:line="240" w:lineRule="auto"/>
              <w:jc w:val="left"/>
            </w:pPr>
            <w:r>
              <w:rPr>
                <w:rFonts w:ascii="Arial" w:hAnsi="Arial"/>
                <w:color w:val="111111"/>
                <w:sz w:val="16"/>
              </w:rPr>
              <w:t>5</w:t>
            </w:r>
          </w:p>
        </w:tc>
        <w:tc>
          <w:tcPr>
            <w:tcW w:type="dxa" w:w="1094"/>
            <w:tcMar>
              <w:top w:w="100" w:type="dxa"/>
              <w:start w:w="110" w:type="dxa"/>
              <w:bottom w:w="100" w:type="dxa"/>
              <w:end w:w="110" w:type="dxa"/>
            </w:tcMar>
            <w:vAlign w:val="center"/>
          </w:tcPr>
          <w:p>
            <w:pPr>
              <w:spacing w:after="0" w:line="240" w:lineRule="auto"/>
              <w:jc w:val="left"/>
            </w:pPr>
            <w:r>
              <w:rPr>
                <w:rFonts w:ascii="Arial" w:hAnsi="Arial"/>
                <w:color w:val="111111"/>
                <w:sz w:val="16"/>
              </w:rPr>
              <w:t>5</w:t>
            </w:r>
          </w:p>
        </w:tc>
        <w:tc>
          <w:tcPr>
            <w:tcW w:type="dxa" w:w="112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835"/>
            <w:tcMar>
              <w:top w:w="100" w:type="dxa"/>
              <w:start w:w="110" w:type="dxa"/>
              <w:bottom w:w="100" w:type="dxa"/>
              <w:end w:w="110" w:type="dxa"/>
            </w:tcMar>
            <w:vAlign w:val="center"/>
          </w:tcPr>
          <w:p>
            <w:pPr>
              <w:spacing w:after="0" w:line="240" w:lineRule="auto"/>
              <w:jc w:val="left"/>
            </w:pPr>
            <w:r>
              <w:rPr>
                <w:rFonts w:ascii="Arial" w:hAnsi="Arial"/>
                <w:color w:val="111111"/>
                <w:sz w:val="16"/>
              </w:rPr>
              <w:t>2</w:t>
            </w:r>
          </w:p>
        </w:tc>
        <w:tc>
          <w:tcPr>
            <w:tcW w:type="dxa" w:w="835"/>
            <w:tcMar>
              <w:top w:w="100" w:type="dxa"/>
              <w:start w:w="110" w:type="dxa"/>
              <w:bottom w:w="100" w:type="dxa"/>
              <w:end w:w="110" w:type="dxa"/>
            </w:tcMar>
            <w:vAlign w:val="center"/>
          </w:tcPr>
          <w:p>
            <w:pPr>
              <w:spacing w:after="0" w:line="240" w:lineRule="auto"/>
              <w:jc w:val="center"/>
            </w:pPr>
            <w:r>
              <w:rPr>
                <w:rFonts w:ascii="Arial" w:hAnsi="Arial"/>
                <w:color w:val="111111"/>
                <w:sz w:val="16"/>
              </w:rPr>
              <w:t>P0</w:t>
            </w:r>
          </w:p>
        </w:tc>
      </w:tr>
      <w:tr>
        <w:tc>
          <w:tcPr>
            <w:tcW w:type="dxa" w:w="605"/>
            <w:shd w:fill="F3F3F3"/>
            <w:tcMar>
              <w:top w:w="100" w:type="dxa"/>
              <w:start w:w="110" w:type="dxa"/>
              <w:bottom w:w="100" w:type="dxa"/>
              <w:end w:w="110" w:type="dxa"/>
            </w:tcMar>
            <w:vAlign w:val="center"/>
          </w:tcPr>
          <w:p>
            <w:pPr>
              <w:spacing w:after="0" w:line="240" w:lineRule="auto"/>
              <w:jc w:val="center"/>
            </w:pPr>
            <w:r>
              <w:rPr>
                <w:rFonts w:ascii="Arial" w:hAnsi="Arial"/>
                <w:color w:val="111111"/>
                <w:sz w:val="16"/>
              </w:rPr>
              <w:t>3</w:t>
            </w:r>
          </w:p>
        </w:tc>
        <w:tc>
          <w:tcPr>
            <w:tcW w:type="dxa" w:w="3139"/>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Incident Mode</w:t>
            </w:r>
          </w:p>
        </w:tc>
        <w:tc>
          <w:tcPr>
            <w:tcW w:type="dxa" w:w="965"/>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5</w:t>
            </w:r>
          </w:p>
        </w:tc>
        <w:tc>
          <w:tcPr>
            <w:tcW w:type="dxa" w:w="1094"/>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5</w:t>
            </w:r>
          </w:p>
        </w:tc>
        <w:tc>
          <w:tcPr>
            <w:tcW w:type="dxa" w:w="1123"/>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5</w:t>
            </w:r>
          </w:p>
        </w:tc>
        <w:tc>
          <w:tcPr>
            <w:tcW w:type="dxa" w:w="835"/>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3</w:t>
            </w:r>
          </w:p>
        </w:tc>
        <w:tc>
          <w:tcPr>
            <w:tcW w:type="dxa" w:w="835"/>
            <w:shd w:fill="F3F3F3"/>
            <w:tcMar>
              <w:top w:w="100" w:type="dxa"/>
              <w:start w:w="110" w:type="dxa"/>
              <w:bottom w:w="100" w:type="dxa"/>
              <w:end w:w="110" w:type="dxa"/>
            </w:tcMar>
            <w:vAlign w:val="center"/>
          </w:tcPr>
          <w:p>
            <w:pPr>
              <w:spacing w:after="0" w:line="240" w:lineRule="auto"/>
              <w:jc w:val="center"/>
            </w:pPr>
            <w:r>
              <w:rPr>
                <w:rFonts w:ascii="Arial" w:hAnsi="Arial"/>
                <w:color w:val="111111"/>
                <w:sz w:val="16"/>
              </w:rPr>
              <w:t>P0</w:t>
            </w:r>
          </w:p>
        </w:tc>
      </w:tr>
      <w:tr>
        <w:tc>
          <w:tcPr>
            <w:tcW w:type="dxa" w:w="605"/>
            <w:tcMar>
              <w:top w:w="100" w:type="dxa"/>
              <w:start w:w="110" w:type="dxa"/>
              <w:bottom w:w="100" w:type="dxa"/>
              <w:end w:w="110" w:type="dxa"/>
            </w:tcMar>
            <w:vAlign w:val="center"/>
          </w:tcPr>
          <w:p>
            <w:pPr>
              <w:spacing w:after="0" w:line="240" w:lineRule="auto"/>
              <w:jc w:val="center"/>
            </w:pPr>
            <w:r>
              <w:rPr>
                <w:rFonts w:ascii="Arial" w:hAnsi="Arial"/>
                <w:color w:val="111111"/>
                <w:sz w:val="16"/>
              </w:rPr>
              <w:t>4</w:t>
            </w:r>
          </w:p>
        </w:tc>
        <w:tc>
          <w:tcPr>
            <w:tcW w:type="dxa" w:w="3139"/>
            <w:tcMar>
              <w:top w:w="100" w:type="dxa"/>
              <w:start w:w="110" w:type="dxa"/>
              <w:bottom w:w="100" w:type="dxa"/>
              <w:end w:w="110" w:type="dxa"/>
            </w:tcMar>
            <w:vAlign w:val="center"/>
          </w:tcPr>
          <w:p>
            <w:pPr>
              <w:spacing w:after="0" w:line="240" w:lineRule="auto"/>
              <w:jc w:val="left"/>
            </w:pPr>
            <w:r>
              <w:rPr>
                <w:rFonts w:ascii="Arial" w:hAnsi="Arial"/>
                <w:color w:val="111111"/>
                <w:sz w:val="16"/>
              </w:rPr>
              <w:t>Recovery Ladder</w:t>
            </w:r>
          </w:p>
        </w:tc>
        <w:tc>
          <w:tcPr>
            <w:tcW w:type="dxa" w:w="965"/>
            <w:tcMar>
              <w:top w:w="100" w:type="dxa"/>
              <w:start w:w="110" w:type="dxa"/>
              <w:bottom w:w="100" w:type="dxa"/>
              <w:end w:w="110" w:type="dxa"/>
            </w:tcMar>
            <w:vAlign w:val="center"/>
          </w:tcPr>
          <w:p>
            <w:pPr>
              <w:spacing w:after="0" w:line="240" w:lineRule="auto"/>
              <w:jc w:val="left"/>
            </w:pPr>
            <w:r>
              <w:rPr>
                <w:rFonts w:ascii="Arial" w:hAnsi="Arial"/>
                <w:color w:val="111111"/>
                <w:sz w:val="16"/>
              </w:rPr>
              <w:t>5</w:t>
            </w:r>
          </w:p>
        </w:tc>
        <w:tc>
          <w:tcPr>
            <w:tcW w:type="dxa" w:w="1094"/>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1123"/>
            <w:tcMar>
              <w:top w:w="100" w:type="dxa"/>
              <w:start w:w="110" w:type="dxa"/>
              <w:bottom w:w="100" w:type="dxa"/>
              <w:end w:w="110" w:type="dxa"/>
            </w:tcMar>
            <w:vAlign w:val="center"/>
          </w:tcPr>
          <w:p>
            <w:pPr>
              <w:spacing w:after="0" w:line="240" w:lineRule="auto"/>
              <w:jc w:val="left"/>
            </w:pPr>
            <w:r>
              <w:rPr>
                <w:rFonts w:ascii="Arial" w:hAnsi="Arial"/>
                <w:color w:val="111111"/>
                <w:sz w:val="16"/>
              </w:rPr>
              <w:t>5</w:t>
            </w:r>
          </w:p>
        </w:tc>
        <w:tc>
          <w:tcPr>
            <w:tcW w:type="dxa" w:w="835"/>
            <w:tcMar>
              <w:top w:w="100" w:type="dxa"/>
              <w:start w:w="110" w:type="dxa"/>
              <w:bottom w:w="100" w:type="dxa"/>
              <w:end w:w="110" w:type="dxa"/>
            </w:tcMar>
            <w:vAlign w:val="center"/>
          </w:tcPr>
          <w:p>
            <w:pPr>
              <w:spacing w:after="0" w:line="240" w:lineRule="auto"/>
              <w:jc w:val="left"/>
            </w:pPr>
            <w:r>
              <w:rPr>
                <w:rFonts w:ascii="Arial" w:hAnsi="Arial"/>
                <w:color w:val="111111"/>
                <w:sz w:val="16"/>
              </w:rPr>
              <w:t>3</w:t>
            </w:r>
          </w:p>
        </w:tc>
        <w:tc>
          <w:tcPr>
            <w:tcW w:type="dxa" w:w="835"/>
            <w:tcMar>
              <w:top w:w="100" w:type="dxa"/>
              <w:start w:w="110" w:type="dxa"/>
              <w:bottom w:w="100" w:type="dxa"/>
              <w:end w:w="110" w:type="dxa"/>
            </w:tcMar>
            <w:vAlign w:val="center"/>
          </w:tcPr>
          <w:p>
            <w:pPr>
              <w:spacing w:after="0" w:line="240" w:lineRule="auto"/>
              <w:jc w:val="center"/>
            </w:pPr>
            <w:r>
              <w:rPr>
                <w:rFonts w:ascii="Arial" w:hAnsi="Arial"/>
                <w:color w:val="111111"/>
                <w:sz w:val="16"/>
              </w:rPr>
              <w:t>P0</w:t>
            </w:r>
          </w:p>
        </w:tc>
      </w:tr>
      <w:tr>
        <w:tc>
          <w:tcPr>
            <w:tcW w:type="dxa" w:w="605"/>
            <w:shd w:fill="F3F3F3"/>
            <w:tcMar>
              <w:top w:w="100" w:type="dxa"/>
              <w:start w:w="110" w:type="dxa"/>
              <w:bottom w:w="100" w:type="dxa"/>
              <w:end w:w="110" w:type="dxa"/>
            </w:tcMar>
            <w:vAlign w:val="center"/>
          </w:tcPr>
          <w:p>
            <w:pPr>
              <w:spacing w:after="0" w:line="240" w:lineRule="auto"/>
              <w:jc w:val="center"/>
            </w:pPr>
            <w:r>
              <w:rPr>
                <w:rFonts w:ascii="Arial" w:hAnsi="Arial"/>
                <w:color w:val="111111"/>
                <w:sz w:val="16"/>
              </w:rPr>
              <w:t>5</w:t>
            </w:r>
          </w:p>
        </w:tc>
        <w:tc>
          <w:tcPr>
            <w:tcW w:type="dxa" w:w="3139"/>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Proactive Watch</w:t>
            </w:r>
          </w:p>
        </w:tc>
        <w:tc>
          <w:tcPr>
            <w:tcW w:type="dxa" w:w="965"/>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1094"/>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1123"/>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835"/>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3</w:t>
            </w:r>
          </w:p>
        </w:tc>
        <w:tc>
          <w:tcPr>
            <w:tcW w:type="dxa" w:w="835"/>
            <w:shd w:fill="F3F3F3"/>
            <w:tcMar>
              <w:top w:w="100" w:type="dxa"/>
              <w:start w:w="110" w:type="dxa"/>
              <w:bottom w:w="100" w:type="dxa"/>
              <w:end w:w="110" w:type="dxa"/>
            </w:tcMar>
            <w:vAlign w:val="center"/>
          </w:tcPr>
          <w:p>
            <w:pPr>
              <w:spacing w:after="0" w:line="240" w:lineRule="auto"/>
              <w:jc w:val="center"/>
            </w:pPr>
            <w:r>
              <w:rPr>
                <w:rFonts w:ascii="Arial" w:hAnsi="Arial"/>
                <w:color w:val="111111"/>
                <w:sz w:val="16"/>
              </w:rPr>
              <w:t>P1</w:t>
            </w:r>
          </w:p>
        </w:tc>
      </w:tr>
      <w:tr>
        <w:tc>
          <w:tcPr>
            <w:tcW w:type="dxa" w:w="605"/>
            <w:tcMar>
              <w:top w:w="100" w:type="dxa"/>
              <w:start w:w="110" w:type="dxa"/>
              <w:bottom w:w="100" w:type="dxa"/>
              <w:end w:w="110" w:type="dxa"/>
            </w:tcMar>
            <w:vAlign w:val="center"/>
          </w:tcPr>
          <w:p>
            <w:pPr>
              <w:spacing w:after="0" w:line="240" w:lineRule="auto"/>
              <w:jc w:val="center"/>
            </w:pPr>
            <w:r>
              <w:rPr>
                <w:rFonts w:ascii="Arial" w:hAnsi="Arial"/>
                <w:color w:val="111111"/>
                <w:sz w:val="16"/>
              </w:rPr>
              <w:t>6</w:t>
            </w:r>
          </w:p>
        </w:tc>
        <w:tc>
          <w:tcPr>
            <w:tcW w:type="dxa" w:w="3139"/>
            <w:tcMar>
              <w:top w:w="100" w:type="dxa"/>
              <w:start w:w="110" w:type="dxa"/>
              <w:bottom w:w="100" w:type="dxa"/>
              <w:end w:w="110" w:type="dxa"/>
            </w:tcMar>
            <w:vAlign w:val="center"/>
          </w:tcPr>
          <w:p>
            <w:pPr>
              <w:spacing w:after="0" w:line="240" w:lineRule="auto"/>
              <w:jc w:val="left"/>
            </w:pPr>
            <w:r>
              <w:rPr>
                <w:rFonts w:ascii="Arial" w:hAnsi="Arial"/>
                <w:color w:val="111111"/>
                <w:sz w:val="16"/>
              </w:rPr>
              <w:t>PC Blueprint</w:t>
            </w:r>
          </w:p>
        </w:tc>
        <w:tc>
          <w:tcPr>
            <w:tcW w:type="dxa" w:w="965"/>
            <w:tcMar>
              <w:top w:w="100" w:type="dxa"/>
              <w:start w:w="110" w:type="dxa"/>
              <w:bottom w:w="100" w:type="dxa"/>
              <w:end w:w="110" w:type="dxa"/>
            </w:tcMar>
            <w:vAlign w:val="center"/>
          </w:tcPr>
          <w:p>
            <w:pPr>
              <w:spacing w:after="0" w:line="240" w:lineRule="auto"/>
              <w:jc w:val="left"/>
            </w:pPr>
            <w:r>
              <w:rPr>
                <w:rFonts w:ascii="Arial" w:hAnsi="Arial"/>
                <w:color w:val="111111"/>
                <w:sz w:val="16"/>
              </w:rPr>
              <w:t>5</w:t>
            </w:r>
          </w:p>
        </w:tc>
        <w:tc>
          <w:tcPr>
            <w:tcW w:type="dxa" w:w="1094"/>
            <w:tcMar>
              <w:top w:w="100" w:type="dxa"/>
              <w:start w:w="110" w:type="dxa"/>
              <w:bottom w:w="100" w:type="dxa"/>
              <w:end w:w="110" w:type="dxa"/>
            </w:tcMar>
            <w:vAlign w:val="center"/>
          </w:tcPr>
          <w:p>
            <w:pPr>
              <w:spacing w:after="0" w:line="240" w:lineRule="auto"/>
              <w:jc w:val="left"/>
            </w:pPr>
            <w:r>
              <w:rPr>
                <w:rFonts w:ascii="Arial" w:hAnsi="Arial"/>
                <w:color w:val="111111"/>
                <w:sz w:val="16"/>
              </w:rPr>
              <w:t>3</w:t>
            </w:r>
          </w:p>
        </w:tc>
        <w:tc>
          <w:tcPr>
            <w:tcW w:type="dxa" w:w="112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835"/>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835"/>
            <w:tcMar>
              <w:top w:w="100" w:type="dxa"/>
              <w:start w:w="110" w:type="dxa"/>
              <w:bottom w:w="100" w:type="dxa"/>
              <w:end w:w="110" w:type="dxa"/>
            </w:tcMar>
            <w:vAlign w:val="center"/>
          </w:tcPr>
          <w:p>
            <w:pPr>
              <w:spacing w:after="0" w:line="240" w:lineRule="auto"/>
              <w:jc w:val="center"/>
            </w:pPr>
            <w:r>
              <w:rPr>
                <w:rFonts w:ascii="Arial" w:hAnsi="Arial"/>
                <w:color w:val="111111"/>
                <w:sz w:val="16"/>
              </w:rPr>
              <w:t>P1</w:t>
            </w:r>
          </w:p>
        </w:tc>
      </w:tr>
      <w:tr>
        <w:tc>
          <w:tcPr>
            <w:tcW w:type="dxa" w:w="605"/>
            <w:shd w:fill="F3F3F3"/>
            <w:tcMar>
              <w:top w:w="100" w:type="dxa"/>
              <w:start w:w="110" w:type="dxa"/>
              <w:bottom w:w="100" w:type="dxa"/>
              <w:end w:w="110" w:type="dxa"/>
            </w:tcMar>
            <w:vAlign w:val="center"/>
          </w:tcPr>
          <w:p>
            <w:pPr>
              <w:spacing w:after="0" w:line="240" w:lineRule="auto"/>
              <w:jc w:val="center"/>
            </w:pPr>
            <w:r>
              <w:rPr>
                <w:rFonts w:ascii="Arial" w:hAnsi="Arial"/>
                <w:color w:val="111111"/>
                <w:sz w:val="16"/>
              </w:rPr>
              <w:t>7</w:t>
            </w:r>
          </w:p>
        </w:tc>
        <w:tc>
          <w:tcPr>
            <w:tcW w:type="dxa" w:w="3139"/>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Support handoff</w:t>
            </w:r>
          </w:p>
        </w:tc>
        <w:tc>
          <w:tcPr>
            <w:tcW w:type="dxa" w:w="965"/>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1094"/>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1123"/>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835"/>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3</w:t>
            </w:r>
          </w:p>
        </w:tc>
        <w:tc>
          <w:tcPr>
            <w:tcW w:type="dxa" w:w="835"/>
            <w:shd w:fill="F3F3F3"/>
            <w:tcMar>
              <w:top w:w="100" w:type="dxa"/>
              <w:start w:w="110" w:type="dxa"/>
              <w:bottom w:w="100" w:type="dxa"/>
              <w:end w:w="110" w:type="dxa"/>
            </w:tcMar>
            <w:vAlign w:val="center"/>
          </w:tcPr>
          <w:p>
            <w:pPr>
              <w:spacing w:after="0" w:line="240" w:lineRule="auto"/>
              <w:jc w:val="center"/>
            </w:pPr>
            <w:r>
              <w:rPr>
                <w:rFonts w:ascii="Arial" w:hAnsi="Arial"/>
                <w:color w:val="111111"/>
                <w:sz w:val="16"/>
              </w:rPr>
              <w:t>P1</w:t>
            </w:r>
          </w:p>
        </w:tc>
      </w:tr>
      <w:tr>
        <w:tc>
          <w:tcPr>
            <w:tcW w:type="dxa" w:w="605"/>
            <w:tcMar>
              <w:top w:w="100" w:type="dxa"/>
              <w:start w:w="110" w:type="dxa"/>
              <w:bottom w:w="100" w:type="dxa"/>
              <w:end w:w="110" w:type="dxa"/>
            </w:tcMar>
            <w:vAlign w:val="center"/>
          </w:tcPr>
          <w:p>
            <w:pPr>
              <w:spacing w:after="0" w:line="240" w:lineRule="auto"/>
              <w:jc w:val="center"/>
            </w:pPr>
            <w:r>
              <w:rPr>
                <w:rFonts w:ascii="Arial" w:hAnsi="Arial"/>
                <w:color w:val="111111"/>
                <w:sz w:val="16"/>
              </w:rPr>
              <w:t>8</w:t>
            </w:r>
          </w:p>
        </w:tc>
        <w:tc>
          <w:tcPr>
            <w:tcW w:type="dxa" w:w="3139"/>
            <w:tcMar>
              <w:top w:w="100" w:type="dxa"/>
              <w:start w:w="110" w:type="dxa"/>
              <w:bottom w:w="100" w:type="dxa"/>
              <w:end w:w="110" w:type="dxa"/>
            </w:tcMar>
            <w:vAlign w:val="center"/>
          </w:tcPr>
          <w:p>
            <w:pPr>
              <w:spacing w:after="0" w:line="240" w:lineRule="auto"/>
              <w:jc w:val="left"/>
            </w:pPr>
            <w:r>
              <w:rPr>
                <w:rFonts w:ascii="Arial" w:hAnsi="Arial"/>
                <w:color w:val="111111"/>
                <w:sz w:val="16"/>
              </w:rPr>
              <w:t>Hardware trends</w:t>
            </w:r>
          </w:p>
        </w:tc>
        <w:tc>
          <w:tcPr>
            <w:tcW w:type="dxa" w:w="965"/>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1094"/>
            <w:tcMar>
              <w:top w:w="100" w:type="dxa"/>
              <w:start w:w="110" w:type="dxa"/>
              <w:bottom w:w="100" w:type="dxa"/>
              <w:end w:w="110" w:type="dxa"/>
            </w:tcMar>
            <w:vAlign w:val="center"/>
          </w:tcPr>
          <w:p>
            <w:pPr>
              <w:spacing w:after="0" w:line="240" w:lineRule="auto"/>
              <w:jc w:val="left"/>
            </w:pPr>
            <w:r>
              <w:rPr>
                <w:rFonts w:ascii="Arial" w:hAnsi="Arial"/>
                <w:color w:val="111111"/>
                <w:sz w:val="16"/>
              </w:rPr>
              <w:t>3</w:t>
            </w:r>
          </w:p>
        </w:tc>
        <w:tc>
          <w:tcPr>
            <w:tcW w:type="dxa" w:w="112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835"/>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835"/>
            <w:tcMar>
              <w:top w:w="100" w:type="dxa"/>
              <w:start w:w="110" w:type="dxa"/>
              <w:bottom w:w="100" w:type="dxa"/>
              <w:end w:w="110" w:type="dxa"/>
            </w:tcMar>
            <w:vAlign w:val="center"/>
          </w:tcPr>
          <w:p>
            <w:pPr>
              <w:spacing w:after="0" w:line="240" w:lineRule="auto"/>
              <w:jc w:val="center"/>
            </w:pPr>
            <w:r>
              <w:rPr>
                <w:rFonts w:ascii="Arial" w:hAnsi="Arial"/>
                <w:color w:val="111111"/>
                <w:sz w:val="16"/>
              </w:rPr>
              <w:t>P2</w:t>
            </w:r>
          </w:p>
        </w:tc>
      </w:tr>
      <w:tr>
        <w:tc>
          <w:tcPr>
            <w:tcW w:type="dxa" w:w="605"/>
            <w:shd w:fill="F3F3F3"/>
            <w:tcMar>
              <w:top w:w="100" w:type="dxa"/>
              <w:start w:w="110" w:type="dxa"/>
              <w:bottom w:w="100" w:type="dxa"/>
              <w:end w:w="110" w:type="dxa"/>
            </w:tcMar>
            <w:vAlign w:val="center"/>
          </w:tcPr>
          <w:p>
            <w:pPr>
              <w:spacing w:after="0" w:line="240" w:lineRule="auto"/>
              <w:jc w:val="center"/>
            </w:pPr>
            <w:r>
              <w:rPr>
                <w:rFonts w:ascii="Arial" w:hAnsi="Arial"/>
                <w:color w:val="111111"/>
                <w:sz w:val="16"/>
              </w:rPr>
              <w:t>9</w:t>
            </w:r>
          </w:p>
        </w:tc>
        <w:tc>
          <w:tcPr>
            <w:tcW w:type="dxa" w:w="3139"/>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Driver rollback</w:t>
            </w:r>
          </w:p>
        </w:tc>
        <w:tc>
          <w:tcPr>
            <w:tcW w:type="dxa" w:w="965"/>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1094"/>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3</w:t>
            </w:r>
          </w:p>
        </w:tc>
        <w:tc>
          <w:tcPr>
            <w:tcW w:type="dxa" w:w="1123"/>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3</w:t>
            </w:r>
          </w:p>
        </w:tc>
        <w:tc>
          <w:tcPr>
            <w:tcW w:type="dxa" w:w="835"/>
            <w:shd w:fill="F3F3F3"/>
            <w:tcMar>
              <w:top w:w="100" w:type="dxa"/>
              <w:start w:w="110" w:type="dxa"/>
              <w:bottom w:w="100" w:type="dxa"/>
              <w:end w:w="110" w:type="dxa"/>
            </w:tcMar>
            <w:vAlign w:val="center"/>
          </w:tcPr>
          <w:p>
            <w:pPr>
              <w:spacing w:after="0" w:line="240" w:lineRule="auto"/>
              <w:jc w:val="left"/>
            </w:pPr>
            <w:r>
              <w:rPr>
                <w:rFonts w:ascii="Arial" w:hAnsi="Arial"/>
                <w:color w:val="111111"/>
                <w:sz w:val="16"/>
              </w:rPr>
              <w:t>4</w:t>
            </w:r>
          </w:p>
        </w:tc>
        <w:tc>
          <w:tcPr>
            <w:tcW w:type="dxa" w:w="835"/>
            <w:shd w:fill="F3F3F3"/>
            <w:tcMar>
              <w:top w:w="100" w:type="dxa"/>
              <w:start w:w="110" w:type="dxa"/>
              <w:bottom w:w="100" w:type="dxa"/>
              <w:end w:w="110" w:type="dxa"/>
            </w:tcMar>
            <w:vAlign w:val="center"/>
          </w:tcPr>
          <w:p>
            <w:pPr>
              <w:spacing w:after="0" w:line="240" w:lineRule="auto"/>
              <w:jc w:val="center"/>
            </w:pPr>
            <w:r>
              <w:rPr>
                <w:rFonts w:ascii="Arial" w:hAnsi="Arial"/>
                <w:color w:val="111111"/>
                <w:sz w:val="16"/>
              </w:rPr>
              <w:t>P2</w:t>
            </w:r>
          </w:p>
        </w:tc>
      </w:tr>
    </w:tbl>
    <w:p>
      <w:pPr>
        <w:spacing w:after="20"/>
      </w:pPr>
    </w:p>
    <w:p>
      <w:pPr>
        <w:keepLines w:val="0"/>
        <w:spacing w:after="140" w:line="254" w:lineRule="auto"/>
      </w:pPr>
      <w:r>
        <w:rPr>
          <w:rFonts w:ascii="Arial" w:hAnsi="Arial"/>
          <w:color w:val="111111"/>
          <w:sz w:val="18"/>
        </w:rPr>
        <w:t>Scores are expert estimates from 1 to 5. Effort is inverse: 1 is small and 5 is large.</w:t>
      </w:r>
    </w:p>
    <w:p>
      <w:pPr>
        <w:keepNext/>
        <w:spacing w:before="140" w:after="60"/>
      </w:pPr>
      <w:r>
        <w:rPr>
          <w:rFonts w:ascii="Arial" w:hAnsi="Arial"/>
          <w:b/>
          <w:color w:val="111111"/>
          <w:sz w:val="21"/>
        </w:rPr>
        <w:t>Release 1 Find and finish</w:t>
      </w:r>
    </w:p>
    <w:p>
      <w:pPr>
        <w:keepNext w:val="0"/>
        <w:spacing w:after="60" w:line="250" w:lineRule="auto"/>
        <w:ind w:left="331" w:hanging="216"/>
      </w:pPr>
      <w:r>
        <w:rPr>
          <w:rFonts w:ascii="Arial" w:hAnsi="Arial"/>
          <w:color w:val="111111"/>
          <w:sz w:val="20"/>
        </w:rPr>
        <w:t>•  Ship Mission Center, app-wide intent index and `NextRoute`.</w:t>
      </w:r>
    </w:p>
    <w:p>
      <w:pPr>
        <w:keepNext w:val="0"/>
        <w:spacing w:after="60" w:line="250" w:lineRule="auto"/>
        <w:ind w:left="331" w:hanging="216"/>
      </w:pPr>
      <w:r>
        <w:rPr>
          <w:rFonts w:ascii="Arial" w:hAnsi="Arial"/>
          <w:color w:val="111111"/>
          <w:sz w:val="20"/>
        </w:rPr>
        <w:t>•  Keep the six-section browser for expert users.</w:t>
      </w:r>
    </w:p>
    <w:p>
      <w:pPr>
        <w:keepNext w:val="0"/>
        <w:spacing w:after="60" w:line="250" w:lineRule="auto"/>
        <w:ind w:left="331" w:hanging="216"/>
      </w:pPr>
      <w:r>
        <w:rPr>
          <w:rFonts w:ascii="Arial" w:hAnsi="Arial"/>
          <w:color w:val="111111"/>
          <w:sz w:val="20"/>
        </w:rPr>
        <w:t>•  Measure time to a relevant action and mission abandonment.</w:t>
      </w:r>
    </w:p>
    <w:p>
      <w:pPr>
        <w:keepNext/>
        <w:spacing w:before="140" w:after="60"/>
      </w:pPr>
      <w:r>
        <w:rPr>
          <w:rFonts w:ascii="Arial" w:hAnsi="Arial"/>
          <w:b/>
          <w:color w:val="111111"/>
          <w:sz w:val="21"/>
        </w:rPr>
        <w:t>Release 2 Explain what changed</w:t>
      </w:r>
    </w:p>
    <w:p>
      <w:pPr>
        <w:keepNext w:val="0"/>
        <w:spacing w:after="60" w:line="250" w:lineRule="auto"/>
        <w:ind w:left="331" w:hanging="216"/>
      </w:pPr>
      <w:r>
        <w:rPr>
          <w:rFonts w:ascii="Arial" w:hAnsi="Arial"/>
          <w:color w:val="111111"/>
          <w:sz w:val="20"/>
        </w:rPr>
        <w:t>•  Ship Incident Mode using timeline, snapshot diff and checkup evidence.</w:t>
      </w:r>
    </w:p>
    <w:p>
      <w:pPr>
        <w:keepNext w:val="0"/>
        <w:spacing w:after="60" w:line="250" w:lineRule="auto"/>
        <w:ind w:left="331" w:hanging="216"/>
      </w:pPr>
      <w:r>
        <w:rPr>
          <w:rFonts w:ascii="Arial" w:hAnsi="Arial"/>
          <w:color w:val="111111"/>
          <w:sz w:val="20"/>
        </w:rPr>
        <w:t>•  Add incident start-time selection, confidence language and SetupDiag results.</w:t>
      </w:r>
    </w:p>
    <w:p>
      <w:pPr>
        <w:keepNext w:val="0"/>
        <w:spacing w:after="60" w:line="250" w:lineRule="auto"/>
        <w:ind w:left="331" w:hanging="216"/>
      </w:pPr>
      <w:r>
        <w:rPr>
          <w:rFonts w:ascii="Arial" w:hAnsi="Arial"/>
          <w:color w:val="111111"/>
          <w:sz w:val="20"/>
        </w:rPr>
        <w:t>•  Run one reversible test at a time and rescan automatically.</w:t>
      </w:r>
    </w:p>
    <w:p>
      <w:pPr>
        <w:keepNext/>
        <w:spacing w:before="140" w:after="60"/>
      </w:pPr>
      <w:r>
        <w:rPr>
          <w:rFonts w:ascii="Arial" w:hAnsi="Arial"/>
          <w:b/>
          <w:color w:val="111111"/>
          <w:sz w:val="21"/>
        </w:rPr>
        <w:t>Release 3 Recover safely</w:t>
      </w:r>
    </w:p>
    <w:p>
      <w:pPr>
        <w:keepNext w:val="0"/>
        <w:spacing w:after="60" w:line="250" w:lineRule="auto"/>
        <w:ind w:left="331" w:hanging="216"/>
      </w:pPr>
      <w:r>
        <w:rPr>
          <w:rFonts w:ascii="Arial" w:hAnsi="Arial"/>
          <w:color w:val="111111"/>
          <w:sz w:val="20"/>
        </w:rPr>
        <w:t>•  Ship the Recovery Ladder for machines that still boot.</w:t>
      </w:r>
    </w:p>
    <w:p>
      <w:pPr>
        <w:keepNext w:val="0"/>
        <w:spacing w:after="60" w:line="250" w:lineRule="auto"/>
        <w:ind w:left="331" w:hanging="216"/>
      </w:pPr>
      <w:r>
        <w:rPr>
          <w:rFonts w:ascii="Arial" w:hAnsi="Arial"/>
          <w:color w:val="111111"/>
          <w:sz w:val="20"/>
        </w:rPr>
        <w:t>•  Add Windows Update reinstall and update-removal routes before ISO.</w:t>
      </w:r>
    </w:p>
    <w:p>
      <w:pPr>
        <w:keepNext w:val="0"/>
        <w:spacing w:after="60" w:line="250" w:lineRule="auto"/>
        <w:ind w:left="331" w:hanging="216"/>
      </w:pPr>
      <w:r>
        <w:rPr>
          <w:rFonts w:ascii="Arial" w:hAnsi="Arial"/>
          <w:color w:val="111111"/>
          <w:sz w:val="20"/>
        </w:rPr>
        <w:t>•  Persist mission state across reboot and verify the outcome.</w:t>
      </w:r>
    </w:p>
    <w:p>
      <w:r>
        <w:br w:type="page"/>
      </w:r>
    </w:p>
    <w:p>
      <w:pPr>
        <w:keepNext/>
        <w:spacing w:before="180" w:after="140"/>
      </w:pPr>
      <w:r>
        <w:rPr>
          <w:rFonts w:ascii="Arial" w:hAnsi="Arial"/>
          <w:b/>
          <w:color w:val="111111"/>
          <w:sz w:val="29"/>
        </w:rPr>
        <w:t>7.  Success Gates and Product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2808"/>
      </w:tblGrid>
      <w:tr>
        <w:trPr>
          <w:tblHeader w:val="true"/>
        </w:trPr>
        <w:tc>
          <w:tcPr>
            <w:tcW w:type="dxa" w:w="4680"/>
            <w:shd w:fill="111111"/>
            <w:tcMar>
              <w:top w:w="115" w:type="dxa"/>
              <w:start w:w="110" w:type="dxa"/>
              <w:bottom w:w="115" w:type="dxa"/>
              <w:end w:w="110" w:type="dxa"/>
            </w:tcMar>
            <w:vAlign w:val="center"/>
          </w:tcPr>
          <w:p>
            <w:pPr>
              <w:spacing w:after="0"/>
              <w:jc w:val="center"/>
            </w:pPr>
            <w:r>
              <w:rPr>
                <w:rFonts w:ascii="Arial" w:hAnsi="Arial"/>
                <w:b/>
                <w:color w:val="FFFFFF"/>
                <w:sz w:val="18"/>
              </w:rPr>
              <w:t>Metric</w:t>
            </w:r>
          </w:p>
        </w:tc>
        <w:tc>
          <w:tcPr>
            <w:tcW w:type="dxa" w:w="4680"/>
            <w:shd w:fill="111111"/>
            <w:tcMar>
              <w:top w:w="115" w:type="dxa"/>
              <w:start w:w="110" w:type="dxa"/>
              <w:bottom w:w="115" w:type="dxa"/>
              <w:end w:w="110" w:type="dxa"/>
            </w:tcMar>
            <w:vAlign w:val="center"/>
          </w:tcPr>
          <w:p>
            <w:pPr>
              <w:spacing w:after="0"/>
              <w:jc w:val="center"/>
            </w:pPr>
            <w:r>
              <w:rPr>
                <w:rFonts w:ascii="Arial" w:hAnsi="Arial"/>
                <w:b/>
                <w:color w:val="FFFFFF"/>
                <w:sz w:val="18"/>
              </w:rPr>
              <w:t>Initial gate</w:t>
            </w:r>
          </w:p>
        </w:tc>
      </w:tr>
      <w:tr>
        <w:tc>
          <w:tcPr>
            <w:tcW w:type="dxa" w:w="6552"/>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Users reaching the right mission without browsing the rail</w:t>
            </w:r>
          </w:p>
        </w:tc>
        <w:tc>
          <w:tcPr>
            <w:tcW w:type="dxa" w:w="2808"/>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At least 80 percent in moderated tests</w:t>
            </w:r>
          </w:p>
        </w:tc>
      </w:tr>
      <w:tr>
        <w:tc>
          <w:tcPr>
            <w:tcW w:type="dxa" w:w="6552"/>
            <w:tcMar>
              <w:top w:w="100" w:type="dxa"/>
              <w:start w:w="110" w:type="dxa"/>
              <w:bottom w:w="100" w:type="dxa"/>
              <w:end w:w="110" w:type="dxa"/>
            </w:tcMar>
            <w:vAlign w:val="center"/>
          </w:tcPr>
          <w:p>
            <w:pPr>
              <w:spacing w:after="0" w:line="240" w:lineRule="auto"/>
              <w:jc w:val="center"/>
            </w:pPr>
            <w:r>
              <w:rPr>
                <w:rFonts w:ascii="Arial" w:hAnsi="Arial"/>
                <w:color w:val="111111"/>
                <w:sz w:val="18"/>
              </w:rPr>
              <w:t>Findings with a visible and safe next route</w:t>
            </w:r>
          </w:p>
        </w:tc>
        <w:tc>
          <w:tcPr>
            <w:tcW w:type="dxa" w:w="2808"/>
            <w:tcMar>
              <w:top w:w="100" w:type="dxa"/>
              <w:start w:w="110" w:type="dxa"/>
              <w:bottom w:w="100" w:type="dxa"/>
              <w:end w:w="110" w:type="dxa"/>
            </w:tcMar>
            <w:vAlign w:val="center"/>
          </w:tcPr>
          <w:p>
            <w:pPr>
              <w:spacing w:after="0" w:line="240" w:lineRule="auto"/>
              <w:jc w:val="center"/>
            </w:pPr>
            <w:r>
              <w:rPr>
                <w:rFonts w:ascii="Arial" w:hAnsi="Arial"/>
                <w:color w:val="111111"/>
                <w:sz w:val="18"/>
              </w:rPr>
              <w:t>100 percent</w:t>
            </w:r>
          </w:p>
        </w:tc>
      </w:tr>
      <w:tr>
        <w:tc>
          <w:tcPr>
            <w:tcW w:type="dxa" w:w="6552"/>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Median launch to first useful recommendation</w:t>
            </w:r>
          </w:p>
        </w:tc>
        <w:tc>
          <w:tcPr>
            <w:tcW w:type="dxa" w:w="2808"/>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Under 30 seconds after scan</w:t>
            </w:r>
          </w:p>
        </w:tc>
      </w:tr>
      <w:tr>
        <w:tc>
          <w:tcPr>
            <w:tcW w:type="dxa" w:w="6552"/>
            <w:tcMar>
              <w:top w:w="100" w:type="dxa"/>
              <w:start w:w="110" w:type="dxa"/>
              <w:bottom w:w="100" w:type="dxa"/>
              <w:end w:w="110" w:type="dxa"/>
            </w:tcMar>
            <w:vAlign w:val="center"/>
          </w:tcPr>
          <w:p>
            <w:pPr>
              <w:spacing w:after="0" w:line="240" w:lineRule="auto"/>
              <w:jc w:val="center"/>
            </w:pPr>
            <w:r>
              <w:rPr>
                <w:rFonts w:ascii="Arial" w:hAnsi="Arial"/>
                <w:color w:val="111111"/>
                <w:sz w:val="18"/>
              </w:rPr>
              <w:t>Incident reports separating correlation from direct evidence</w:t>
            </w:r>
          </w:p>
        </w:tc>
        <w:tc>
          <w:tcPr>
            <w:tcW w:type="dxa" w:w="2808"/>
            <w:tcMar>
              <w:top w:w="100" w:type="dxa"/>
              <w:start w:w="110" w:type="dxa"/>
              <w:bottom w:w="100" w:type="dxa"/>
              <w:end w:w="110" w:type="dxa"/>
            </w:tcMar>
            <w:vAlign w:val="center"/>
          </w:tcPr>
          <w:p>
            <w:pPr>
              <w:spacing w:after="0" w:line="240" w:lineRule="auto"/>
              <w:jc w:val="center"/>
            </w:pPr>
            <w:r>
              <w:rPr>
                <w:rFonts w:ascii="Arial" w:hAnsi="Arial"/>
                <w:color w:val="111111"/>
                <w:sz w:val="18"/>
              </w:rPr>
              <w:t>100 percent</w:t>
            </w:r>
          </w:p>
        </w:tc>
      </w:tr>
      <w:tr>
        <w:tc>
          <w:tcPr>
            <w:tcW w:type="dxa" w:w="6552"/>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Risky steps showing a recovery path before Apply</w:t>
            </w:r>
          </w:p>
        </w:tc>
        <w:tc>
          <w:tcPr>
            <w:tcW w:type="dxa" w:w="2808"/>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100 percent</w:t>
            </w:r>
          </w:p>
        </w:tc>
      </w:tr>
      <w:tr>
        <w:tc>
          <w:tcPr>
            <w:tcW w:type="dxa" w:w="6552"/>
            <w:tcMar>
              <w:top w:w="100" w:type="dxa"/>
              <w:start w:w="110" w:type="dxa"/>
              <w:bottom w:w="100" w:type="dxa"/>
              <w:end w:w="110" w:type="dxa"/>
            </w:tcMar>
            <w:vAlign w:val="center"/>
          </w:tcPr>
          <w:p>
            <w:pPr>
              <w:spacing w:after="0" w:line="240" w:lineRule="auto"/>
              <w:jc w:val="center"/>
            </w:pPr>
            <w:r>
              <w:rPr>
                <w:rFonts w:ascii="Arial" w:hAnsi="Arial"/>
                <w:color w:val="111111"/>
                <w:sz w:val="18"/>
              </w:rPr>
              <w:t>Supported missions resuming and verifying after reboot</w:t>
            </w:r>
          </w:p>
        </w:tc>
        <w:tc>
          <w:tcPr>
            <w:tcW w:type="dxa" w:w="2808"/>
            <w:tcMar>
              <w:top w:w="100" w:type="dxa"/>
              <w:start w:w="110" w:type="dxa"/>
              <w:bottom w:w="100" w:type="dxa"/>
              <w:end w:w="110" w:type="dxa"/>
            </w:tcMar>
            <w:vAlign w:val="center"/>
          </w:tcPr>
          <w:p>
            <w:pPr>
              <w:spacing w:after="0" w:line="240" w:lineRule="auto"/>
              <w:jc w:val="center"/>
            </w:pPr>
            <w:r>
              <w:rPr>
                <w:rFonts w:ascii="Arial" w:hAnsi="Arial"/>
                <w:color w:val="111111"/>
                <w:sz w:val="18"/>
              </w:rPr>
              <w:t>At least 99.5 percent in tests</w:t>
            </w:r>
          </w:p>
        </w:tc>
      </w:tr>
      <w:tr>
        <w:tc>
          <w:tcPr>
            <w:tcW w:type="dxa" w:w="6552"/>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Seeded secrets leaked by default support bundles</w:t>
            </w:r>
          </w:p>
        </w:tc>
        <w:tc>
          <w:tcPr>
            <w:tcW w:type="dxa" w:w="2808"/>
            <w:shd w:fill="F3F3F3"/>
            <w:tcMar>
              <w:top w:w="100" w:type="dxa"/>
              <w:start w:w="110" w:type="dxa"/>
              <w:bottom w:w="100" w:type="dxa"/>
              <w:end w:w="110" w:type="dxa"/>
            </w:tcMar>
            <w:vAlign w:val="center"/>
          </w:tcPr>
          <w:p>
            <w:pPr>
              <w:spacing w:after="0" w:line="240" w:lineRule="auto"/>
              <w:jc w:val="center"/>
            </w:pPr>
            <w:r>
              <w:rPr>
                <w:rFonts w:ascii="Arial" w:hAnsi="Arial"/>
                <w:color w:val="111111"/>
                <w:sz w:val="18"/>
              </w:rPr>
              <w:t>Zero</w:t>
            </w:r>
          </w:p>
        </w:tc>
      </w:tr>
    </w:tbl>
    <w:p>
      <w:pPr>
        <w:spacing w:after="20"/>
      </w:pPr>
    </w:p>
    <w:p>
      <w:pPr>
        <w:keepNext/>
        <w:spacing w:before="140" w:after="60"/>
      </w:pPr>
      <w:r>
        <w:rPr>
          <w:rFonts w:ascii="Arial" w:hAnsi="Arial"/>
          <w:b/>
          <w:color w:val="111111"/>
          <w:sz w:val="21"/>
        </w:rPr>
        <w:t>Do not build next</w:t>
      </w:r>
    </w:p>
    <w:p>
      <w:pPr>
        <w:keepNext w:val="0"/>
        <w:spacing w:after="60" w:line="250" w:lineRule="auto"/>
        <w:ind w:left="331" w:hanging="216"/>
      </w:pPr>
      <w:r>
        <w:rPr>
          <w:rFonts w:ascii="Arial" w:hAnsi="Arial"/>
          <w:color w:val="111111"/>
          <w:sz w:val="20"/>
        </w:rPr>
        <w:t>•  Another top-level navigation section.</w:t>
      </w:r>
    </w:p>
    <w:p>
      <w:pPr>
        <w:keepNext w:val="0"/>
        <w:spacing w:after="60" w:line="250" w:lineRule="auto"/>
        <w:ind w:left="331" w:hanging="216"/>
      </w:pPr>
      <w:r>
        <w:rPr>
          <w:rFonts w:ascii="Arial" w:hAnsi="Arial"/>
          <w:color w:val="111111"/>
          <w:sz w:val="20"/>
        </w:rPr>
        <w:t>•  A generic chatbot that can invent commands.</w:t>
      </w:r>
    </w:p>
    <w:p>
      <w:pPr>
        <w:keepNext w:val="0"/>
        <w:spacing w:after="60" w:line="250" w:lineRule="auto"/>
        <w:ind w:left="331" w:hanging="216"/>
      </w:pPr>
      <w:r>
        <w:rPr>
          <w:rFonts w:ascii="Arial" w:hAnsi="Arial"/>
          <w:color w:val="111111"/>
          <w:sz w:val="20"/>
        </w:rPr>
        <w:t>•  One-click optimize, registry cleaning or driver update all.</w:t>
      </w:r>
    </w:p>
    <w:p>
      <w:pPr>
        <w:keepNext w:val="0"/>
        <w:spacing w:after="60" w:line="250" w:lineRule="auto"/>
        <w:ind w:left="331" w:hanging="216"/>
      </w:pPr>
      <w:r>
        <w:rPr>
          <w:rFonts w:ascii="Arial" w:hAnsi="Arial"/>
          <w:color w:val="111111"/>
          <w:sz w:val="20"/>
        </w:rPr>
        <w:t>•  Automatic firmware flashing across unsupported models.</w:t>
      </w:r>
    </w:p>
    <w:p>
      <w:pPr>
        <w:keepNext w:val="0"/>
        <w:spacing w:after="60" w:line="250" w:lineRule="auto"/>
        <w:ind w:left="331" w:hanging="216"/>
      </w:pPr>
      <w:r>
        <w:rPr>
          <w:rFonts w:ascii="Arial" w:hAnsi="Arial"/>
          <w:color w:val="111111"/>
          <w:sz w:val="20"/>
        </w:rPr>
        <w:t>•  More isolated tweak cards without an outcome and verification path.</w:t>
      </w:r>
    </w:p>
    <w:p>
      <w:pPr>
        <w:keepNext/>
        <w:spacing w:before="140" w:after="60"/>
      </w:pPr>
      <w:r>
        <w:rPr>
          <w:rFonts w:ascii="Arial" w:hAnsi="Arial"/>
          <w:b/>
          <w:color w:val="111111"/>
          <w:sz w:val="21"/>
        </w:rPr>
        <w:t>Research limits</w:t>
      </w:r>
    </w:p>
    <w:p>
      <w:pPr>
        <w:keepLines w:val="0"/>
        <w:spacing w:after="120" w:line="254" w:lineRule="auto"/>
      </w:pPr>
      <w:r>
        <w:rPr>
          <w:rFonts w:ascii="Arial" w:hAnsi="Arial"/>
          <w:color w:val="111111"/>
          <w:sz w:val="21"/>
        </w:rPr>
        <w:t>This is a static source audit, not a moderated usability test. The test suite could not be run because dotnet was unavailable on PATH in this session. Implementation claims therefore rely on source inspection and repository documentation. The priority scores are product judgments, not market-size estimates. Validate the first four missions with five to eight target users in Vietnamese before broadening the backlog.</w:t>
      </w:r>
    </w:p>
    <w:p>
      <w:r>
        <w:br w:type="page"/>
      </w:r>
    </w:p>
    <w:p>
      <w:pPr>
        <w:keepNext/>
        <w:spacing w:before="180" w:after="140"/>
      </w:pPr>
      <w:r>
        <w:rPr>
          <w:rFonts w:ascii="Arial" w:hAnsi="Arial"/>
          <w:b/>
          <w:color w:val="111111"/>
          <w:sz w:val="29"/>
        </w:rPr>
        <w:t>8.  Evidence and Sources</w:t>
      </w:r>
    </w:p>
    <w:p>
      <w:pPr>
        <w:keepLines w:val="0"/>
        <w:spacing w:after="120" w:line="254" w:lineRule="auto"/>
      </w:pPr>
      <w:r>
        <w:rPr>
          <w:rFonts w:ascii="Arial" w:hAnsi="Arial"/>
          <w:color w:val="111111"/>
          <w:sz w:val="19"/>
        </w:rPr>
        <w:t>Repository evidence: `MainWindow.xaml.cs` lines 590 to 630 defines the 16 pages; lines 364 to 389 limits Ctrl F to Apps and BIOS. `Timeline.cs` line 67 contains the unused incident-window correlation primitive. `MainWindow.Pages.cs` lines 1055 to 1098 renders timeline rows only. `WindowsMedia.cs` lines 46 to 50 states that control ends after Windows Setup launches. `MainWindow.Store.cs` lines 510 to 600 limits app-list backup and restore to the curated catalog.</w:t>
      </w:r>
    </w:p>
    <w:p>
      <w:pPr>
        <w:spacing w:after="60"/>
        <w:ind w:left="259" w:hanging="259"/>
      </w:pPr>
      <w:r>
        <w:rPr>
          <w:rFonts w:ascii="Arial" w:hAnsi="Arial"/>
          <w:color w:val="111111"/>
          <w:sz w:val="18"/>
        </w:rPr>
        <w:t xml:space="preserve">•  </w:t>
      </w:r>
      <w:hyperlink r:id="rId6">
        <w:r>
          <w:rPr>
            <w:color w:val="444444"/>
            <w:u w:val="single"/>
            <w:b/>
            <w:rFonts w:ascii="Arial" w:hAnsi="Arial"/>
          </w:rPr>
          <w:t>Navigation design basics for Windows apps</w:t>
        </w:r>
      </w:hyperlink>
      <w:r>
        <w:rPr>
          <w:rFonts w:ascii="Arial" w:hAnsi="Arial"/>
          <w:color w:val="111111"/>
          <w:sz w:val="18"/>
        </w:rPr>
        <w:t xml:space="preserve"> — Microsoft Learn; accessed 05 September 2026.</w:t>
      </w:r>
    </w:p>
    <w:p>
      <w:pPr>
        <w:spacing w:after="60"/>
        <w:ind w:left="259" w:hanging="259"/>
      </w:pPr>
      <w:r>
        <w:rPr>
          <w:rFonts w:ascii="Arial" w:hAnsi="Arial"/>
          <w:color w:val="111111"/>
          <w:sz w:val="18"/>
        </w:rPr>
        <w:t xml:space="preserve">•  </w:t>
      </w:r>
      <w:hyperlink r:id="rId15">
        <w:r>
          <w:rPr>
            <w:color w:val="444444"/>
            <w:u w:val="single"/>
            <w:b/>
            <w:rFonts w:ascii="Arial" w:hAnsi="Arial"/>
          </w:rPr>
          <w:t>PowerToys Command Palette</w:t>
        </w:r>
      </w:hyperlink>
      <w:r>
        <w:rPr>
          <w:rFonts w:ascii="Arial" w:hAnsi="Arial"/>
          <w:color w:val="111111"/>
          <w:sz w:val="18"/>
        </w:rPr>
        <w:t xml:space="preserve"> — Microsoft Learn; accessed 05 September 2026.</w:t>
      </w:r>
    </w:p>
    <w:p>
      <w:pPr>
        <w:spacing w:after="60"/>
        <w:ind w:left="259" w:hanging="259"/>
      </w:pPr>
      <w:r>
        <w:rPr>
          <w:rFonts w:ascii="Arial" w:hAnsi="Arial"/>
          <w:color w:val="111111"/>
          <w:sz w:val="18"/>
        </w:rPr>
        <w:t xml:space="preserve">•  </w:t>
      </w:r>
      <w:hyperlink r:id="rId16">
        <w:r>
          <w:rPr>
            <w:color w:val="444444"/>
            <w:u w:val="single"/>
            <w:b/>
            <w:rFonts w:ascii="Arial" w:hAnsi="Arial"/>
          </w:rPr>
          <w:t>Recovery options in Windows</w:t>
        </w:r>
      </w:hyperlink>
      <w:r>
        <w:rPr>
          <w:rFonts w:ascii="Arial" w:hAnsi="Arial"/>
          <w:color w:val="111111"/>
          <w:sz w:val="18"/>
        </w:rPr>
        <w:t xml:space="preserve"> — Microsoft Support; accessed 05 September 2026.</w:t>
      </w:r>
    </w:p>
    <w:p>
      <w:pPr>
        <w:spacing w:after="60"/>
        <w:ind w:left="259" w:hanging="259"/>
      </w:pPr>
      <w:r>
        <w:rPr>
          <w:rFonts w:ascii="Arial" w:hAnsi="Arial"/>
          <w:color w:val="111111"/>
          <w:sz w:val="18"/>
        </w:rPr>
        <w:t xml:space="preserve">•  </w:t>
      </w:r>
      <w:hyperlink r:id="rId17">
        <w:r>
          <w:rPr>
            <w:color w:val="444444"/>
            <w:u w:val="single"/>
            <w:b/>
            <w:rFonts w:ascii="Arial" w:hAnsi="Arial"/>
          </w:rPr>
          <w:t>Reinstall Windows through Windows Update</w:t>
        </w:r>
      </w:hyperlink>
      <w:r>
        <w:rPr>
          <w:rFonts w:ascii="Arial" w:hAnsi="Arial"/>
          <w:color w:val="111111"/>
          <w:sz w:val="18"/>
        </w:rPr>
        <w:t xml:space="preserve"> — Microsoft Support; accessed 05 September 2026.</w:t>
      </w:r>
    </w:p>
    <w:p>
      <w:pPr>
        <w:spacing w:after="60"/>
        <w:ind w:left="259" w:hanging="259"/>
      </w:pPr>
      <w:r>
        <w:rPr>
          <w:rFonts w:ascii="Arial" w:hAnsi="Arial"/>
          <w:color w:val="111111"/>
          <w:sz w:val="18"/>
        </w:rPr>
        <w:t xml:space="preserve">•  </w:t>
      </w:r>
      <w:hyperlink r:id="rId18">
        <w:r>
          <w:rPr>
            <w:color w:val="444444"/>
            <w:u w:val="single"/>
            <w:b/>
            <w:rFonts w:ascii="Arial" w:hAnsi="Arial"/>
          </w:rPr>
          <w:t>SetupDiag</w:t>
        </w:r>
      </w:hyperlink>
      <w:r>
        <w:rPr>
          <w:rFonts w:ascii="Arial" w:hAnsi="Arial"/>
          <w:color w:val="111111"/>
          <w:sz w:val="18"/>
        </w:rPr>
        <w:t xml:space="preserve"> — Microsoft Learn; accessed 05 September 2026.</w:t>
      </w:r>
    </w:p>
    <w:p>
      <w:pPr>
        <w:spacing w:after="60"/>
        <w:ind w:left="259" w:hanging="259"/>
      </w:pPr>
      <w:r>
        <w:rPr>
          <w:rFonts w:ascii="Arial" w:hAnsi="Arial"/>
          <w:color w:val="111111"/>
          <w:sz w:val="18"/>
        </w:rPr>
        <w:t xml:space="preserve">•  </w:t>
      </w:r>
      <w:hyperlink r:id="rId19">
        <w:r>
          <w:rPr>
            <w:color w:val="444444"/>
            <w:u w:val="single"/>
            <w:b/>
            <w:rFonts w:ascii="Arial" w:hAnsi="Arial"/>
          </w:rPr>
          <w:t>WHEA hardware error events</w:t>
        </w:r>
      </w:hyperlink>
      <w:r>
        <w:rPr>
          <w:rFonts w:ascii="Arial" w:hAnsi="Arial"/>
          <w:color w:val="111111"/>
          <w:sz w:val="18"/>
        </w:rPr>
        <w:t xml:space="preserve"> — Microsoft Learn; accessed 05 September 2026.</w:t>
      </w:r>
    </w:p>
    <w:p>
      <w:pPr>
        <w:spacing w:after="60"/>
        <w:ind w:left="259" w:hanging="259"/>
      </w:pPr>
      <w:r>
        <w:rPr>
          <w:rFonts w:ascii="Arial" w:hAnsi="Arial"/>
          <w:color w:val="111111"/>
          <w:sz w:val="18"/>
        </w:rPr>
        <w:t xml:space="preserve">•  </w:t>
      </w:r>
      <w:hyperlink r:id="rId20">
        <w:r>
          <w:rPr>
            <w:color w:val="444444"/>
            <w:u w:val="single"/>
            <w:b/>
            <w:rFonts w:ascii="Arial" w:hAnsi="Arial"/>
          </w:rPr>
          <w:t>SupportAssist for Home PCs</w:t>
        </w:r>
      </w:hyperlink>
      <w:r>
        <w:rPr>
          <w:rFonts w:ascii="Arial" w:hAnsi="Arial"/>
          <w:color w:val="111111"/>
          <w:sz w:val="18"/>
        </w:rPr>
        <w:t xml:space="preserve"> — Dell; accessed 05 September 2026.</w:t>
      </w:r>
    </w:p>
    <w:p>
      <w:pPr>
        <w:spacing w:after="60"/>
        <w:ind w:left="259" w:hanging="259"/>
      </w:pPr>
      <w:r>
        <w:rPr>
          <w:rFonts w:ascii="Arial" w:hAnsi="Arial"/>
          <w:color w:val="111111"/>
          <w:sz w:val="18"/>
        </w:rPr>
        <w:t xml:space="preserve">•  </w:t>
      </w:r>
      <w:hyperlink r:id="rId21">
        <w:r>
          <w:rPr>
            <w:color w:val="444444"/>
            <w:u w:val="single"/>
            <w:b/>
            <w:rFonts w:ascii="Arial" w:hAnsi="Arial"/>
          </w:rPr>
          <w:t>HP Support Assistant</w:t>
        </w:r>
      </w:hyperlink>
      <w:r>
        <w:rPr>
          <w:rFonts w:ascii="Arial" w:hAnsi="Arial"/>
          <w:color w:val="111111"/>
          <w:sz w:val="18"/>
        </w:rPr>
        <w:t xml:space="preserve"> — HP; accessed 05 September 2026.</w:t>
      </w:r>
    </w:p>
    <w:p>
      <w:pPr>
        <w:spacing w:after="60"/>
        <w:ind w:left="259" w:hanging="259"/>
      </w:pPr>
      <w:r>
        <w:rPr>
          <w:rFonts w:ascii="Arial" w:hAnsi="Arial"/>
          <w:color w:val="111111"/>
          <w:sz w:val="18"/>
        </w:rPr>
        <w:t xml:space="preserve">•  </w:t>
      </w:r>
      <w:hyperlink r:id="rId22">
        <w:r>
          <w:rPr>
            <w:color w:val="444444"/>
            <w:u w:val="single"/>
            <w:b/>
            <w:rFonts w:ascii="Arial" w:hAnsi="Arial"/>
          </w:rPr>
          <w:t>App notifications for .NET desktop apps</w:t>
        </w:r>
      </w:hyperlink>
      <w:r>
        <w:rPr>
          <w:rFonts w:ascii="Arial" w:hAnsi="Arial"/>
          <w:color w:val="111111"/>
          <w:sz w:val="18"/>
        </w:rPr>
        <w:t xml:space="preserve"> — Microsoft Learn; accessed 05 September 2026.</w:t>
      </w:r>
    </w:p>
    <w:p>
      <w:pPr>
        <w:spacing w:after="60"/>
        <w:ind w:left="259" w:hanging="259"/>
      </w:pPr>
      <w:r>
        <w:rPr>
          <w:rFonts w:ascii="Arial" w:hAnsi="Arial"/>
          <w:color w:val="111111"/>
          <w:sz w:val="18"/>
        </w:rPr>
        <w:t xml:space="preserve">•  </w:t>
      </w:r>
      <w:hyperlink r:id="rId23">
        <w:r>
          <w:rPr>
            <w:color w:val="444444"/>
            <w:u w:val="single"/>
            <w:b/>
            <w:rFonts w:ascii="Arial" w:hAnsi="Arial"/>
          </w:rPr>
          <w:t>WinGet overview</w:t>
        </w:r>
      </w:hyperlink>
      <w:r>
        <w:rPr>
          <w:rFonts w:ascii="Arial" w:hAnsi="Arial"/>
          <w:color w:val="111111"/>
          <w:sz w:val="18"/>
        </w:rPr>
        <w:t xml:space="preserve"> — Microsoft Learn; accessed 05 September 2026.</w:t>
      </w:r>
    </w:p>
    <w:p>
      <w:pPr>
        <w:spacing w:after="60"/>
        <w:ind w:left="259" w:hanging="259"/>
      </w:pPr>
      <w:r>
        <w:rPr>
          <w:rFonts w:ascii="Arial" w:hAnsi="Arial"/>
          <w:color w:val="111111"/>
          <w:sz w:val="18"/>
        </w:rPr>
        <w:t xml:space="preserve">•  </w:t>
      </w:r>
      <w:hyperlink r:id="rId24">
        <w:r>
          <w:rPr>
            <w:color w:val="444444"/>
            <w:u w:val="single"/>
            <w:b/>
            <w:rFonts w:ascii="Arial" w:hAnsi="Arial"/>
          </w:rPr>
          <w:t>Back up and restore with Windows Backup</w:t>
        </w:r>
      </w:hyperlink>
      <w:r>
        <w:rPr>
          <w:rFonts w:ascii="Arial" w:hAnsi="Arial"/>
          <w:color w:val="111111"/>
          <w:sz w:val="18"/>
        </w:rPr>
        <w:t xml:space="preserve"> — Microsoft Support; accessed 05 September 2026.</w:t>
      </w:r>
    </w:p>
    <w:p>
      <w:pPr>
        <w:spacing w:after="60"/>
        <w:ind w:left="259" w:hanging="259"/>
      </w:pPr>
      <w:r>
        <w:rPr>
          <w:rFonts w:ascii="Arial" w:hAnsi="Arial"/>
          <w:color w:val="111111"/>
          <w:sz w:val="18"/>
        </w:rPr>
        <w:t xml:space="preserve">•  </w:t>
      </w:r>
      <w:hyperlink r:id="rId25">
        <w:r>
          <w:rPr>
            <w:color w:val="444444"/>
            <w:u w:val="single"/>
            <w:b/>
            <w:rFonts w:ascii="Arial" w:hAnsi="Arial"/>
          </w:rPr>
          <w:t>Get Storage Reliability Counter</w:t>
        </w:r>
      </w:hyperlink>
      <w:r>
        <w:rPr>
          <w:rFonts w:ascii="Arial" w:hAnsi="Arial"/>
          <w:color w:val="111111"/>
          <w:sz w:val="18"/>
        </w:rPr>
        <w:t xml:space="preserve"> — Microsoft Learn; accessed 05 September 2026.</w:t>
      </w:r>
    </w:p>
    <w:p>
      <w:pPr>
        <w:spacing w:after="60"/>
        <w:ind w:left="259" w:hanging="259"/>
      </w:pPr>
      <w:r>
        <w:rPr>
          <w:rFonts w:ascii="Arial" w:hAnsi="Arial"/>
          <w:color w:val="111111"/>
          <w:sz w:val="18"/>
        </w:rPr>
        <w:t xml:space="preserve">•  </w:t>
      </w:r>
      <w:hyperlink r:id="rId26">
        <w:r>
          <w:rPr>
            <w:color w:val="444444"/>
            <w:u w:val="single"/>
            <w:b/>
            <w:rFonts w:ascii="Arial" w:hAnsi="Arial"/>
          </w:rPr>
          <w:t>Powercfg command line options</w:t>
        </w:r>
      </w:hyperlink>
      <w:r>
        <w:rPr>
          <w:rFonts w:ascii="Arial" w:hAnsi="Arial"/>
          <w:color w:val="111111"/>
          <w:sz w:val="18"/>
        </w:rPr>
        <w:t xml:space="preserve"> — Microsoft Learn; accessed 05 September 2026.</w:t>
      </w:r>
    </w:p>
    <w:p>
      <w:pPr>
        <w:spacing w:after="60"/>
        <w:ind w:left="259" w:hanging="259"/>
      </w:pPr>
      <w:r>
        <w:rPr>
          <w:rFonts w:ascii="Arial" w:hAnsi="Arial"/>
          <w:color w:val="111111"/>
          <w:sz w:val="18"/>
        </w:rPr>
        <w:t xml:space="preserve">•  </w:t>
      </w:r>
      <w:hyperlink r:id="rId27">
        <w:r>
          <w:rPr>
            <w:color w:val="444444"/>
            <w:u w:val="single"/>
            <w:b/>
            <w:rFonts w:ascii="Arial" w:hAnsi="Arial"/>
          </w:rPr>
          <w:t>Quick Assist</w:t>
        </w:r>
      </w:hyperlink>
      <w:r>
        <w:rPr>
          <w:rFonts w:ascii="Arial" w:hAnsi="Arial"/>
          <w:color w:val="111111"/>
          <w:sz w:val="18"/>
        </w:rPr>
        <w:t xml:space="preserve"> — Microsoft Support; accessed 05 September 2026.</w:t>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tabs>
        <w:tab w:val="right" w:leader="none" w:pos="9214"/>
      </w:tabs>
      <w:rPr>
        <w:color w:val="999999"/>
        <w:sz w:val="18"/>
        <w:szCs w:val="18"/>
      </w:rPr>
    </w:pPr>
    <w:r>
      <w:rPr>
        <w:color w:val="999999"/>
        <w:sz w:val="18"/>
        <w:szCs w:val="18"/>
        <w:rtl w:val="0"/>
      </w:rPr>
      <w:t>Internal Product Review · PC Orbit</w:t>
      <w:tab/>
    </w:r>
    <w:r>
      <w:rPr>
        <w:color w:val="999999"/>
        <w:sz w:val="18"/>
        <w:szCs w:val="18"/>
      </w:rPr>
      <w:fldChar w:fldCharType="begin"/>
      <w:instrText xml:space="preserve">PAGE</w:instrText>
      <w:fldChar w:fldCharType="separate"/>
      <w:fldChar w:fldCharType="end"/>
    </w: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jc w:val="right"/>
      <w:rPr>
        <w:color w:val="999999"/>
        <w:sz w:val="24"/>
        <w:szCs w:val="24"/>
      </w:rPr>
    </w:pPr>
    <w:r>
      <w:rPr>
        <w:color w:val="999999"/>
        <w:sz w:val="18"/>
        <w:szCs w:val="18"/>
        <w:rtl w:val="0"/>
      </w:rPr>
      <w:t>PC Orbit Product Investment Memo  ·  05 September 2026</w:t>
    </w: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6.png"/><Relationship Id="rId8" Type="http://schemas.openxmlformats.org/officeDocument/2006/relationships/image" Target="media/image3.png"/><Relationship Id="rId6" Type="http://schemas.openxmlformats.org/officeDocument/2006/relationships/hyperlink" Target="https://learn.microsoft.com/en-us/windows/apps/design/basics/navigation-basics" TargetMode="External"/><Relationship Id="rId15" Type="http://schemas.openxmlformats.org/officeDocument/2006/relationships/hyperlink" Target="https://learn.microsoft.com/en-us/windows/powertoys/command-palette/overview" TargetMode="External"/><Relationship Id="rId16" Type="http://schemas.openxmlformats.org/officeDocument/2006/relationships/hyperlink" Target="https://support.microsoft.com/en-us/windows/experience/backup-recovery/recovery-options-in-windows" TargetMode="External"/><Relationship Id="rId17" Type="http://schemas.openxmlformats.org/officeDocument/2006/relationships/hyperlink" Target="https://support.microsoft.com/en-US/Windows/deployment/install-upgrade/fix-issues-by-reinstalling-the-current-version-of-windows" TargetMode="External"/><Relationship Id="rId18" Type="http://schemas.openxmlformats.org/officeDocument/2006/relationships/hyperlink" Target="https://learn.microsoft.com/en-us/windows/deployment/upgrade/setupdiag" TargetMode="External"/><Relationship Id="rId19" Type="http://schemas.openxmlformats.org/officeDocument/2006/relationships/hyperlink" Target="https://learn.microsoft.com/en-us/windows-hardware/drivers/whea/whea-hardware-error-events" TargetMode="External"/><Relationship Id="rId20" Type="http://schemas.openxmlformats.org/officeDocument/2006/relationships/hyperlink" Target="https://www.dell.com/support/contents/en-us/article/product-support/self-support-knowledgebase/software-and-downloads/support-assist/supportassist-for-home" TargetMode="External"/><Relationship Id="rId21" Type="http://schemas.openxmlformats.org/officeDocument/2006/relationships/hyperlink" Target="https://support.hp.com/us-en/help/hp-support-assistant" TargetMode="External"/><Relationship Id="rId22" Type="http://schemas.openxmlformats.org/officeDocument/2006/relationships/hyperlink" Target="https://learn.microsoft.com/en-us/windows/apps/develop/notifications/app-notifications/app-notifications-dotnet" TargetMode="External"/><Relationship Id="rId23" Type="http://schemas.openxmlformats.org/officeDocument/2006/relationships/hyperlink" Target="https://learn.microsoft.com/en-us/windows/package-manager/" TargetMode="External"/><Relationship Id="rId24" Type="http://schemas.openxmlformats.org/officeDocument/2006/relationships/hyperlink" Target="https://support.microsoft.com/en-us/windows/experience/backup-recovery/back-up-and-restore-with-windows-backup" TargetMode="External"/><Relationship Id="rId25" Type="http://schemas.openxmlformats.org/officeDocument/2006/relationships/hyperlink" Target="https://learn.microsoft.com/en-us/powershell/module/storage/get-storagereliabilitycounter?view=windowsserver2025-ps" TargetMode="External"/><Relationship Id="rId26" Type="http://schemas.openxmlformats.org/officeDocument/2006/relationships/hyperlink" Target="https://learn.microsoft.com/en-us/windows-hardware/design/device-experiences/powercfg-command-line-options" TargetMode="External"/><Relationship Id="rId27" Type="http://schemas.openxmlformats.org/officeDocument/2006/relationships/hyperlink" Target="https://support.microsoft.com/en-US/Windows/Apps/solve-pc-problems-remotely-using-quick-ass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PC Orbit UX and Feature Investment Memo</dc:title>
  <cp:lastModifiedBy>python-docx</cp:lastModifiedBy>
  <cp:revision>1</cp:revision>
  <dcterms:modified xsi:type="dcterms:W3CDTF">2026-09-05T02:00:57Z</dcterms:modified>
  <dc:subject>Feature and UX priorities for increasing user convenience</dc:subject>
  <dc:creator>PC Orbit product research</dc:creator>
  <cp:keywords>PC Orbit, UX audit, feature strategy, Windows</cp:keywords>
</cp:coreProperties>
</file>