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sz w:val="20"/>
          <w:szCs w:val="20"/>
        </w:rPr>
        <w:drawing>
          <wp:inline distB="0" distT="0" distL="114300" distR="114300">
            <wp:extent cx="688340" cy="709930"/>
            <wp:effectExtent b="0" l="0" r="0" t="0"/>
            <wp:docPr descr="Description: magem relacionada" id="4" name="image8.png"/>
            <a:graphic>
              <a:graphicData uri="http://schemas.openxmlformats.org/drawingml/2006/picture">
                <pic:pic>
                  <pic:nvPicPr>
                    <pic:cNvPr descr="Description: magem relacionada"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8340" cy="709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MINISTÉRIO DA EDUCAÇÃO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SECRETARIA DE EDUCAÇÃO PROFISSIONAL E TECNOLÓGICA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INSTITUTO FEDERAL DE EDUCAÇÃO, CIÊNCIA E TECNOLOGIA DO SUL DE MINAS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center"/>
        <w:rPr/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CIÊNCIA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jc w:val="center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Projeto de Trabalho de Conclusão de Curso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Simulador Tático para Avaliação de Inteligência Artificial: equilíbrio entre qualidade estratégica e custo computacional na tomada de decisão de agentes autônomos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Ciências Exatas e da Terra, Ciência da Computação e Metodologia e Técnicas da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/>
        <w:sectPr>
          <w:pgSz w:h="16838" w:w="11906" w:orient="portrait"/>
          <w:pgMar w:bottom="1134" w:top="1701" w:left="1701" w:right="1134" w:header="708" w:footer="708"/>
          <w:pgNumType w:start="1"/>
        </w:sectPr>
      </w:pPr>
      <w:r w:rsidDel="00000000" w:rsidR="00000000" w:rsidRPr="00000000">
        <w:rPr>
          <w:sz w:val="24"/>
          <w:szCs w:val="24"/>
          <w:rtl w:val="0"/>
        </w:rPr>
        <w:t xml:space="preserve">Muzambinho – 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spacing w:after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36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Título do projeto: </w:t>
      </w:r>
      <w:r w:rsidDel="00000000" w:rsidR="00000000" w:rsidRPr="00000000">
        <w:rPr>
          <w:sz w:val="24"/>
          <w:szCs w:val="24"/>
          <w:rtl w:val="0"/>
        </w:rPr>
        <w:t xml:space="preserve">Simulador Tático para Avaliação de Inteligência Artificial: equilíbrio entre qualidade estratégica e custo computacional na tomada de decisão de agentes autônomos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24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Orientador - Nome: </w:t>
      </w:r>
      <w:r w:rsidDel="00000000" w:rsidR="00000000" w:rsidRPr="00000000">
        <w:rPr>
          <w:sz w:val="24"/>
          <w:szCs w:val="24"/>
          <w:rtl w:val="0"/>
        </w:rPr>
        <w:t xml:space="preserve">Ricardo Martins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ind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E-mail: </w:t>
      </w:r>
      <w:r w:rsidDel="00000000" w:rsidR="00000000" w:rsidRPr="00000000">
        <w:rPr>
          <w:rtl w:val="0"/>
        </w:rPr>
        <w:t xml:space="preserve">ricardo.martins@muz.ifsuldeminas.edu.br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ind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Endereço no Lattes: </w:t>
      </w:r>
      <w:r w:rsidDel="00000000" w:rsidR="00000000" w:rsidRPr="00000000">
        <w:rPr>
          <w:rtl w:val="0"/>
        </w:rPr>
        <w:t xml:space="preserve">https://lattes.cnpq.br/6440153479104482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24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Discente - Nome: </w:t>
      </w:r>
      <w:r w:rsidDel="00000000" w:rsidR="00000000" w:rsidRPr="00000000">
        <w:rPr>
          <w:sz w:val="24"/>
          <w:szCs w:val="24"/>
          <w:rtl w:val="0"/>
        </w:rPr>
        <w:t xml:space="preserve">Gabriel Madeira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ind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E-mail: gabrielmadeira1504@gmail.com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40" w:lineRule="auto"/>
        <w:ind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Endereço no Lattes: </w:t>
      </w:r>
      <w:r w:rsidDel="00000000" w:rsidR="00000000" w:rsidRPr="00000000">
        <w:rPr>
          <w:rtl w:val="0"/>
        </w:rPr>
        <w:t xml:space="preserve">http://lattes.cnpq.br/9023419600551197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Membros do projeto:</w:t>
      </w:r>
      <w:r w:rsidDel="00000000" w:rsidR="00000000" w:rsidRPr="00000000">
        <w:rPr>
          <w:rtl w:val="0"/>
        </w:rPr>
      </w:r>
    </w:p>
    <w:tbl>
      <w:tblPr>
        <w:tblStyle w:val="Table1"/>
        <w:tblW w:w="941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28"/>
        <w:gridCol w:w="1814"/>
        <w:gridCol w:w="2041"/>
        <w:gridCol w:w="1361"/>
        <w:gridCol w:w="2268"/>
        <w:tblGridChange w:id="0">
          <w:tblGrid>
            <w:gridCol w:w="1928"/>
            <w:gridCol w:w="1814"/>
            <w:gridCol w:w="2041"/>
            <w:gridCol w:w="1361"/>
            <w:gridCol w:w="2268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0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Titulação máxima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Instituição Pertencente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Função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Gabriel Madeira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Graduando em Ciência da Computação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IFSULDEMINAS - Campus Muzambinho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gabrielmadeira1504@gmail.com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Ricardo Martins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Mestre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IFSULDEMINAS - Campus Muzambinho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Orientador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ricardo.martins@muz.ifsuldeminas.edu.br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Diego Penha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[Titulação]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IFSULDEMINAS - Campus Muzambinho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Coorientador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[e-mail]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spacing w:after="240"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elaborado pelo autor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Local de Execução: </w:t>
      </w:r>
      <w:r w:rsidDel="00000000" w:rsidR="00000000" w:rsidRPr="00000000">
        <w:rPr>
          <w:sz w:val="24"/>
          <w:szCs w:val="24"/>
          <w:rtl w:val="0"/>
        </w:rPr>
        <w:t xml:space="preserve">IFSULDEMINAS – Campus Muzambinho.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ind w:firstLine="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Período de Execução: </w:t>
      </w:r>
      <w:r w:rsidDel="00000000" w:rsidR="00000000" w:rsidRPr="00000000">
        <w:rPr>
          <w:sz w:val="24"/>
          <w:szCs w:val="24"/>
          <w:rtl w:val="0"/>
        </w:rPr>
        <w:t xml:space="preserve">Início: Fevereiro/2026 — Término: Dezembro/2026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pageBreakBefore w:val="1"/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ANTECEDENTES, CARACTERIZAÇÃO DO PROBLEMA E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 tomada de decisão é um dos problemas centrais da Inteligência Artificial. Segundo Russell e Norvig (2010), um agente inteligente é aquele que seleciona, a cada instante, a ação que maximiza sua medida de desempenho no ambiente em que atua. Em ambientes táticos — caracterizados por adversários, terreno com obstáculos, informação imperfeita e recursos limitados — essa seleção envolve equilibrar objetivos conflitantes: agredir e proteger-se, avançar e manter posição, decidir rápido e decidir bem.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Jogos digitais consolidaram-se como plataforma privilegiada para o estudo desses problemas. Técnicas de IA desenvolvidas para jogos servem de base para sistemas reais de decisão (MILLINGTON; FUNGE, 2016), e ambientes simulados permitem testes controlados, repetíveis e de baixo custo para a avaliação de agentes (PÉREZ-LIÉBANA et al., 2019). Abordagens como a Utility AI, que avalia ações candidatas por funções de utilidade multicritério, são amplamente empregadas na indústria (MARK; DILL, 2010).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Entretanto, a literatura e a prática de avaliação de agentes concentram-se, em geral, no resultado final das partidas: um agente é considerado melhor que outro se vence mais. Pouco se mede sobre como vence — se usa o terreno a seu favor, se troca dano de forma eficiente, se decide em tempo hábil e, sobretudo, quanto processamento consome para cada decisão. Essa avaliação baseada apenas em métricas finais limita a análise do comportamento estratégico, pois não captura posicionamento, uso de cobertura, eficiência das ações nem o custo de produzir as decisões.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Disso decorre a questão central deste trabalho: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como avaliar de forma eficaz a qualidade estratégica de agentes de IA em ambientes táticos controlados, considerando simultaneamente o valor das decisões e o custo computacional de produzi-las?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 hipótese investigada é a de que a utilização de métricas compostas, aliada a um modelo de decisão que considera simultaneamente valor estratégico e custo computacional, permite uma avaliação mais precisa do comportamento dos agentes e produz decisões mais eficientes do que abordagens que otimizam apenas o valor estratégico. Em síntese: busca-se verificar se é possível, com uma fórmula explícita de compromisso, chegar a um modelo de decisão mais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 trabalho justifica-se em duas frentes. Do ponto de vista científico, contribui com uma metodologia de avaliação que enxerga além da vitória, incorporando dimensões de qualidade decisória e de custo — lacuna apontada na literatura de avaliação de agentes (PÉREZ-LIÉBANA et al., 2019). Do ponto de vista prático, decisões computacionalmente baratas e estrategicamente boas interessam a qualquer sistema embarcado ou de tempo real: jogos comerciais com orçamento de CPU por quadro, robótica móvel e sistemas autônomos em geral. A opção por medir o custo por contagem de operações, e não por tempo de relógio, torna os resultados independentes do hardware utilizado e diretamente comparáveis entre pesquisadores.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REFERENCIAL TEÓRICO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12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2.1. Agentes inteligentes e ambientes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Russell e Norvig (2010) definem agente como qualquer entidade capaz de perceber seu ambiente por meio de sensores e de agir sobre ele por meio de atuadores; um agente racional escolhe ações que maximizam sua medida de desempenho esperada. O ambiente construído neste trabalho classifica-se, na taxonomia dos autores, como parcialmente observável (o agente enxerga apenas o interior do seu cone de visão), multiagente competitivo, determinístico nas transições, sequencial e discreto. A observabilidade parcial é decisiva para o realismo do experimento: agentes oniscientes convergem para comportamentos degenerados que não transferem para problemas reais.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spacing w:after="12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2.2. Inteligência artificial para jogos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Millington e Funge (2016) sistematizam o arsenal clássico da IA para jogos: máquinas de estados, árvores de comportamento (MARCOTTE; HAMILTON, 2017), sistemas de utilidade, pathfinding e táticas de posicionamento. Os autores destacam que a IA de jogos opera sob restrições severas de orçamento computacional — tipicamente uma fração de milissegundo por agente por quadro — o que torna o custo de cada decisão um critério de projeto de primeira ordem.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2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2.3. Utility AI e decisão multicritério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 abordagem de Utility AI (MARK; DILL, 2010) avalia cada ação candidata por uma função de utilidade que combina múltiplos fatores normalizados e ponderados, arbitrando entre objetivos conflitantes de forma contínua e ajustável. A IA heurística deste trabalho é uma instância direta dessa técnica: cada posição alcançável recebe um valor estratégico multicritério, e a de maior valor é escolhida.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2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2.4. Avaliação de agentes em ambientes simulados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Pérez-Liébana et al. (2019) consolidaram, com o framework GVGAI, a prática de avaliar agentes de IA em baterias padronizadas com condições idênticas para todos os competidores. Três princípios dessa tradição são incorporados integralmente a este trabalho: bancos fixos de cenários (aqui, sementes de geração procedural), separação estrita entre conjunto de calibração e conjunto de teste, e métricas agregadas sobre grandes quantidades de partidas.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2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2.5. Custo computacional e o espectro de sofisticação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No extremo sofisticado do espectro de decisão está o Monte Carlo Tree Search (MCTS), que estima o valor de ações explorando árvores de futuros possíveis (BROWNE et al., 2012), alcançando alta qualidade estratégica ao custo de milhares de simulações por decisão. O MCTS é adotado aqui como referência teórica de teto de qualidade, e não como modelo implementado. O modelo híbrido proposto ataca exatamente o eixo que o MCTS ilustra — quanto vale cada unidade adicional de processamento — formalizando o compromisso com um parâmetro explícito de troca, em linha com a discussão de trade-offs de Browne et al. (2012).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spacing w:after="12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3.1. Objetivo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Desenvolver um simulador tático bidimensional para avaliação sistemática de estratégias de IA em ambiente controlado, e propor um modelo híbrido de tomada de decisão que equilibre qualidade estratégica e custo computacional, medido de forma independente de hardware por contagem de operações.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2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3.2. 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● Construir um ambiente de simulação em grade com mecânicas de combate, cobertura direcional, percepção limitada e geração procedural de mapas por sementes;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● Implementar quatro modelos de tomada de decisão com níveis crescentes de sofisticação — aleatório, reativo, heurístico e híbrido — sob um contrato de software comum que garanta comparação justa;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● Coletar métricas de desempenho estratégico e de custo computacional em larga escala, com documentação completa e reprodutível de cada execução;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ind w:left="709" w:firstLine="0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● Analisar comparativamente os modelos e verificar se o modelo híbrido proposto supera os demais em eficiência estratégica global.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METODOLOGIA E ESTRATÉGIA DE 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Optou-se por desenvolver um jogo novo, construído especificamente para a pesquisa, em vez de instrumentar um jogo existente — decisão que garante controle total sobre regras, determinismo e instrumentação de medição. O gênero é o combate tático por turnos em grade, no formato todos-contra-todos com três agentes autônomos. O simulador foi implementado no motor Godot 4.7 e executa em modo visual (inspeção e demonstração) e em modo headless (lotes experimentais sem renderização). A metodologia organiza-se nas subseções seguintes: o ambiente (4.1), os agentes e sua percepção (4.2), as regras de combate (4.3), a medição de custo (4.4), o aprendizado entre partidas (4.5), os modelos comparados (4.6), as métricas (4.7), o protocolo experimental (4.8) e a infraestrutura (4.9).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2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4.1. Ambiente: grade, geração procedural e setores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 mapa é uma grade bidimensional de 40x40 células de quatro tipos: vazia, parede (bloqueia movimento e visão), cobertura leve e cobertura pesada (transponíveis, não bloqueiam visão, reduzem dano). A dimensão 40x40 foi validada empiricamente: com alcance de visão 8 e movimento de 3 células por turno, produz partidas com duração média observada entre 30 e 90 turnos conforme os modelos — longas o bastante para manobra e curtas o bastante para caber no limite de 100 turnos e viabilizar lotes de 1000 partidas em minutos.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Cada mapa é gerado proceduralmente a partir de uma semente inteira que alimenta um gerador congruente determinístico: a mesma semente produz sempre o mesmo mapa, os mesmos pontos de nascimento e, dadas as mesmas IAs, exatamente a mesma partida. O gerador posiciona segmentos de parede e blocos de cobertura respeitando uma zona de segurança ao redor dos nascimentos, e valida por busca em largura que todos os agentes podem se alcançar. Para impedir vantagem de terreno, o mapa é dividido em quatro setores de 20x20 e cada um dos três agentes nasce em um setor distinto, sorteado pela semente.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4.2. Agentes e percepção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Cada agente possui posição, pontos de vida (100), alcance de visão (8 células, distância de Chebyshev), orientação, estado vivo/morto e identificador de cor (verde, vermelho ou azul). São três agentes independentes — não há equipes — e o controle é estritamente um por vez, em turnos sequenciais.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 percepção é deliberadamente limitada: um agente conhece a posição de um inimigo apenas se ele estiver dentro do seu cone de visão de 120 graus, centrado na orientação, a até 8 células, com linha de visão desobstruída — paredes bloqueiam a visão; coberturas, não. A orientação acompanha a última ação: mover vira o agente para a direção do deslocamento; atacar, para o alvo. Completam o modelo perceptivo a memória tática (o agente guarda a última posição em que viu cada inimigo e investiga a mais próxima, esquecendo-a ao chegar lá e nada encontrar) e a revelação por dano (receber um tiro revela a posição do atirador mesmo fora do cone). Sem informação alguma, o agente explora destinos sorteados por gerador semeado pela semente da partida, preservando o determinismo.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4.3. Regras de combate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 sistema é de turnos sequenciais: a cada turno completo, cada agente vivo age exatamente uma vez, um após o outro, em ordem fixa dentro da partida. Não há simultaneidade a resolver — quando um agente decide, o estado que observa já incorpora as ações dos que agiram antes no turno — nem disputa por alvo: os agentes são adversários independentes e cada um decide em seu próprio momento. Para anular o viés de agir primeiro, a ordem inicial é rotacionada entre as partidas do lote: a partida i inicia pelo agente i mod 3, de modo que cada agente inicia exatamente um terço das simulações.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No seu turno, o agente pode mover-se até 3 células (caminho validado por busca em largura em 4 direções, respeitando paredes) e executar uma ação: atacar ou permanecer. O ataque exige alvo dentro do alcance (igual ao de visão), linha de visão desobstruída e alinhamento em linha reta — horizontal, vertical ou diagonal perfeita. A restrição de linha reta é necessária para que a cobertura direcional seja efetiva; sem ela, ângulos arbitrários contornariam qualquer defesa. A cobertura é direcional e automática: um defensor está protegido quando existe célula de cobertura ortogonalmente adjacente a ele na direção do atacante. O dano é determinístico: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before="120" w:line="360" w:lineRule="auto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2984500" cy="165100"/>
            <wp:effectExtent b="0" l="0" r="0" t="0"/>
            <wp:docPr descr="&lt;math-flow&gt;{&quot;id&quot;:&quot;e02f35d2-3104-4c00-9627-61c1d7b5302b&quot;,&quot;latex&quot;:&quot;\\[\\text{Dano} = 30 - \\text{Redução}, \\quad \\text{Redução} \\in \\{0, 10, 20\\}\\]&quot;,&quot;timestamp&quot;:1784670028693,&quot;scale&quot;:1.2,&quot;bgColor&quot;:&quot;transparent&quot;,&quot;version&quot;:2}&lt;/math-flow&gt;" id="2" name="image5.png"/>
            <a:graphic>
              <a:graphicData uri="http://schemas.openxmlformats.org/drawingml/2006/picture">
                <pic:pic>
                  <pic:nvPicPr>
                    <pic:cNvPr descr="&lt;math-flow&gt;{&quot;id&quot;:&quot;e02f35d2-3104-4c00-9627-61c1d7b5302b&quot;,&quot;latex&quot;:&quot;\\[\\text{Dano} = 30 - \\text{Redução}, \\quad \\text{Redução} \\in \\{0, 10, 20\\}\\]&quot;,&quot;timestamp&quot;:1784670028693,&quot;scale&quot;:1.2,&quot;bgColor&quot;:&quot;transparent&quot;,&quot;version&quot;:2}&lt;/math-flow&gt;"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16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com redução 10 para cobertura leve e 20 para pesada. Não há qualquer sorteio em combate: toda a aleatoriedade do experimento está confinada à geração dos mapas. A partida termina quando resta um único agente vivo (vencedor) ou ao atingir o limite de 100 turnos, caso em que é declarado empate. O valor 100 foi definido empiricamente como teto de segurança: as durações médias observadas ficam entre 30 e 90 turnos, de modo que o limite raramente interrompe partidas que convergiriam, mas impede laços infinitos de perseguição.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spacing w:after="12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4.4. Custo computacional abstrato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 custo computacional de uma decisão é medido por contagem de operações elementares, e não por tempo de relógio. Três contadores são mantidos por agente: cálculos de linha de visão executados, nós visitados nas buscas de caminho e ações geradas e avaliadas pela IA; o custo total é a soma dos três. A medição é ativada exclusivamente durante a fase de decisão do agente da vez — mede-se o custo de decidir, não o de executar. Operações contadas são invariantes: o mesmo experimento produz exatamente os mesmos custos em qualquer computador, tornando os resultados auditáveis e comparáveis.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spacing w:after="12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4.5. Aprendizado entre partidas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Dentro de um lote, a mesma instância de IA disputa todas as partidas e recebe, ao final de cada uma, a pontuação obtida (+3 vitória, -1 empate, -3 derrota). A IA heurística usa esse sinal para calibrar seus pesos por subida de encosta: joga uma janela de 25 partidas com uma configuração, mede a média de pontos e a adota se superar a melhor média conhecida, revertendo caso contrário; a janela seguinte testa uma perturbação da melhor configuração, com gerador semeado — todo o processo é reprodutível. Ao final do lote, a evolução completa é gravada em arquivo próprio (aprendizado.csv), apresentado junto aos resultados, e as instâncias são descartadas: cada lote parte do zero. Os modelos aleatório e reativo não possuem parâmetros ajustáveis e servem de contraste estático.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2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4.6. Modelos de tomada de decisão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Quatro modelos são comparados, em níveis crescentes de uso de informação, conforme a Tabela 1.</w:t>
      </w:r>
      <w:r w:rsidDel="00000000" w:rsidR="00000000" w:rsidRPr="00000000">
        <w:rPr>
          <w:rtl w:val="0"/>
        </w:rPr>
      </w:r>
    </w:p>
    <w:tbl>
      <w:tblPr>
        <w:tblStyle w:val="Table2"/>
        <w:tblW w:w="100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14"/>
        <w:gridCol w:w="1474"/>
        <w:gridCol w:w="3175"/>
        <w:gridCol w:w="1701"/>
        <w:gridCol w:w="1928"/>
        <w:tblGridChange w:id="0">
          <w:tblGrid>
            <w:gridCol w:w="1814"/>
            <w:gridCol w:w="1474"/>
            <w:gridCol w:w="3175"/>
            <w:gridCol w:w="1701"/>
            <w:gridCol w:w="1928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0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Usa o estado?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7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Mecanismo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7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Aprende?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7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Aleatório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Sorteia uma ação válida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Piso de desempenho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Reativo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Regras fixas: atacar se vê; senão caçar/explorar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Adversário padrão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Heurístico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Argmax do valor estratégico multicritério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Pesos (hill-climbing)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Estratégia sem custo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Híbrido (proposto)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Valor estratégico menos custo ponderado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Pesos e lambda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Contribuição da pesquisa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C">
      <w:pPr>
        <w:spacing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Tabela 1: Comparativo dos modelos de tomada de decisão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240"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elaborado pelo autor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 IA aleatória enumera as ações válidas do turno e sorteia uma (gerador semeado — mesmo o acaso é reprodutível). A IA reativa segue três regras em cascata: se há inimigo com linha de tiro reta, ataca o mais próximo; se vê inimigo sem linha de tiro, aproxima-se para alinhar; se não vê ninguém, dirige-se à última posição conhecida ou explora — e cumpre também o papel de adversário padrão contra o qual os modelos avaliados jogam. A IA heurística, instância de Utility AI, avalia a cada turno com contato visual todas as posições alcançáveis pela função: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before="120" w:line="360" w:lineRule="auto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6197600" cy="152400"/>
            <wp:effectExtent b="0" l="0" r="0" t="0"/>
            <wp:docPr descr="&lt;math-flow&gt;{&quot;id&quot;:&quot;84eaa62f-f231-42de-9eb1-828efb6e2f6a&quot;,&quot;latex&quot;:&quot;\\[\\text{ValorEstratégico} = w_1 \\cdot \\text{Vida} + w_2 \\cdot \\text{Cobertura} + w_3 \\cdot \\text{Proximidade} + w_4 \\cdot \\text{Risco} + \\text{Movimentação}\\]&quot;,&quot;timestamp&quot;:1784670028348,&quot;scale&quot;:1.2,&quot;bgColor&quot;:&quot;transparent&quot;,&quot;version&quot;:2}&lt;/math-flow&gt;" id="5" name="image3.png"/>
            <a:graphic>
              <a:graphicData uri="http://schemas.openxmlformats.org/drawingml/2006/picture">
                <pic:pic>
                  <pic:nvPicPr>
                    <pic:cNvPr descr="&lt;math-flow&gt;{&quot;id&quot;:&quot;84eaa62f-f231-42de-9eb1-828efb6e2f6a&quot;,&quot;latex&quot;:&quot;\\[\\text{ValorEstratégico} = w_1 \\cdot \\text{Vida} + w_2 \\cdot \\text{Cobertura} + w_3 \\cdot \\text{Proximidade} + w_4 \\cdot \\text{Risco} + \\text{Movimentação}\\]&quot;,&quot;timestamp&quot;:1784670028348,&quot;scale&quot;:1.2,&quot;bgColor&quot;:&quot;transparent&quot;,&quot;version&quot;:2}&lt;/math-flow&gt;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97600" cy="15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onde Vida é a proporção de pontos de vida do agente; Cobertura é a proteção potencial da posição (0; 0,5 leve; 1 pesada); Proximidade é o inverso da distância ao inimigo visível mais próximo; Risco é a fração de inimigos visíveis com linha de visão para a posição (impacto negativo); e Movimentação é um incentivo fixo de deslocamento — +0,2 por célula percorrida e -0,2 se a posição já foi visitada na partida — que garante manobra constante e impede o entrincheiramento passivo. Os pesos atuais (w1 = 0,1; w2 = 0,3; w3 = 0,5; w4 = -0,2) não são arbitrários: foram selecionados por varredura comparativa no banco de calibração de 200 sementes, isolado do banco de teste, e são continuamente refinados pelo aprendizado entre partidas (Seção 4.5), cujo histórico integral acompanha os resultados.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modelo híbrido proposto — contribuição central da pesquisa — parte da formulação de compromisso entre valor estratégico e custo computacional:</w:t>
      </w:r>
    </w:p>
    <w:p w:rsidR="00000000" w:rsidDel="00000000" w:rsidP="00000000" w:rsidRDefault="00000000" w:rsidRPr="00000000" w14:paraId="00000092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ind w:firstLine="709"/>
        <w:jc w:val="both"/>
        <w:rPr/>
      </w:pPr>
      <w:r w:rsidDel="00000000" w:rsidR="00000000" w:rsidRPr="00000000">
        <w:rPr/>
        <w:drawing>
          <wp:inline distB="19050" distT="19050" distL="19050" distR="19050">
            <wp:extent cx="3352800" cy="139700"/>
            <wp:effectExtent b="0" l="0" r="0" t="0"/>
            <wp:docPr descr="&lt;math-flow&gt;{&quot;id&quot;:&quot;9dc83d5b-1228-4774-b855-ced5e39475a0&quot;,&quot;latex&quot;:&quot;\\[\\text{ScoreAção} = \\text{ValorEstratégico} - \\lambda \\cdot \\text{CustoComputacional}\\]&quot;,&quot;timestamp&quot;:1785015775874,&quot;scale&quot;:1.2,&quot;bgColor&quot;:&quot;transparent&quot;,&quot;version&quot;:2}&lt;/math-flow&gt;" id="7" name="image7.png"/>
            <a:graphic>
              <a:graphicData uri="http://schemas.openxmlformats.org/drawingml/2006/picture">
                <pic:pic>
                  <pic:nvPicPr>
                    <pic:cNvPr descr="&lt;math-flow&gt;{&quot;id&quot;:&quot;9dc83d5b-1228-4774-b855-ced5e39475a0&quot;,&quot;latex&quot;:&quot;\\[\\text{ScoreAção} = \\text{ValorEstratégico} - \\lambda \\cdot \\text{CustoComputacional}\\]&quot;,&quot;timestamp&quot;:1785015775874,&quot;scale&quot;:1.2,&quot;bgColor&quot;:&quot;transparent&quot;,&quot;version&quot;:2}&lt;/math-flow&gt;"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ind w:firstLine="709"/>
        <w:jc w:val="both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A implementação inicial aplicou essa expressão no nível das ações: cada posição candidata teria descontado o custo, em operações contadas, de avaliá-la. Os experimentos de calibração mostraram que essa aplicação é inócua neste domínio, por duas razões mensuradas. Primeiro, a decomposição do custo revelou que o loop de avaliação posicional responde por apenas 16% do consumo total do agente heurístico, enquanto 84% concentra-se na busca de caminho executada a cada turno — de modo que nenhum valor de λ poderia economizar mais que a fração minoritária atingida. Segundo, e mais fundamental: como avaliar qualquer posição custa praticamente o mesmo, o termo subtraído torna-se uma constante idêntica para todas as candidatas e, portanto, não altera qual delas apresenta o maior score. Formalmente, sendo o custo aproximadamente uniforme e igual a k, tem-se que o argumento máximo de (Valor − λk) coincide com o argumento máximo de Valor. Esse resultado negativo delimita a condição de aplicabilidade da formulação: a penalização por ação só discrimina quando as ações diferem entre si em custo.</w:t>
      </w:r>
    </w:p>
    <w:p w:rsidR="00000000" w:rsidDel="00000000" w:rsidP="00000000" w:rsidRDefault="00000000" w:rsidRPr="00000000" w14:paraId="00000096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A partir dessa constatação, o modelo foi reformulado aplicando o mesmo compromisso um nível acima, na decisão sobre o próprio procedimento de decisão. O agente delibera — isto é, executa a avaliação posicional completa — se, e somente se, o valor estratégico em jogo compensar o custo previsto da análise:</w:t>
      </w:r>
    </w:p>
    <w:p w:rsidR="00000000" w:rsidDel="00000000" w:rsidP="00000000" w:rsidRDefault="00000000" w:rsidRPr="00000000" w14:paraId="00000098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360" w:lineRule="auto"/>
        <w:ind w:firstLine="709"/>
        <w:jc w:val="both"/>
        <w:rPr/>
      </w:pPr>
      <w:r w:rsidDel="00000000" w:rsidR="00000000" w:rsidRPr="00000000">
        <w:rPr/>
        <w:drawing>
          <wp:inline distB="19050" distT="19050" distL="19050" distR="19050">
            <wp:extent cx="2298700" cy="139700"/>
            <wp:effectExtent b="0" l="0" r="0" t="0"/>
            <wp:docPr descr="&lt;math-flow&gt;{&quot;id&quot;:&quot;2d0492e0-2738-46b0-8cfe-a7f35bdacc93&quot;,&quot;latex&quot;:&quot;\\[\\text{ValorEmJogo} - \\lambda \\cdot \\text{CustoEstimado} &gt; 0\\]&quot;,&quot;timestamp&quot;:1785015775477,&quot;scale&quot;:1.2,&quot;bgColor&quot;:&quot;transparent&quot;,&quot;version&quot;:2}&lt;/math-flow&gt;" id="6" name="image4.png"/>
            <a:graphic>
              <a:graphicData uri="http://schemas.openxmlformats.org/drawingml/2006/picture">
                <pic:pic>
                  <pic:nvPicPr>
                    <pic:cNvPr descr="&lt;math-flow&gt;{&quot;id&quot;:&quot;2d0492e0-2738-46b0-8cfe-a7f35bdacc93&quot;,&quot;latex&quot;:&quot;\\[\\text{ValorEmJogo} - \\lambda \\cdot \\text{CustoEstimado} &gt; 0\\]&quot;,&quot;timestamp&quot;:1785015775477,&quot;scale&quot;:1.2,&quot;bgColor&quot;:&quot;transparent&quot;,&quot;version&quot;:2}&lt;/math-flow&gt;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3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O ValorEmJogo é estimado por n × (Proximidade + Vulnerabilidade), onde n é o número de inimigos visíveis, Proximidade é o inverso da distância ao mais próximo e Vulnerabilidade é a fração de vida já perdida — grandezas que crescem justamente nas situações em que decidir bem tem maior consequência. O CustoEstimado é o produto do número de posições candidatas pelo custo unitário de avaliação. Quando não há inimigos à vista, o valor em jogo é nulo e a análise nunca se justifica.</w:t>
      </w:r>
    </w:p>
    <w:p w:rsidR="00000000" w:rsidDel="00000000" w:rsidP="00000000" w:rsidRDefault="00000000" w:rsidRPr="00000000" w14:paraId="0000009C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Essa formulação confere ao parâmetro λ o comportamento de espectro previsto na fundamentação teórica: com λ igual a zero o agente delibera sempre, reproduzindo a IA Heurística pura; com λ suficientemente alto nunca delibera, aproximando-se da IA Reativa; e valores intermediários percorrem o compromisso entre ambos.</w:t>
      </w:r>
    </w:p>
    <w:p w:rsidR="00000000" w:rsidDel="00000000" w:rsidP="00000000" w:rsidRDefault="00000000" w:rsidRPr="00000000" w14:paraId="0000009E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  <w:t xml:space="preserve">Quando a deliberação não se justifica, o agente opera em regime econômico: desloca-se por passo guloso na direção do objetivo, verificando apenas as células do próprio caminho — três a seis operações — em vez de expandir toda a vizinhança alcançável, o que exige cerca de vinte e cinco. Caso o caminho guloso seja bloqueado por um obstáculo que a busca completa contornaria, o agente recorre à busca, reservando o gasto elevado às situações em que a alternativa barata falha. A economia é efetivamente medida, e não presumida: cada verificação do passo guloso é contabilizada pelo mesmo instrumento que mede as demais operações, e o caminho traçado é validado em tempo constante por passo, sem repetição da busca.</w:t>
      </w:r>
    </w:p>
    <w:p w:rsidR="00000000" w:rsidDel="00000000" w:rsidP="00000000" w:rsidRDefault="00000000" w:rsidRPr="00000000" w14:paraId="000000A0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4.7. Métricas de avaliação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Para cada modelo, sobre o conjunto de partidas de um lote, calculam-se: WinRate (fração de vitórias); DamageRatio, com limitador contra divisão por zero: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before="120" w:line="360" w:lineRule="auto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3149600" cy="355600"/>
            <wp:effectExtent b="0" l="0" r="0" t="0"/>
            <wp:docPr descr="&lt;math-flow&gt;{&quot;id&quot;:&quot;a4efdf09-eee3-42d0-8450-7793ceef0d64&quot;,&quot;latex&quot;:&quot;\\[\\text{DamageRatio} = \\frac{\\text{dano causado}}{\\max(\\text{dano recebido},\\ \\varepsilon)}, \\quad \\varepsilon = 1\\]&quot;,&quot;timestamp&quot;:1784670027528,&quot;scale&quot;:1.2,&quot;bgColor&quot;:&quot;transparent&quot;,&quot;version&quot;:2}&lt;/math-flow&gt;" id="8" name="image2.png"/>
            <a:graphic>
              <a:graphicData uri="http://schemas.openxmlformats.org/drawingml/2006/picture">
                <pic:pic>
                  <pic:nvPicPr>
                    <pic:cNvPr descr="&lt;math-flow&gt;{&quot;id&quot;:&quot;a4efdf09-eee3-42d0-8450-7793ceef0d64&quot;,&quot;latex&quot;:&quot;\\[\\text{DamageRatio} = \\frac{\\text{dano causado}}{\\max(\\text{dano recebido},\\ \\varepsilon)}, \\quad \\varepsilon = 1\\]&quot;,&quot;timestamp&quot;:1784670027528,&quot;scale&quot;:1.2,&quot;bgColor&quot;:&quot;transparent&quot;,&quot;version&quot;:2}&lt;/math-flow&gt;"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CoverUsage (fração dos turnos em que o agente terminou em posição com cobertura adjacente); TurnsToVictory (média de turnos para vencer, com empates penalizados pelo valor máximo de 100 e derrotas excluídas); e CustoComputacionalMedio (média por partida das operações contadas na decisão). Cada partida atribui ainda uma pontuação: +3 por vitória, -1 por empate e -3 por derrota. O empate é deliberadamente penalizado porque um modelo que apenas sobrevive sem decidir a partida não demonstra eficácia estratégica; a média de pontos por partida (faixa -3 a +3) mostrou-se a métrica mais legível para comparação direta. As dimensões individuais são agregadas no escore composto: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before="120" w:line="360" w:lineRule="auto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5735003" cy="352425"/>
            <wp:effectExtent b="0" l="0" r="0" t="0"/>
            <wp:docPr descr="&lt;math-flow&gt;{&quot;id&quot;:&quot;5dad83ec-14d9-4cc2-858a-0dff8c098bb1&quot;,&quot;latex&quot;:&quot;\\[\\text{StrategicScore} = 0{,}3 \\cdot \\text{WinRate} + 0{,}2 \\cdot \\text{DamageRatio} + 0{,}2 \\cdot \\text{CoverUsage} + 0{,}2 \\cdot \\text{Efficiency} + 0{,}1 \\cdot \\frac{1}{\\max(\\text{Custo},\\ \\varepsilon)}\\]&quot;,&quot;timestamp&quot;:1784670027082,&quot;scale&quot;:1.2,&quot;bgColor&quot;:&quot;transparent&quot;,&quot;version&quot;:2}&lt;/math-flow&gt;" id="1" name="image6.png"/>
            <a:graphic>
              <a:graphicData uri="http://schemas.openxmlformats.org/drawingml/2006/picture">
                <pic:pic>
                  <pic:nvPicPr>
                    <pic:cNvPr descr="&lt;math-flow&gt;{&quot;id&quot;:&quot;5dad83ec-14d9-4cc2-858a-0dff8c098bb1&quot;,&quot;latex&quot;:&quot;\\[\\text{StrategicScore} = 0{,}3 \\cdot \\text{WinRate} + 0{,}2 \\cdot \\text{DamageRatio} + 0{,}2 \\cdot \\text{CoverUsage} + 0{,}2 \\cdot \\text{Efficiency} + 0{,}1 \\cdot \\frac{1}{\\max(\\text{Custo},\\ \\varepsilon)}\\]&quot;,&quot;timestamp&quot;:1784670027082,&quot;scale&quot;:1.2,&quot;bgColor&quot;:&quot;transparent&quot;,&quot;version&quot;:2}&lt;/math-flow&gt;"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5003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before="120" w:line="360" w:lineRule="auto"/>
        <w:jc w:val="center"/>
        <w:rPr/>
      </w:pPr>
      <w:r w:rsidDel="00000000" w:rsidR="00000000" w:rsidRPr="00000000">
        <w:rPr/>
        <w:drawing>
          <wp:inline distB="19050" distT="19050" distL="19050" distR="19050">
            <wp:extent cx="2514600" cy="355600"/>
            <wp:effectExtent b="0" l="0" r="0" t="0"/>
            <wp:docPr descr="&lt;math-flow&gt;{&quot;id&quot;:&quot;752f6c3a-cbe3-44cc-81b9-d9de0883b22f&quot;,&quot;latex&quot;:&quot;\\[\\text{Efficiency} = \\frac{1}{\\max(\\text{TurnsToVictory},\\ 1)}\\]&quot;,&quot;timestamp&quot;:1784670026522,&quot;scale&quot;:1.2,&quot;bgColor&quot;:&quot;transparent&quot;,&quot;version&quot;:2}&lt;/math-flow&gt;" id="3" name="image1.png"/>
            <a:graphic>
              <a:graphicData uri="http://schemas.openxmlformats.org/drawingml/2006/picture">
                <pic:pic>
                  <pic:nvPicPr>
                    <pic:cNvPr descr="&lt;math-flow&gt;{&quot;id&quot;:&quot;752f6c3a-cbe3-44cc-81b9-d9de0883b22f&quot;,&quot;latex&quot;:&quot;\\[\\text{Efficiency} = \\frac{1}{\\max(\\text{TurnsToVictory},\\ 1)}\\]&quot;,&quot;timestamp&quot;:1784670026522,&quot;scale&quot;:1.2,&quot;bgColor&quot;:&quot;transparent&quot;,&quot;version&quot;:2}&lt;/math-flow&gt;"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Na prática, a fórmula é uma definição operacional de jogar bem: vencer (30%), causar mais dano do que receber (20%), usar o terreno (20%), vencer rápido (20%) e decidir barato (10%) — pesos fixados a priori, antes de qualquer comparação entre modelos, para que não possam favorecer o modelo proposto. Uma limitação conhecida é registrada com transparência: o DamageRatio não é normalizado à faixa das demais componentes e pode dominar o escore quando um modelo vence sem receber dano; a adoção de um teto está em avaliação com a orientação, e qualquer alteração será aplicada uniformemente a todos os modelos. Por essa razão, as análises reportam sempre as métricas individuais ao lado do escore composto.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spacing w:after="12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4.8. Protocolo experimental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Dois bancos congelados e disjuntos de sementes foram gerados uma única vez por um gerador congruente linear documentado: 200 sementes de calibração, usadas exclusivamente para ajuste de pesos e de lambda, e 1000 sementes de benchmark, reservadas à avaliação — a separação previne sobreajuste e os arquivos são imutáveis e versionados. Três mecanismos garantem que diferenças de desempenho sejam atribuíveis aos modelos: sorteio de setores de nascimento (vantagem de terreno), rotação uniforme de iniciativa (vantagem de primeiro turno) e combate determinístico (variância de sorte).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ind w:firstLine="709"/>
        <w:jc w:val="both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A campanha de coleta segue etapas ordenadas, cada uma com 1000 partidas documentadas: (1) autoconfronto por modelo — três instâncias do mesmo modelo por partida —, caracterizando o comportamento decisório de cada um isoladamente; (2) confronto misto, com um agente de cada modelo; (3) análise das métricas decisórias e identificação dos melhores comportamentos; (4) construção do modelo híbrido a partir do que os dados mostrarem; (5) avaliação final do híbrido contra cada modelo e contra os melhores identificados, verificando a hipótese de superioridade em eficácia e custo. Todas as execuções usam o mesmo banco de 1000 sementes, garantindo comparabilidade integral. O pipeline é determinístico de ponta a ponta — mesma semente, mesmos modelos, mesmos parâmetros produzem partidas byte a byte idênticas, propriedade verificada por reexecução integral de lotes.</w:t>
        <w:br w:type="textWrapping"/>
      </w:r>
      <w:r w:rsidDel="00000000" w:rsidR="00000000" w:rsidRPr="00000000">
        <w:rPr>
          <w:rtl w:val="0"/>
        </w:rPr>
        <w:t xml:space="preserve">A calibração do modelo híbrido foi conduzida exclusivamente sobre o banco de 200 sementes reservado a esse fim, com varredura do parâmetro λ nos valores 0; 0,002; 0,005; 0,01 e 0,02. O valor adotado, λ = 0,005, corresponde ao joelho da curva de compromisso: preserva a eficácia máxima observada no modelo enquanto reduz o consumo em quinze por cento relativamente à deliberação irrestrita. Um mecanismo adicional de poda — limitar o número de candidatas avaliadas por turno — foi testado e descartado por reduzir a eficácia sem economia correspondente; permanece implementado, porém desativado por padrão, e o resultado está registrado.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360" w:lineRule="auto"/>
        <w:ind w:firstLine="709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after="12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4.9. Arquitetura e infraestrutura experimental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 software separa estritamente as responsabilidades: o núcleo de simulação não conhece a lógica das IAs; cada IA implementa um contrato único — receber o estado e devolver uma ação — e a simulação valida e aplica a ação devolvida. Trocar o modelo de um jogador é uma operação de um argumento de linha de comando, garantindo que todos os modelos joguem exatamente o mesmo jogo. Cada lote gera uma pasta autodocumentada e imutável contendo o manifesto da execução (condições completas), o registro por partida (uma linha por jogador, com métricas brutas, derivadas e custo aberto por tipo de operação), o resumo agregado (médias, desvios-padrão e escore), o registro do aprendizado janela a janela e, opcionalmente, o registro turno a turno. Um lote de 1000 partidas executa em 70 a 120 segundos em modo headless. O código, os bancos de sementes e as execuções oficiais são versionados em repositório público.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RESULTADOS E IMPACTOS ESPERADOS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Espera-se demonstrar que o modelo híbrido proposto alcança eficácia estratégica igual ou superior à do modelo heurístico puro com custo computacional significativamente menor, validando a hipótese de que a formalização explícita do compromisso qualidade-custo produz agentes mais eficientes. Como impactos, o trabalho entrega uma metodologia de avaliação reprodutível e independente de hardware, um simulador aberto reutilizável por outras pesquisas e evidências quantitativas sobre o valor marginal do processamento na tomada de decisão tática.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5.1. Resultados Preliminares (Parciais)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after="12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5.1.1. Validação da neutralidade do ambiente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Antes de comparar modelos, validou-se o instrumento: 1000 partidas do banco de benchmark foram executadas com os três agentes controlados pela mesma IA reativa. Em ambiente neutro, as taxas de vitória devem ser estatisticamente indistinguíveis — qualquer assimetria sistemática denunciaria viés de terreno, cor ou iniciativa. A Tabela 2 apresenta o resultado.</w:t>
      </w:r>
      <w:r w:rsidDel="00000000" w:rsidR="00000000" w:rsidRPr="00000000">
        <w:rPr>
          <w:rtl w:val="0"/>
        </w:rPr>
      </w:r>
    </w:p>
    <w:tbl>
      <w:tblPr>
        <w:tblStyle w:val="Table3"/>
        <w:tblW w:w="95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1"/>
        <w:gridCol w:w="1474"/>
        <w:gridCol w:w="3175"/>
        <w:gridCol w:w="3175"/>
        <w:tblGridChange w:id="0">
          <w:tblGrid>
            <w:gridCol w:w="1701"/>
            <w:gridCol w:w="1474"/>
            <w:gridCol w:w="3175"/>
            <w:gridCol w:w="3175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0B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B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WinRate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DamageRatio (média ± dp)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CoverUsage (média ± dp)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0,297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5,32 ± 12,03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0,058 ± 0,152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Vermelho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0,298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6,24 ± 13,38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0,055 ± 0,145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Azul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0,310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6,48 ± 13,81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0,053 ± 0,147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spacing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Tabela 2: Validação de neutralidade — 3 agentes idênticos (IA reativa), 1000 partidas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elaborado pelo autor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Com N = 1000 e probabilidade de referência de 1/3, a flutuação estatística esperada é de aproximadamente 1,5 ponto percentual; a maior diferença observada foi de 1,3 ponto — dentro do ruído. Conclui-se que o sorteio de setores e a rotação de iniciativa neutralizam os vieses com sucesso, e que diferenças observadas doravante são atribuíveis aos modelos. Esta validação foi executada na versão inicial das mecânicas e será reexecutada como primeira etapa da campanha definitiva, sob o conjunto final de regras.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spacing w:after="12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5.1.2. Efeito da percepção limitada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 introdução do campo de visão produziu um resultado metodologicamente relevante: sob onisciência, a IA heurística vencia com folga a reativa; com percepção limitada, a vantagem praticamente desapareceu (WinRate de 0,30 para todas em lote de calibração). A avaliação posicional só agrega valor durante o contato visual, e partidas com busca às cegas comprimem a diferença entre modelos — achado que reforça a motivação do modelo híbrido: concentrar o gasto computacional nos momentos em que a avaliação de fato informa a decisão.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12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5.1.3. Efeito da linha de tiro reta e do incentivo de movimentação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Duas regras subsequentes recuperaram e ampliaram a diferenciação estratégica: a restrição de tiro em linha reta tornou a cobertura direcional efetiva, e o incentivo de movimentação eliminou o entrincheiramento passivo. A Tabela 3 apresenta o lote de calibração mais recente (30 partidas, banco de calibração), com a heurística enfrentando duas reativas.</w:t>
      </w:r>
      <w:r w:rsidDel="00000000" w:rsidR="00000000" w:rsidRPr="00000000">
        <w:rPr>
          <w:rtl w:val="0"/>
        </w:rPr>
      </w:r>
    </w:p>
    <w:tbl>
      <w:tblPr>
        <w:tblStyle w:val="Table4"/>
        <w:tblW w:w="83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8"/>
        <w:gridCol w:w="1928"/>
        <w:gridCol w:w="1928"/>
        <w:gridCol w:w="1928"/>
        <w:tblGridChange w:id="0">
          <w:tblGrid>
            <w:gridCol w:w="2608"/>
            <w:gridCol w:w="1928"/>
            <w:gridCol w:w="1928"/>
            <w:gridCol w:w="1928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0C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C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Heurística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C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Reativa (1)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C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Reativa (2)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Pontuação média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-0,20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-1,20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-1,60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WinRate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0,333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0,167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DamageRatio médio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6,60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2,82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1,93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CoverUsage médio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0,128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0,071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0,106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Custo computacional médio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1401,1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884,7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989,6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StrategicScore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1,448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0,630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0,440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Tabela 3: Lote de calibração — heurística vs. duas reativas (30 partidas, regras completas)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240"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elaborado pelo autor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A heurística lidera todas as dimensões de eficácia — vence o dobro da melhor reativa — ao custo de cerca de 50% mais operações por partida. Esse retrato quantifica exatamente o eixo da pesquisa: qualidade estratégica custa processamento, e o modelo híbrido buscará o ponto ótimo dessa troca.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3"/>
        <w:spacing w:after="12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5.1.4. Aprendizado registrado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 mecanismo de aprendizado entre partidas produz registro auditável. Em lote ilustrativo de 60 partidas, a primeira janela (pesos iniciais) obteve média de -0,84 pontos e foi adotada como referência; a perturbação testada na segunda janela piorou a média para -1,00 e foi revertida, com o modelo retornando à melhor configuração conhecida — comportamento esperado da subida de encosta, visível no arquivo de aprendizado que acompanha cada execução. No momento da escrita, a etapa 1 da campanha definitiva (autoconfrontos de 1000 partidas por modelo) está em execução.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1"/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CRONOGRAMA</w:t>
      </w:r>
      <w:r w:rsidDel="00000000" w:rsidR="00000000" w:rsidRPr="00000000">
        <w:rPr>
          <w:rtl w:val="0"/>
        </w:rPr>
      </w:r>
    </w:p>
    <w:tbl>
      <w:tblPr>
        <w:tblStyle w:val="Table5"/>
        <w:tblW w:w="8392.000000000004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8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gridCol w:w="482"/>
        <w:tblGridChange w:id="0">
          <w:tblGrid>
            <w:gridCol w:w="2608"/>
            <w:gridCol w:w="482"/>
            <w:gridCol w:w="482"/>
            <w:gridCol w:w="482"/>
            <w:gridCol w:w="482"/>
            <w:gridCol w:w="482"/>
            <w:gridCol w:w="482"/>
            <w:gridCol w:w="482"/>
            <w:gridCol w:w="482"/>
            <w:gridCol w:w="482"/>
            <w:gridCol w:w="482"/>
            <w:gridCol w:w="482"/>
            <w:gridCol w:w="482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E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Fev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E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Abr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F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F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Jul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F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F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0F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Projeto e revisão de literatura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Simulador (Fases 1-2)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Modelos básicos de 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Campanha de coleta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Análise intermediária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híbrido e calibração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Avaliação final (benchmark)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Escrita do TCC e artigos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spacing w:after="240"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elaborado pelo autor (2026).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1"/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7. ORÇAMENTO FINANCEIRO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Este trabalho utiliza exclusivamente ferramentas gratuitas e de código aberto (motor Godot, linguagem GDScript, Python para análise, Git para versionamento) e equipamentos já disponíveis, não sendo necessário orçamento extra.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8. DISSEMINAÇÃO DOS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Este trabalho poderá ser publicado pelo menos na Jornada Científica e Tecnológica do IFSULDEMINAS. Adicionalmente, o simulador, os bancos de sementes, as execuções oficiais e toda a documentação são mantidos em repositório público (github.com/madeiragab/tcc-simulador-ia), permitindo verificação independente e reutilização por outras pesquisas.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pStyle w:val="Heading1"/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9. REFERÊNCIAS BIBLIOGRÁFICAS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line="240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BROWNE, C. B. et al.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 Survey of Monte Carlo Tree Search Methods</w:t>
      </w:r>
      <w:r w:rsidDel="00000000" w:rsidR="00000000" w:rsidRPr="00000000">
        <w:rPr>
          <w:sz w:val="24"/>
          <w:szCs w:val="24"/>
          <w:rtl w:val="0"/>
        </w:rPr>
        <w:t xml:space="preserve">. IEEE Transactions on Computational Intelligence and AI in Games, v. 4, n. 1, p. 1-43, 2012.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40" w:line="240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GODOT ENGINE.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Godot Engine Documentation</w:t>
      </w:r>
      <w:r w:rsidDel="00000000" w:rsidR="00000000" w:rsidRPr="00000000">
        <w:rPr>
          <w:sz w:val="24"/>
          <w:szCs w:val="24"/>
          <w:rtl w:val="0"/>
        </w:rPr>
        <w:t xml:space="preserve">. 2026. Disponível em: &lt;https://docs.godotengine.org&gt;. Acesso em: 21/07/2026.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line="240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MARCOTTE, R.; HAMILTON, H. J.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Behavior Trees for Modelling Artificial Intelligence in Games: A Tutorial</w:t>
      </w:r>
      <w:r w:rsidDel="00000000" w:rsidR="00000000" w:rsidRPr="00000000">
        <w:rPr>
          <w:sz w:val="24"/>
          <w:szCs w:val="24"/>
          <w:rtl w:val="0"/>
        </w:rPr>
        <w:t xml:space="preserve">. The Computer Games Journal, v. 6, p. 171-184, 2017.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240" w:line="240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MARK, D.; DILL, K.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Improving AI Decision Modeling Through Utility Theory</w:t>
      </w:r>
      <w:r w:rsidDel="00000000" w:rsidR="00000000" w:rsidRPr="00000000">
        <w:rPr>
          <w:sz w:val="24"/>
          <w:szCs w:val="24"/>
          <w:rtl w:val="0"/>
        </w:rPr>
        <w:t xml:space="preserve">. In: Game Developers Conference, 2010, São Francisco. GDC Vault, 2010.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240" w:line="240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MILLINGTON, I.; FUNGE, J.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Artificial Intelligence for Games</w:t>
      </w:r>
      <w:r w:rsidDel="00000000" w:rsidR="00000000" w:rsidRPr="00000000">
        <w:rPr>
          <w:sz w:val="24"/>
          <w:szCs w:val="24"/>
          <w:rtl w:val="0"/>
        </w:rPr>
        <w:t xml:space="preserve">. 2. ed. Boca Raton: CRC Press, 2016.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240" w:line="240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PÉREZ-LIÉBANA, D. et al.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General Video Game AI: A Multitrack Framework for Evaluating Agents, Games, and Content Generation Algorithms</w:t>
      </w:r>
      <w:r w:rsidDel="00000000" w:rsidR="00000000" w:rsidRPr="00000000">
        <w:rPr>
          <w:sz w:val="24"/>
          <w:szCs w:val="24"/>
          <w:rtl w:val="0"/>
        </w:rPr>
        <w:t xml:space="preserve">. IEEE Transactions on Games, v. 11, n. 3, p. 195-214, 2019.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40" w:line="240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RUSSELL, S.; NORVIG, P.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Artificial Intelligence: A Modern Approach</w:t>
      </w:r>
      <w:r w:rsidDel="00000000" w:rsidR="00000000" w:rsidRPr="00000000">
        <w:rPr>
          <w:sz w:val="24"/>
          <w:szCs w:val="24"/>
          <w:rtl w:val="0"/>
        </w:rPr>
        <w:t xml:space="preserve">. 3. ed. Upper Saddle River: Pearson, 2010.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line="36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Muzambinho, 21 de julho de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1"/>
        <w:pageBreakBefore w:val="1"/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APÊNDICE A – ESTRUTURA DOS DADOS COLETADOS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Cada execução de lote gera uma pasta imutável com carimbo de data e hora contendo os arquivos descritos a seguir, todos em formatos abertos (texto e CSV).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360" w:lineRule="auto"/>
        <w:ind w:firstLine="709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manifest.txt</w:t>
      </w:r>
      <w:r w:rsidDel="00000000" w:rsidR="00000000" w:rsidRPr="00000000">
        <w:rPr>
          <w:sz w:val="24"/>
          <w:szCs w:val="24"/>
          <w:rtl w:val="0"/>
        </w:rPr>
        <w:t xml:space="preserve"> — condições da execução: data e hora, versão do motor, banco e faixa de sementes, regra de rotação de iniciativa, modelo de IA de cada jogador, constantes de jogo (dano base 30; reduções 10/20; limite 100 turnos; movimento 3; vida 100; visão 8; cone 120 graus), parâmetros de IA e duração.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line="360" w:lineRule="auto"/>
        <w:ind w:firstLine="709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partidas.csv</w:t>
      </w:r>
      <w:r w:rsidDel="00000000" w:rsidR="00000000" w:rsidRPr="00000000">
        <w:rPr>
          <w:sz w:val="24"/>
          <w:szCs w:val="24"/>
          <w:rtl w:val="0"/>
        </w:rPr>
        <w:t xml:space="preserve"> — uma linha por jogador por partida: identificador, semente, jogador que iniciou, jogador, modelo, vencedor, indicador de vitória, pontos (+3/-1/-3), turnos, dano causado e recebido, DamageRatio, CoverUsage, custo total e custo aberto por tipo de operação (linha de visão, nós de busca, ações avaliadas).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line="360" w:lineRule="auto"/>
        <w:ind w:firstLine="709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resumo.csv</w:t>
      </w:r>
      <w:r w:rsidDel="00000000" w:rsidR="00000000" w:rsidRPr="00000000">
        <w:rPr>
          <w:sz w:val="24"/>
          <w:szCs w:val="24"/>
          <w:rtl w:val="0"/>
        </w:rPr>
        <w:t xml:space="preserve"> — agregados por jogador: partidas, pontuação total e média, WinRate, DamageRatio e CoverUsage (média e desvio-padrão), TurnsToVictory, Efficiency, custo médio e desvio, StrategicScore.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line="360" w:lineRule="auto"/>
        <w:ind w:firstLine="709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aprendizado.csv</w:t>
      </w:r>
      <w:r w:rsidDel="00000000" w:rsidR="00000000" w:rsidRPr="00000000">
        <w:rPr>
          <w:sz w:val="24"/>
          <w:szCs w:val="24"/>
          <w:rtl w:val="0"/>
        </w:rPr>
        <w:t xml:space="preserve"> — evolução do aprendizado janela a janela: pesos testados, média de pontos da janela e decisão (adotado/revertido).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line="360" w:lineRule="auto"/>
        <w:ind w:firstLine="709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turnos.csv</w:t>
      </w:r>
      <w:r w:rsidDel="00000000" w:rsidR="00000000" w:rsidRPr="00000000">
        <w:rPr>
          <w:sz w:val="24"/>
          <w:szCs w:val="24"/>
          <w:rtl w:val="0"/>
        </w:rPr>
        <w:t xml:space="preserve"> (opcional) — registro fino turno a turno: ação escolhida, posição, proteção por cobertura e inimigos visíveis de cada agente.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pageBreakBefore w:val="1"/>
        <w:spacing w:after="240" w:before="240" w:line="360" w:lineRule="auto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APÊNDICE B – CORRESPONDÊNCIA COM OS APONTAMENTOS DA BANCA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line="360" w:lineRule="auto"/>
        <w:ind w:firstLine="709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 quadro abaixo mapeia cada apontamento da banca de qualificação para a seção deste documento que o responde.</w:t>
      </w:r>
      <w:r w:rsidDel="00000000" w:rsidR="00000000" w:rsidRPr="00000000">
        <w:rPr>
          <w:rtl w:val="0"/>
        </w:rPr>
      </w:r>
    </w:p>
    <w:tbl>
      <w:tblPr>
        <w:tblStyle w:val="Table6"/>
        <w:tblW w:w="8392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29"/>
        <w:gridCol w:w="4763"/>
        <w:tblGridChange w:id="0">
          <w:tblGrid>
            <w:gridCol w:w="3629"/>
            <w:gridCol w:w="4763"/>
          </w:tblGrid>
        </w:tblGridChange>
      </w:tblGrid>
      <w:tr>
        <w:trPr>
          <w:cantSplit w:val="0"/>
          <w:tblHeader w:val="0"/>
        </w:trPr>
        <w:tc>
          <w:tcPr>
            <w:shd w:fill="e8e8e8" w:val="clear"/>
          </w:tcPr>
          <w:p w:rsidR="00000000" w:rsidDel="00000000" w:rsidP="00000000" w:rsidRDefault="00000000" w:rsidRPr="00000000" w14:paraId="0000017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Apontamento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8e8e8" w:val="clear"/>
          </w:tcPr>
          <w:p w:rsidR="00000000" w:rsidDel="00000000" w:rsidP="00000000" w:rsidRDefault="00000000" w:rsidRPr="00000000" w14:paraId="0000017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Resposta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Não seguiu o modelo padrão de pré-projeto da instituição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Documento reestruturado integralmente conforme o modelo institucional (capa, Informações Gerais, seções 1-9, cronograma mensal)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Ausência de resultados parciais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Seção 5.1 (neutralidade validada com 1000 partidas; calibração; aprendizado)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será medido o custo computacional abstrato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Seção 4.4 (contagem de operações: linha de visão, nós de busca, ações avaliadas)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Jogo existente ou novo? Que gênero?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Seção 4, abertura (jogo novo em Godot; tático por turnos em grade, 3 agentes)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Diferença prática entre os quatro modelos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Tabela 1 e Seção 4.6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que significa resolução sequencial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Seção 4.3 (um agente por vez sobre estado atualizado; sem simultaneidade)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funciona a ordem alternada entre rodadas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Seção 4.3 (rotação determinística: partida i inicia pelo agente i mod 3)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foi definido o limite de 100 turnos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Seção 4.3 (empírico: durações médias de 30-90 turnos; teto de segurança)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que conta como cobertura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Seção 4.3 (célula de cobertura; proteção direcional; leve -10, pesada -20)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Quantos agentes por equipe; controle por turno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Seções 4.2 e 4.3 (3 agentes independentes, sem equipes; um por vez)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Dois agentes podem atacar o mesmo alvo?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Seção 4.3 (adversários independentes; cada um decide em seu turno)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Há aprendizado entre partidas?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Seção 4.5 (subida de encosta por janelas; registro em arquivo; reset por lote)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Origem dos pesos da heurística (w1..w4)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Seção 4.6 (varredura no banco de calibração + aprendizado; valores atuais)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que o Strategic Score representa; por que esses pesos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Seção 4.7 (definição operacional de jogar bem; pesos a priori; limitação registrada)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mapa 40x40 foi testado?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Seções 4.1 e 5.1 (validado: durações, neutralidade, escala de lote)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9">
      <w:pPr>
        <w:spacing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Quadro 1: Apontamentos da banca e seções correspondentes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line="240" w:lineRule="auto"/>
        <w:jc w:val="center"/>
        <w:rPr/>
      </w:pPr>
      <w:r w:rsidDel="00000000" w:rsidR="00000000" w:rsidRPr="00000000">
        <w:rPr>
          <w:sz w:val="20"/>
          <w:szCs w:val="20"/>
          <w:rtl w:val="0"/>
        </w:rPr>
        <w:t xml:space="preserve">Fonte: elaborado pelo autor (2026).</w:t>
      </w:r>
      <w:r w:rsidDel="00000000" w:rsidR="00000000" w:rsidRPr="00000000">
        <w:rPr>
          <w:rtl w:val="0"/>
        </w:rPr>
      </w:r>
    </w:p>
    <w:sectPr>
      <w:footerReference r:id="rId14" w:type="default"/>
      <w:type w:val="nextPage"/>
      <w:pgSz w:h="16838" w:w="11906" w:orient="portrait"/>
      <w:pgMar w:bottom="1134" w:top="1701" w:left="1701" w:right="1134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9B">
    <w:pPr>
      <w:jc w:val="right"/>
      <w:rPr/>
    </w:pPr>
    <w:r w:rsidDel="00000000" w:rsidR="00000000" w:rsidRPr="00000000">
      <w:rPr>
        <w:b w:val="1"/>
        <w:bCs w:val="1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360" w:lineRule="auto"/>
    </w:pPr>
    <w:rPr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line="36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spacing w:line="360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1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