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240" w:lineRule="auto"/>
        <w:jc w:val="center"/>
      </w:pPr>
      <w:r>
        <w:rPr>
          <w:sz w:val="24"/>
          <w:szCs w:val="24"/>
          <w:highlight w:val="yellow"/>
        </w:rPr>
        <w:t xml:space="preserve">[Inserir brasão da República]</w:t>
      </w:r>
    </w:p>
    <w:p>
      <w:pPr>
        <w:spacing w:line="240" w:lineRule="auto"/>
        <w:jc w:val="center"/>
      </w:pPr>
      <w:r>
        <w:rPr>
          <w:b/>
          <w:sz w:val="20"/>
          <w:szCs w:val="20"/>
        </w:rPr>
        <w:t xml:space="preserve">MINISTÉRIO DA EDUCAÇÃO</w:t>
      </w:r>
    </w:p>
    <w:p>
      <w:pPr>
        <w:spacing w:line="240" w:lineRule="auto"/>
        <w:jc w:val="center"/>
      </w:pPr>
      <w:r>
        <w:rPr>
          <w:b/>
          <w:sz w:val="20"/>
          <w:szCs w:val="20"/>
        </w:rPr>
        <w:t xml:space="preserve">SECRETARIA DE EDUCAÇÃO PROFISSIONAL E TECNOLÓGICA</w:t>
      </w:r>
    </w:p>
    <w:p>
      <w:pPr>
        <w:spacing w:line="240" w:lineRule="auto"/>
        <w:jc w:val="center"/>
      </w:pPr>
      <w:r>
        <w:rPr>
          <w:b/>
          <w:sz w:val="20"/>
          <w:szCs w:val="20"/>
        </w:rPr>
        <w:t xml:space="preserve">INSTITUTO FEDERAL DE EDUCAÇÃO, CIÊNCIA E TECNOLOGIA DO SUL DE MINAS GERAIS</w:t>
      </w:r>
    </w:p>
    <w:p>
      <w:pPr>
        <w:spacing w:line="240" w:lineRule="auto"/>
        <w:jc w:val="center"/>
      </w:pPr>
      <w:r>
        <w:rPr>
          <w:b/>
          <w:sz w:val="20"/>
          <w:szCs w:val="20"/>
        </w:rPr>
        <w:t xml:space="preserve">CIÊNCIA DA COMPUTAÇÃO</w:t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b/>
          <w:sz w:val="24"/>
          <w:szCs w:val="24"/>
        </w:rPr>
        <w:t xml:space="preserve">Projeto de Trabalho de Conclusão de Curso</w:t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>Simulador Tático para Avaliação de Inteligência Artificial: equilíbrio entre qualidade estratégica e custo computacional na tomada de decisão de agentes autônomos</w:t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>Ciências Exatas e da Terra, Ciência da Computação e Metodologia e Técnicas da Computação</w:t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>2026</w:t>
      </w:r>
    </w:p>
    <w:p>
      <w:pPr>
        <w:spacing w:line="360" w:lineRule="auto"/>
        <w:jc w:val="center"/>
      </w:pPr>
      <w:r>
        <w:rPr>
          <w:sz w:val="24"/>
          <w:szCs w:val="24"/>
          <w:highlight w:val="yellow"/>
        </w:rPr>
        <w:t xml:space="preserve">Muzambinho – MG</w:t>
      </w:r>
    </w:p>
    <w:p>
      <w:pPr>
        <w:spacing w:line="240" w:lineRule="auto"/>
        <w:jc w:val="both"/>
        <w:sectPr>
          <w:pgSz w:w="11906" w:h="16838"/>
          <w:pgMar w:top="1701" w:right="1134" w:bottom="1134" w:left="1701" w:header="708" w:footer="708" w:gutter="0"/>
        </w:sectPr>
      </w:pPr>
      <w:r>
        <w:rPr>
          <w:sz w:val="24"/>
          <w:szCs w:val="24"/>
        </w:rPr>
        <w:t xml:space="preserve"/>
      </w:r>
    </w:p>
    <w:p>
      <w:pPr>
        <w:pStyle w:val="Heading1"/>
        <w:spacing w:line="360" w:lineRule="auto" w:after="240"/>
        <w:jc w:val="both"/>
      </w:pPr>
      <w:r>
        <w:rPr>
          <w:b/>
          <w:sz w:val="24"/>
          <w:szCs w:val="24"/>
        </w:rPr>
        <w:t xml:space="preserve">INFORMAÇÕES GERAIS</w:t>
      </w:r>
    </w:p>
    <w:p>
      <w:pPr>
        <w:spacing w:line="360" w:lineRule="auto"/>
        <w:ind w:firstLine="0"/>
        <w:jc w:val="both"/>
      </w:pPr>
      <w:r>
        <w:rPr>
          <w:b/>
          <w:sz w:val="24"/>
          <w:szCs w:val="24"/>
        </w:rPr>
        <w:t xml:space="preserve">Título do projeto: </w:t>
      </w:r>
      <w:r>
        <w:rPr>
          <w:sz w:val="24"/>
          <w:szCs w:val="24"/>
        </w:rPr>
        <w:t xml:space="preserve">Simulador Tático para Avaliação de Inteligência Artificial: equilíbrio entre qualidade estratégica e custo computacional na tomada de decisão de agentes autônomos</w:t>
      </w:r>
    </w:p>
    <w:p>
      <w:pPr>
        <w:spacing w:line="360" w:lineRule="auto"/>
        <w:ind w:firstLine="0"/>
        <w:jc w:val="both"/>
      </w:pPr>
      <w:r>
        <w:rPr>
          <w:sz w:val="24"/>
          <w:szCs w:val="24"/>
        </w:rPr>
        <w:t xml:space="preserve"/>
      </w:r>
    </w:p>
    <w:p>
      <w:pPr>
        <w:spacing w:line="240" w:lineRule="auto"/>
        <w:ind w:firstLine="0"/>
        <w:jc w:val="both"/>
      </w:pPr>
      <w:r>
        <w:rPr>
          <w:b/>
          <w:sz w:val="24"/>
          <w:szCs w:val="24"/>
        </w:rPr>
        <w:t xml:space="preserve">Orientador - Nome: </w:t>
      </w:r>
      <w:r>
        <w:rPr>
          <w:sz w:val="24"/>
          <w:szCs w:val="24"/>
        </w:rPr>
        <w:t xml:space="preserve">Ricardo Martins</w:t>
      </w:r>
    </w:p>
    <w:p>
      <w:pPr>
        <w:spacing w:line="240" w:lineRule="auto"/>
        <w:ind w:firstLine="0"/>
        <w:jc w:val="both"/>
      </w:pPr>
      <w:r>
        <w:rPr>
          <w:sz w:val="24"/>
          <w:szCs w:val="24"/>
        </w:rPr>
        <w:t xml:space="preserve">E-mail: </w:t>
      </w:r>
      <w:r>
        <w:rPr>
          <w:sz w:val="24"/>
          <w:szCs w:val="24"/>
          <w:highlight w:val="yellow"/>
        </w:rPr>
        <w:t xml:space="preserve">[e-mail do orientador]</w:t>
      </w:r>
    </w:p>
    <w:p>
      <w:pPr>
        <w:spacing w:line="240" w:lineRule="auto"/>
        <w:ind w:firstLine="0"/>
        <w:jc w:val="both"/>
      </w:pPr>
      <w:r>
        <w:rPr>
          <w:sz w:val="24"/>
          <w:szCs w:val="24"/>
        </w:rPr>
        <w:t xml:space="preserve">Endereço no Lattes: </w:t>
      </w:r>
      <w:r>
        <w:rPr>
          <w:sz w:val="24"/>
          <w:szCs w:val="24"/>
          <w:highlight w:val="yellow"/>
        </w:rPr>
        <w:t xml:space="preserve">[Lattes do orientador]</w:t>
      </w:r>
    </w:p>
    <w:p>
      <w:pPr>
        <w:spacing w:line="360" w:lineRule="auto"/>
        <w:ind w:firstLine="0"/>
        <w:jc w:val="both"/>
      </w:pPr>
      <w:r>
        <w:rPr>
          <w:sz w:val="24"/>
          <w:szCs w:val="24"/>
        </w:rPr>
        <w:t xml:space="preserve"/>
      </w:r>
    </w:p>
    <w:p>
      <w:pPr>
        <w:spacing w:line="240" w:lineRule="auto"/>
        <w:ind w:firstLine="0"/>
        <w:jc w:val="both"/>
      </w:pPr>
      <w:r>
        <w:rPr>
          <w:b/>
          <w:sz w:val="24"/>
          <w:szCs w:val="24"/>
        </w:rPr>
        <w:t xml:space="preserve">Discente - Nome: </w:t>
      </w:r>
      <w:r>
        <w:rPr>
          <w:sz w:val="24"/>
          <w:szCs w:val="24"/>
        </w:rPr>
        <w:t xml:space="preserve">Gabriel Madeira</w:t>
      </w:r>
    </w:p>
    <w:p>
      <w:pPr>
        <w:spacing w:line="240" w:lineRule="auto"/>
        <w:ind w:firstLine="0"/>
        <w:jc w:val="both"/>
      </w:pPr>
      <w:r>
        <w:rPr>
          <w:sz w:val="24"/>
          <w:szCs w:val="24"/>
        </w:rPr>
        <w:t xml:space="preserve">E-mail: </w:t>
      </w:r>
      <w:r>
        <w:rPr>
          <w:sz w:val="24"/>
          <w:szCs w:val="24"/>
        </w:rPr>
        <w:t xml:space="preserve">gabrielmadeira1504@gmail.com</w:t>
      </w:r>
    </w:p>
    <w:p>
      <w:pPr>
        <w:spacing w:line="240" w:lineRule="auto"/>
        <w:ind w:firstLine="0"/>
        <w:jc w:val="both"/>
      </w:pPr>
      <w:r>
        <w:rPr>
          <w:sz w:val="24"/>
          <w:szCs w:val="24"/>
        </w:rPr>
        <w:t xml:space="preserve">Endereço no Lattes: </w:t>
      </w:r>
      <w:r>
        <w:rPr>
          <w:sz w:val="24"/>
          <w:szCs w:val="24"/>
          <w:highlight w:val="yellow"/>
        </w:rPr>
        <w:t xml:space="preserve">[Lattes do discente]</w:t>
      </w:r>
    </w:p>
    <w:p>
      <w:pPr>
        <w:spacing w:line="360" w:lineRule="auto"/>
        <w:ind w:firstLine="0"/>
        <w:jc w:val="both"/>
      </w:pPr>
      <w:r>
        <w:rPr>
          <w:sz w:val="24"/>
          <w:szCs w:val="24"/>
        </w:rPr>
        <w:t xml:space="preserve"/>
      </w:r>
    </w:p>
    <w:p>
      <w:pPr>
        <w:spacing w:line="360" w:lineRule="auto"/>
        <w:ind w:firstLine="0"/>
        <w:jc w:val="both"/>
      </w:pPr>
      <w:r>
        <w:rPr>
          <w:b/>
          <w:sz w:val="24"/>
          <w:szCs w:val="24"/>
        </w:rPr>
        <w:t xml:space="preserve">Membros do projeto:</w:t>
      </w:r>
    </w:p>
    <w:tbl>
      <w:tblPr>
        <w:tblW w:w="9412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28"/>
        <w:gridCol w:w="1814"/>
        <w:gridCol w:w="2041"/>
        <w:gridCol w:w="1361"/>
        <w:gridCol w:w="2268"/>
      </w:tblGrid>
      <w:tr>
        <w:tc>
          <w:tcPr>
            <w:tcW w:w="1928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Nome</w:t>
            </w:r>
          </w:p>
        </w:tc>
        <w:tc>
          <w:tcPr>
            <w:tcW w:w="1814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Titulação máxima</w:t>
            </w:r>
          </w:p>
        </w:tc>
        <w:tc>
          <w:tcPr>
            <w:tcW w:w="2041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Instituição Pertencente</w:t>
            </w:r>
          </w:p>
        </w:tc>
        <w:tc>
          <w:tcPr>
            <w:tcW w:w="1361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Função</w:t>
            </w:r>
          </w:p>
        </w:tc>
        <w:tc>
          <w:tcPr>
            <w:tcW w:w="2268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E-mail</w:t>
            </w:r>
          </w:p>
        </w:tc>
      </w:tr>
      <w:tr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Gabriel Madeira</w:t>
            </w:r>
          </w:p>
        </w:tc>
        <w:tc>
          <w:tcPr>
            <w:tcW w:w="181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Graduando em Ciência da Computação</w:t>
            </w:r>
          </w:p>
        </w:tc>
        <w:tc>
          <w:tcPr>
            <w:tcW w:w="204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IFSULDEMINAS - Campus Muzambinho</w:t>
            </w:r>
          </w:p>
        </w:tc>
        <w:tc>
          <w:tcPr>
            <w:tcW w:w="136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Autor</w:t>
            </w:r>
          </w:p>
        </w:tc>
        <w:tc>
          <w:tcPr>
            <w:tcW w:w="226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gabrielmadeira1504@gmail.com</w:t>
            </w:r>
          </w:p>
        </w:tc>
      </w:tr>
      <w:tr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Ricardo Martins</w:t>
            </w:r>
          </w:p>
        </w:tc>
        <w:tc>
          <w:tcPr>
            <w:tcW w:w="181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[Titulação]</w:t>
            </w:r>
          </w:p>
        </w:tc>
        <w:tc>
          <w:tcPr>
            <w:tcW w:w="204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IFSULDEMINAS - Campus Muzambinho</w:t>
            </w:r>
          </w:p>
        </w:tc>
        <w:tc>
          <w:tcPr>
            <w:tcW w:w="136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Orientador</w:t>
            </w:r>
          </w:p>
        </w:tc>
        <w:tc>
          <w:tcPr>
            <w:tcW w:w="226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[e-mail]</w:t>
            </w:r>
          </w:p>
        </w:tc>
      </w:tr>
      <w:tr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Diego Penha</w:t>
            </w:r>
          </w:p>
        </w:tc>
        <w:tc>
          <w:tcPr>
            <w:tcW w:w="181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[Titulação]</w:t>
            </w:r>
          </w:p>
        </w:tc>
        <w:tc>
          <w:tcPr>
            <w:tcW w:w="204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IFSULDEMINAS - Campus Muzambinho</w:t>
            </w:r>
          </w:p>
        </w:tc>
        <w:tc>
          <w:tcPr>
            <w:tcW w:w="136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Coorientador</w:t>
            </w:r>
          </w:p>
        </w:tc>
        <w:tc>
          <w:tcPr>
            <w:tcW w:w="226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[e-mail]</w:t>
            </w:r>
          </w:p>
        </w:tc>
      </w:tr>
    </w:tbl>
    <w:p>
      <w:pPr>
        <w:spacing w:line="240" w:lineRule="auto" w:after="240"/>
        <w:jc w:val="center"/>
      </w:pPr>
      <w:r>
        <w:rPr>
          <w:sz w:val="20"/>
          <w:szCs w:val="20"/>
        </w:rPr>
        <w:t xml:space="preserve">Fonte: elaborado pelo autor (2026).</w:t>
      </w:r>
    </w:p>
    <w:p>
      <w:pPr>
        <w:spacing w:line="240" w:lineRule="auto"/>
        <w:ind w:firstLine="0"/>
        <w:jc w:val="both"/>
      </w:pPr>
      <w:r>
        <w:rPr>
          <w:b/>
          <w:sz w:val="24"/>
          <w:szCs w:val="24"/>
        </w:rPr>
        <w:t xml:space="preserve">Local de Execução: </w:t>
      </w:r>
      <w:r>
        <w:rPr>
          <w:sz w:val="24"/>
          <w:szCs w:val="24"/>
        </w:rPr>
        <w:t xml:space="preserve">IFSULDEMINAS – Campus Muzambinho.</w:t>
      </w:r>
    </w:p>
    <w:p>
      <w:pPr>
        <w:spacing w:line="240" w:lineRule="auto"/>
        <w:ind w:firstLine="0"/>
        <w:jc w:val="both"/>
      </w:pPr>
      <w:r>
        <w:rPr>
          <w:b/>
          <w:sz w:val="24"/>
          <w:szCs w:val="24"/>
        </w:rPr>
        <w:t xml:space="preserve">Período de Execução: </w:t>
      </w:r>
      <w:r>
        <w:rPr>
          <w:sz w:val="24"/>
          <w:szCs w:val="24"/>
        </w:rPr>
        <w:t xml:space="preserve">Início: Fevereiro/2026 — Término: Dezembro/2026</w:t>
      </w:r>
    </w:p>
    <w:p>
      <w:pPr>
        <w:pStyle w:val="Heading1"/>
        <w:pageBreakBefore/>
        <w:spacing w:line="360" w:lineRule="auto" w:before="240" w:after="240"/>
        <w:jc w:val="both"/>
      </w:pPr>
      <w:r>
        <w:rPr>
          <w:b/>
          <w:sz w:val="24"/>
          <w:szCs w:val="24"/>
        </w:rPr>
        <w:t xml:space="preserve">1. ANTECEDENTES, CARACTERIZAÇÃO DO PROBLEMA E JUSTIFICATIVA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A tomada de decisão é um dos problemas centrais da Inteligência Artificial. Segundo Russell e Norvig (2010), um agente inteligente é aquele que seleciona, a cada instante, a ação que maximiza sua medida de desempenho no ambiente em que atua. Em ambientes táticos — caracterizados por adversários, terreno com obstáculos, informação imperfeita e recursos limitados — essa seleção envolve equilibrar objetivos conflitantes: agredir e proteger-se, avançar e manter posição, decidir rápido e decidir bem.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Jogos digitais consolidaram-se como plataforma privilegiada para o estudo desses problemas. Técnicas de IA desenvolvidas para jogos servem de base para sistemas reais de decisão (MILLINGTON; FUNGE, 2016), e ambientes simulados permitem testes controlados, repetíveis e de baixo custo para a avaliação de agentes (PÉREZ-LIÉBANA et al., 2019). Abordagens como a Utility AI, que avalia ações candidatas por funções de utilidade multicritério, são amplamente empregadas na indústria (MARK; DILL, 2010).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Entretanto, a literatura e a prática de avaliação de agentes concentram-se, em geral, no resultado final das partidas: um agente é considerado melhor que outro se vence mais. Pouco se mede sobre como vence — se usa o terreno a seu favor, se troca dano de forma eficiente, se decide em tempo hábil e, sobretudo, quanto processamento consome para cada decisão. Essa avaliação baseada apenas em métricas finais limita a análise do comportamento estratégico, pois não captura posicionamento, uso de cobertura, eficiência das ações nem o custo de produzir as decisões.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Disso decorre a questão central deste trabalho: </w:t>
      </w:r>
      <w:r>
        <w:rPr>
          <w:i/>
          <w:sz w:val="24"/>
          <w:szCs w:val="24"/>
        </w:rPr>
        <w:t xml:space="preserve">como avaliar de forma eficaz a qualidade estratégica de agentes de IA em ambientes táticos controlados, considerando simultaneamente o valor das decisões e o custo computacional de produzi-las?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A hipótese investigada é a de que a utilização de métricas compostas, aliada a um modelo de decisão que considera simultaneamente valor estratégico e custo computacional, permite uma avaliação mais precisa do comportamento dos agentes e produz decisões mais eficientes do que abordagens que otimizam apenas o valor estratégico. Em síntese: busca-se verificar se é possível, com uma fórmula explícita de compromisso, chegar a um modelo de decisão mais eficiente.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O trabalho justifica-se em duas frentes. Do ponto de vista científico, contribui com uma metodologia de avaliação que enxerga além da vitória, incorporando dimensões de qualidade decisória e de custo — lacuna apontada na literatura de avaliação de agentes (PÉREZ-LIÉBANA et al., 2019). Do ponto de vista prático, decisões computacionalmente baratas e estrategicamente boas interessam a qualquer sistema embarcado ou de tempo real: jogos comerciais com orçamento de CPU por quadro, robótica móvel e sistemas autônomos em geral. A opção por medir o custo por contagem de operações, e não por tempo de relógio, torna os resultados independentes do hardware utilizado e diretamente comparáveis entre pesquisadores.</w:t>
      </w:r>
    </w:p>
    <w:p>
      <w:pPr>
        <w:pStyle w:val="Heading1"/>
        <w:spacing w:line="360" w:lineRule="auto" w:before="240" w:after="240"/>
        <w:jc w:val="both"/>
      </w:pPr>
      <w:r>
        <w:rPr>
          <w:b/>
          <w:sz w:val="24"/>
          <w:szCs w:val="24"/>
        </w:rPr>
        <w:t xml:space="preserve">2. REFERENCIAL TEÓRICO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2.1. Agentes inteligentes e ambientes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Russell e Norvig (2010) definem agente como qualquer entidade capaz de perceber seu ambiente por meio de sensores e de agir sobre ele por meio de atuadores; um agente racional escolhe ações que maximizam sua medida de desempenho esperada. O ambiente construído neste trabalho classifica-se, na taxonomia dos autores, como parcialmente observável (o agente enxerga apenas o interior do seu cone de visão), multiagente competitivo, determinístico nas transições, sequencial e discreto. A observabilidade parcial é decisiva para o realismo do experimento: agentes oniscientes convergem para comportamentos degenerados que não transferem para problemas reais.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2.2. Inteligência artificial para jogos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Millington e Funge (2016) sistematizam o arsenal clássico da IA para jogos: máquinas de estados, árvores de comportamento (MARCOTTE; HAMILTON, 2017), sistemas de utilidade, pathfinding e táticas de posicionamento. Os autores destacam que a IA de jogos opera sob restrições severas de orçamento computacional — tipicamente uma fração de milissegundo por agente por quadro — o que torna o custo de cada decisão um critério de projeto de primeira ordem.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2.3. Utility AI e decisão multicritério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A abordagem de Utility AI (MARK; DILL, 2010) avalia cada ação candidata por uma função de utilidade que combina múltiplos fatores normalizados e ponderados, arbitrando entre objetivos conflitantes de forma contínua e ajustável. A IA heurística deste trabalho é uma instância direta dessa técnica: cada posição alcançável recebe um valor estratégico multicritério, e a de maior valor é escolhida.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2.4. Avaliação de agentes em ambientes simulados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Pérez-Liébana et al. (2019) consolidaram, com o framework GVGAI, a prática de avaliar agentes de IA em baterias padronizadas com condições idênticas para todos os competidores. Três princípios dessa tradição são incorporados integralmente a este trabalho: bancos fixos de cenários (aqui, sementes de geração procedural), separação estrita entre conjunto de calibração e conjunto de teste, e métricas agregadas sobre grandes quantidades de partidas.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2.5. Custo computacional e o espectro de sofisticação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No extremo sofisticado do espectro de decisão está o Monte Carlo Tree Search (MCTS), que estima o valor de ações explorando árvores de futuros possíveis (BROWNE et al., 2012), alcançando alta qualidade estratégica ao custo de milhares de simulações por decisão. O MCTS é adotado aqui como referência teórica de teto de qualidade, e não como modelo implementado. O modelo híbrido proposto ataca exatamente o eixo que o MCTS ilustra — quanto vale cada unidade adicional de processamento — formalizando o compromisso com um parâmetro explícito de troca, em linha com a discussão de trade-offs de Browne et al. (2012).</w:t>
      </w:r>
    </w:p>
    <w:p>
      <w:pPr>
        <w:pStyle w:val="Heading1"/>
        <w:spacing w:line="360" w:lineRule="auto" w:before="240" w:after="240"/>
        <w:jc w:val="both"/>
      </w:pPr>
      <w:r>
        <w:rPr>
          <w:b/>
          <w:sz w:val="24"/>
          <w:szCs w:val="24"/>
        </w:rPr>
        <w:t xml:space="preserve">3. OBJETIVOS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3.1. Objetivo Geral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Desenvolver um simulador tático bidimensional para avaliação sistemática de estratégias de IA em ambiente controlado, e propor um modelo híbrido de tomada de decisão que equilibre qualidade estratégica e custo computacional, medido de forma independente de hardware por contagem de operações.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3.2. Objetivos Específicos</w:t>
      </w:r>
    </w:p>
    <w:p>
      <w:pPr>
        <w:spacing w:line="360" w:lineRule="auto"/>
        <w:ind w:firstLine="0" w:left="709"/>
        <w:jc w:val="both"/>
      </w:pPr>
      <w:r>
        <w:rPr>
          <w:sz w:val="24"/>
          <w:szCs w:val="24"/>
        </w:rPr>
        <w:t xml:space="preserve">● Construir um ambiente de simulação em grade com mecânicas de combate, cobertura direcional, percepção limitada e geração procedural de mapas por sementes;</w:t>
      </w:r>
    </w:p>
    <w:p>
      <w:pPr>
        <w:spacing w:line="360" w:lineRule="auto"/>
        <w:ind w:firstLine="0" w:left="709"/>
        <w:jc w:val="both"/>
      </w:pPr>
      <w:r>
        <w:rPr>
          <w:sz w:val="24"/>
          <w:szCs w:val="24"/>
        </w:rPr>
        <w:t xml:space="preserve">● Implementar quatro modelos de tomada de decisão com níveis crescentes de sofisticação — aleatório, reativo, heurístico e híbrido — sob um contrato de software comum que garanta comparação justa;</w:t>
      </w:r>
    </w:p>
    <w:p>
      <w:pPr>
        <w:spacing w:line="360" w:lineRule="auto"/>
        <w:ind w:firstLine="0" w:left="709"/>
        <w:jc w:val="both"/>
      </w:pPr>
      <w:r>
        <w:rPr>
          <w:sz w:val="24"/>
          <w:szCs w:val="24"/>
        </w:rPr>
        <w:t xml:space="preserve">● Coletar métricas de desempenho estratégico e de custo computacional em larga escala, com documentação completa e reprodutível de cada execução;</w:t>
      </w:r>
    </w:p>
    <w:p>
      <w:pPr>
        <w:spacing w:line="360" w:lineRule="auto"/>
        <w:ind w:firstLine="0" w:left="709"/>
        <w:jc w:val="both"/>
      </w:pPr>
      <w:r>
        <w:rPr>
          <w:sz w:val="24"/>
          <w:szCs w:val="24"/>
        </w:rPr>
        <w:t xml:space="preserve">● Analisar comparativamente os modelos e verificar se o modelo híbrido proposto supera os demais em eficiência estratégica global.</w:t>
      </w:r>
    </w:p>
    <w:p>
      <w:pPr>
        <w:pStyle w:val="Heading1"/>
        <w:spacing w:line="360" w:lineRule="auto" w:before="240" w:after="240"/>
        <w:jc w:val="both"/>
      </w:pPr>
      <w:r>
        <w:rPr>
          <w:b/>
          <w:sz w:val="24"/>
          <w:szCs w:val="24"/>
        </w:rPr>
        <w:t xml:space="preserve">4. METODOLOGIA E ESTRATÉGIA DE AÇÃO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Optou-se por desenvolver um jogo novo, construído especificamente para a pesquisa, em vez de instrumentar um jogo existente — decisão que garante controle total sobre regras, determinismo e instrumentação de medição. O gênero é o combate tático por turnos em grade, no formato todos-contra-todos com três agentes autônomos. O simulador foi implementado no motor Godot 4.7 e executa em modo visual (inspeção e demonstração) e em modo headless (lotes experimentais sem renderização). A metodologia organiza-se nas subseções seguintes: o ambiente (4.1), os agentes e sua percepção (4.2), as regras de combate (4.3), a medição de custo (4.4), o aprendizado entre partidas (4.5), os modelos comparados (4.6), as métricas (4.7), o protocolo experimental (4.8) e a infraestrutura (4.9).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4.1. Ambiente: grade, geração procedural e setores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O mapa é uma grade bidimensional de 40x40 células de quatro tipos: vazia, parede (bloqueia movimento e visão), cobertura leve e cobertura pesada (transponíveis, não bloqueiam visão, reduzem dano). A dimensão 40x40 foi validada empiricamente: com alcance de visão 8 e movimento de 3 células por turno, produz partidas com duração média observada entre 30 e 90 turnos conforme os modelos — longas o bastante para manobra e curtas o bastante para caber no limite de 100 turnos e viabilizar lotes de 1000 partidas em minutos.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Cada mapa é gerado proceduralmente a partir de uma semente inteira que alimenta um gerador congruente determinístico: a mesma semente produz sempre o mesmo mapa, os mesmos pontos de nascimento e, dadas as mesmas IAs, exatamente a mesma partida. O gerador posiciona segmentos de parede e blocos de cobertura respeitando uma zona de segurança ao redor dos nascimentos, e valida por busca em largura que todos os agentes podem se alcançar. Para impedir vantagem de terreno, o mapa é dividido em quatro setores de 20x20 e cada um dos três agentes nasce em um setor distinto, sorteado pela semente.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4.2. Agentes e percepção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Cada agente possui posição, pontos de vida (100), alcance de visão (8 células, distância de Chebyshev), orientação, estado vivo/morto e identificador de cor (verde, vermelho ou azul). São três agentes independentes — não há equipes — e o controle é estritamente um por vez, em turnos sequenciais.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A percepção é deliberadamente limitada: um agente conhece a posição de um inimigo apenas se ele estiver dentro do seu cone de visão de 120 graus, centrado na orientação, a até 8 células, com linha de visão desobstruída — paredes bloqueiam a visão; coberturas, não. A orientação acompanha a última ação: mover vira o agente para a direção do deslocamento; atacar, para o alvo. Completam o modelo perceptivo a memória tática (o agente guarda a última posição em que viu cada inimigo e investiga a mais próxima, esquecendo-a ao chegar lá e nada encontrar) e a revelação por dano (receber um tiro revela a posição do atirador mesmo fora do cone). Sem informação alguma, o agente explora destinos sorteados por gerador semeado pela semente da partida, preservando o determinismo.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4.3. Regras de combate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O sistema é de turnos sequenciais: a cada turno completo, cada agente vivo age exatamente uma vez, um após o outro, em ordem fixa dentro da partida. Não há simultaneidade a resolver — quando um agente decide, o estado que observa já incorpora as ações dos que agiram antes no turno — nem disputa por alvo: os agentes são adversários independentes e cada um decide em seu próprio momento. Para anular o viés de agir primeiro, a ordem inicial é rotacionada entre as partidas do lote: a partida i inicia pelo agente i mod 3, de modo que cada agente inicia exatamente um terço das simulações.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No seu turno, o agente pode mover-se até 3 células (caminho validado por busca em largura em 4 direções, respeitando paredes) e executar uma ação: atacar ou permanecer. O ataque exige alvo dentro do alcance (igual ao de visão), linha de visão desobstruída e alinhamento em linha reta — horizontal, vertical ou diagonal perfeita. A restrição de linha reta é necessária para que a cobertura direcional seja efetiva; sem ela, ângulos arbitrários contornariam qualquer defesa. A cobertura é direcional e automática: um defensor está protegido quando existe célula de cobertura ortogonalmente adjacente a ele na direção do atacante. O dano é determinístico:</w:t>
      </w:r>
    </w:p>
    <w:p>
      <w:pPr>
        <w:spacing w:line="360" w:lineRule="auto" w:before="120" w:after="120"/>
        <w:jc w:val="center"/>
      </w:pPr>
      <w:r>
        <w:rPr>
          <w:sz w:val="24"/>
          <w:szCs w:val="24"/>
        </w:rPr>
        <w:t xml:space="preserve">$$\text{Dano} = 30 - \text{Redução}, \quad \text{Redução} \in \{0, 10, 20\}$$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com redução 10 para cobertura leve e 20 para pesada. Não há qualquer sorteio em combate: toda a aleatoriedade do experimento está confinada à geração dos mapas. A partida termina quando resta um único agente vivo (vencedor) ou ao atingir o limite de 100 turnos, caso em que é declarado empate. O valor 100 foi definido empiricamente como teto de segurança: as durações médias observadas ficam entre 30 e 90 turnos, de modo que o limite raramente interrompe partidas que convergiriam, mas impede laços infinitos de perseguição.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4.4. Custo computacional abstrato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O custo computacional de uma decisão é medido por contagem de operações elementares, e não por tempo de relógio. Três contadores são mantidos por agente: cálculos de linha de visão executados, nós visitados nas buscas de caminho e ações geradas e avaliadas pela IA; o custo total é a soma dos três. A medição é ativada exclusivamente durante a fase de decisão do agente da vez — mede-se o custo de decidir, não o de executar. Operações contadas são invariantes: o mesmo experimento produz exatamente os mesmos custos em qualquer computador, tornando os resultados auditáveis e comparáveis.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4.5. Aprendizado entre partidas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Dentro de um lote, a mesma instância de IA disputa todas as partidas e recebe, ao final de cada uma, a pontuação obtida (+3 vitória, -1 empate, -3 derrota). A IA heurística usa esse sinal para calibrar seus pesos por subida de encosta: joga uma janela de 25 partidas com uma configuração, mede a média de pontos e a adota se superar a melhor média conhecida, revertendo caso contrário; a janela seguinte testa uma perturbação da melhor configuração, com gerador semeado — todo o processo é reprodutível. Ao final do lote, a evolução completa é gravada em arquivo próprio (aprendizado.csv), apresentado junto aos resultados, e as instâncias são descartadas: cada lote parte do zero. Os modelos aleatório e reativo não possuem parâmetros ajustáveis e servem de contraste estático.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4.6. Modelos de tomada de decisão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Quatro modelos são comparados, em níveis crescentes de uso de informação, conforme a Tabela 1.</w:t>
      </w:r>
    </w:p>
    <w:tbl>
      <w:tblPr>
        <w:tblW w:w="10092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4"/>
        <w:gridCol w:w="1474"/>
        <w:gridCol w:w="3175"/>
        <w:gridCol w:w="1701"/>
        <w:gridCol w:w="1928"/>
      </w:tblGrid>
      <w:tr>
        <w:tc>
          <w:tcPr>
            <w:tcW w:w="1814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Modelo</w:t>
            </w:r>
          </w:p>
        </w:tc>
        <w:tc>
          <w:tcPr>
            <w:tcW w:w="1474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Usa o estado?</w:t>
            </w:r>
          </w:p>
        </w:tc>
        <w:tc>
          <w:tcPr>
            <w:tcW w:w="3175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Mecanismo</w:t>
            </w:r>
          </w:p>
        </w:tc>
        <w:tc>
          <w:tcPr>
            <w:tcW w:w="1701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Aprende?</w:t>
            </w:r>
          </w:p>
        </w:tc>
        <w:tc>
          <w:tcPr>
            <w:tcW w:w="1928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Papel</w:t>
            </w:r>
          </w:p>
        </w:tc>
      </w:tr>
      <w:tr>
        <w:tc>
          <w:tcPr>
            <w:tcW w:w="181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Aleatório</w:t>
            </w:r>
          </w:p>
        </w:tc>
        <w:tc>
          <w:tcPr>
            <w:tcW w:w="147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w="3175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Sorteia uma ação válida</w:t>
            </w:r>
          </w:p>
        </w:tc>
        <w:tc>
          <w:tcPr>
            <w:tcW w:w="170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Piso de desempenho</w:t>
            </w:r>
          </w:p>
        </w:tc>
      </w:tr>
      <w:tr>
        <w:tc>
          <w:tcPr>
            <w:tcW w:w="181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Reativo</w:t>
            </w:r>
          </w:p>
        </w:tc>
        <w:tc>
          <w:tcPr>
            <w:tcW w:w="147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Parcial</w:t>
            </w:r>
          </w:p>
        </w:tc>
        <w:tc>
          <w:tcPr>
            <w:tcW w:w="3175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Regras fixas: atacar se vê; senão caçar/explorar</w:t>
            </w:r>
          </w:p>
        </w:tc>
        <w:tc>
          <w:tcPr>
            <w:tcW w:w="170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Adversário padrão</w:t>
            </w:r>
          </w:p>
        </w:tc>
      </w:tr>
      <w:tr>
        <w:tc>
          <w:tcPr>
            <w:tcW w:w="181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Heurístico</w:t>
            </w:r>
          </w:p>
        </w:tc>
        <w:tc>
          <w:tcPr>
            <w:tcW w:w="147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w="3175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Argmax do valor estratégico multicritério</w:t>
            </w:r>
          </w:p>
        </w:tc>
        <w:tc>
          <w:tcPr>
            <w:tcW w:w="170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Pesos (hill-climbing)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Estratégia sem custo</w:t>
            </w:r>
          </w:p>
        </w:tc>
      </w:tr>
      <w:tr>
        <w:tc>
          <w:tcPr>
            <w:tcW w:w="181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Híbrido (proposto)</w:t>
            </w:r>
          </w:p>
        </w:tc>
        <w:tc>
          <w:tcPr>
            <w:tcW w:w="147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w="3175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Valor estratégico menos custo ponderado</w:t>
            </w:r>
          </w:p>
        </w:tc>
        <w:tc>
          <w:tcPr>
            <w:tcW w:w="170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Pesos e lambda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Contribuição da pesquisa</w:t>
            </w:r>
          </w:p>
        </w:tc>
      </w:tr>
    </w:tbl>
    <w:p>
      <w:pPr>
        <w:spacing w:line="240" w:lineRule="auto"/>
        <w:jc w:val="center"/>
      </w:pPr>
      <w:r>
        <w:rPr>
          <w:sz w:val="20"/>
          <w:szCs w:val="20"/>
        </w:rPr>
        <w:t xml:space="preserve">Tabela 1: Comparativo dos modelos de tomada de decisão</w:t>
      </w:r>
    </w:p>
    <w:p>
      <w:pPr>
        <w:spacing w:line="240" w:lineRule="auto" w:after="240"/>
        <w:jc w:val="center"/>
      </w:pPr>
      <w:r>
        <w:rPr>
          <w:sz w:val="20"/>
          <w:szCs w:val="20"/>
        </w:rPr>
        <w:t xml:space="preserve">Fonte: elaborado pelo autor (2026).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A IA aleatória enumera as ações válidas do turno e sorteia uma (gerador semeado — mesmo o acaso é reprodutível). A IA reativa segue três regras em cascata: se há inimigo com linha de tiro reta, ataca o mais próximo; se vê inimigo sem linha de tiro, aproxima-se para alinhar; se não vê ninguém, dirige-se à última posição conhecida ou explora — e cumpre também o papel de adversário padrão contra o qual os modelos avaliados jogam. A IA heurística, instância de Utility AI, avalia a cada turno com contato visual todas as posições alcançáveis pela função:</w:t>
      </w:r>
    </w:p>
    <w:p>
      <w:pPr>
        <w:spacing w:line="360" w:lineRule="auto" w:before="120" w:after="120"/>
        <w:jc w:val="center"/>
      </w:pPr>
      <w:r>
        <w:rPr>
          <w:sz w:val="24"/>
          <w:szCs w:val="24"/>
        </w:rPr>
        <w:t xml:space="preserve">$$\text{ValorEstratégico} = w_1 \cdot \text{Vida} + w_2 \cdot \text{Cobertura} + w_3 \cdot \text{Proximidade} + w_4 \cdot \text{Risco} + \text{Movimentação}$$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onde Vida é a proporção de pontos de vida do agente; Cobertura é a proteção potencial da posição (0; 0,5 leve; 1 pesada); Proximidade é o inverso da distância ao inimigo visível mais próximo; Risco é a fração de inimigos visíveis com linha de visão para a posição (impacto negativo); e Movimentação é um incentivo fixo de deslocamento — +0,2 por célula percorrida e -0,2 se a posição já foi visitada na partida — que garante manobra constante e impede o entrincheiramento passivo. Os pesos atuais (w1 = 0,1; w2 = 0,3; w3 = 0,5; w4 = -0,2) não são arbitrários: foram selecionados por varredura comparativa no banco de calibração de 200 sementes, isolado do banco de teste, e são continuamente refinados pelo aprendizado entre partidas (Seção 4.5), cujo histórico integral acompanha os resultados.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O modelo híbrido proposto — contribuição central da pesquisa — estende a avaliação heurística com a penalização explícita do custo computacional:</w:t>
      </w:r>
    </w:p>
    <w:p>
      <w:pPr>
        <w:spacing w:line="360" w:lineRule="auto" w:before="120" w:after="120"/>
        <w:jc w:val="center"/>
      </w:pPr>
      <w:r>
        <w:rPr>
          <w:sz w:val="24"/>
          <w:szCs w:val="24"/>
        </w:rPr>
        <w:t xml:space="preserve">$$\text{ScoreAção} = \text{ValorEstratégico} - \lambda \cdot \text{CustoComputacional}$$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onde CustoComputacional é o custo, em operações contadas, de avaliar a própria ação, e lambda é o parâmetro de compromisso que converte operações em unidades de valor estratégico: com lambda igual a zero o modelo colapsa no heurístico puro; com lambda grande, aproxima-se do reativo. Seguindo o protocolo experimental (Seção 4.8), o modelo híbrido será construído somente após a análise da campanha de caracterização dos modelos básicos — a solução é derivada dos dados —, com lambda calibrado no banco de 200 sementes.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4.7. Métricas de avaliação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Para cada modelo, sobre o conjunto de partidas de um lote, calculam-se: WinRate (fração de vitórias); DamageRatio, com limitador contra divisão por zero:</w:t>
      </w:r>
    </w:p>
    <w:p>
      <w:pPr>
        <w:spacing w:line="360" w:lineRule="auto" w:before="120" w:after="120"/>
        <w:jc w:val="center"/>
      </w:pPr>
      <w:r>
        <w:rPr>
          <w:sz w:val="24"/>
          <w:szCs w:val="24"/>
        </w:rPr>
        <w:t xml:space="preserve">$$\text{DamageRatio} = \frac{\text{dano causado}}{\max(\text{dano recebido},\ \varepsilon)}, \quad \varepsilon = 1$$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CoverUsage (fração dos turnos em que o agente terminou em posição com cobertura adjacente); TurnsToVictory (média de turnos para vencer, com empates penalizados pelo valor máximo de 100 e derrotas excluídas); e CustoComputacionalMedio (média por partida das operações contadas na decisão). Cada partida atribui ainda uma pontuação: +3 por vitória, -1 por empate e -3 por derrota. O empate é deliberadamente penalizado porque um modelo que apenas sobrevive sem decidir a partida não demonstra eficácia estratégica; a média de pontos por partida (faixa -3 a +3) mostrou-se a métrica mais legível para comparação direta. As dimensões individuais são agregadas no escore composto:</w:t>
      </w:r>
    </w:p>
    <w:p>
      <w:pPr>
        <w:spacing w:line="360" w:lineRule="auto" w:before="120" w:after="120"/>
        <w:jc w:val="center"/>
      </w:pPr>
      <w:r>
        <w:rPr>
          <w:sz w:val="24"/>
          <w:szCs w:val="24"/>
        </w:rPr>
        <w:t xml:space="preserve">$$\text{StrategicScore} = 0{,}3 \cdot \text{WinRate} + 0{,}2 \cdot \text{DamageRatio} + 0{,}2 \cdot \text{CoverUsage} + 0{,}2 \cdot \text{Efficiency} + 0{,}1 \cdot \frac{1}{\max(\text{Custo},\ \varepsilon)}$$</w:t>
      </w:r>
    </w:p>
    <w:p>
      <w:pPr>
        <w:spacing w:line="360" w:lineRule="auto" w:before="120" w:after="120"/>
        <w:jc w:val="center"/>
      </w:pPr>
      <w:r>
        <w:rPr>
          <w:sz w:val="24"/>
          <w:szCs w:val="24"/>
        </w:rPr>
        <w:t xml:space="preserve">$$\text{Efficiency} = \frac{1}{\max(\text{TurnsToVictory},\ 1)}$$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Na prática, a fórmula é uma definição operacional de jogar bem: vencer (30%), causar mais dano do que receber (20%), usar o terreno (20%), vencer rápido (20%) e decidir barato (10%) — pesos fixados a priori, antes de qualquer comparação entre modelos, para que não possam favorecer o modelo proposto. Uma limitação conhecida é registrada com transparência: o DamageRatio não é normalizado à faixa das demais componentes e pode dominar o escore quando um modelo vence sem receber dano; a adoção de um teto está em avaliação com a orientação, e qualquer alteração será aplicada uniformemente a todos os modelos. Por essa razão, as análises reportam sempre as métricas individuais ao lado do escore composto.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4.8. Protocolo experimental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Dois bancos congelados e disjuntos de sementes foram gerados uma única vez por um gerador congruente linear documentado: 200 sementes de calibração, usadas exclusivamente para ajuste de pesos e de lambda, e 1000 sementes de benchmark, reservadas à avaliação — a separação previne sobreajuste e os arquivos são imutáveis e versionados. Três mecanismos garantem que diferenças de desempenho sejam atribuíveis aos modelos: sorteio de setores de nascimento (vantagem de terreno), rotação uniforme de iniciativa (vantagem de primeiro turno) e combate determinístico (variância de sorte).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A campanha de coleta segue etapas ordenadas, cada uma com 1000 partidas documentadas: (1) autoconfronto por modelo — três instâncias do mesmo modelo por partida —, caracterizando o comportamento decisório de cada um isoladamente; (2) confronto misto, com um agente de cada modelo; (3) análise das métricas decisórias e identificação dos melhores comportamentos; (4) construção do modelo híbrido a partir do que os dados mostrarem; (5) avaliação final do híbrido contra cada modelo e contra os melhores identificados, verificando a hipótese de superioridade em eficácia e custo. Todas as execuções usam o mesmo banco de 1000 sementes, garantindo comparabilidade integral. O pipeline é determinístico de ponta a ponta — mesma semente, mesmos modelos, mesmos parâmetros produzem partidas byte a byte idênticas, propriedade verificada por reexecução integral de lotes.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4.9. Arquitetura e infraestrutura experimental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O software separa estritamente as responsabilidades: o núcleo de simulação não conhece a lógica das IAs; cada IA implementa um contrato único — receber o estado e devolver uma ação — e a simulação valida e aplica a ação devolvida. Trocar o modelo de um jogador é uma operação de um argumento de linha de comando, garantindo que todos os modelos joguem exatamente o mesmo jogo. Cada lote gera uma pasta autodocumentada e imutável contendo o manifesto da execução (condições completas), o registro por partida (uma linha por jogador, com métricas brutas, derivadas e custo aberto por tipo de operação), o resumo agregado (médias, desvios-padrão e escore), o registro do aprendizado janela a janela e, opcionalmente, o registro turno a turno. Um lote de 1000 partidas executa em 70 a 120 segundos em modo headless. O código, os bancos de sementes e as execuções oficiais são versionados em repositório público.</w:t>
      </w:r>
    </w:p>
    <w:p>
      <w:pPr>
        <w:pStyle w:val="Heading1"/>
        <w:spacing w:line="360" w:lineRule="auto" w:before="240" w:after="240"/>
        <w:jc w:val="both"/>
      </w:pPr>
      <w:r>
        <w:rPr>
          <w:b/>
          <w:sz w:val="24"/>
          <w:szCs w:val="24"/>
        </w:rPr>
        <w:t xml:space="preserve">5. RESULTADOS E IMPACTOS ESPERADOS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Espera-se demonstrar que o modelo híbrido proposto alcança eficácia estratégica igual ou superior à do modelo heurístico puro com custo computacional significativamente menor, validando a hipótese de que a formalização explícita do compromisso qualidade-custo produz agentes mais eficientes. Como impactos, o trabalho entrega uma metodologia de avaliação reprodutível e independente de hardware, um simulador aberto reutilizável por outras pesquisas e evidências quantitativas sobre o valor marginal do processamento na tomada de decisão tática.</w:t>
      </w:r>
    </w:p>
    <w:p>
      <w:pPr>
        <w:pStyle w:val="Heading2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5.1. Resultados Preliminares (Parciais)</w:t>
      </w:r>
    </w:p>
    <w:p>
      <w:pPr>
        <w:pStyle w:val="Heading3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5.1.1. Validação da neutralidade do ambiente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Antes de comparar modelos, validou-se o instrumento: 1000 partidas do banco de benchmark foram executadas com os três agentes controlados pela mesma IA reativa. Em ambiente neutro, as taxas de vitória devem ser estatisticamente indistinguíveis — qualquer assimetria sistemática denunciaria viés de terreno, cor ou iniciativa. A Tabela 2 apresenta o resultado.</w:t>
      </w:r>
    </w:p>
    <w:tbl>
      <w:tblPr>
        <w:tblW w:w="9525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01"/>
        <w:gridCol w:w="1474"/>
        <w:gridCol w:w="3175"/>
        <w:gridCol w:w="3175"/>
      </w:tblGrid>
      <w:tr>
        <w:tc>
          <w:tcPr>
            <w:tcW w:w="1701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Agente</w:t>
            </w:r>
          </w:p>
        </w:tc>
        <w:tc>
          <w:tcPr>
            <w:tcW w:w="1474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WinRate</w:t>
            </w:r>
          </w:p>
        </w:tc>
        <w:tc>
          <w:tcPr>
            <w:tcW w:w="3175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DamageRatio (média ± dp)</w:t>
            </w:r>
          </w:p>
        </w:tc>
        <w:tc>
          <w:tcPr>
            <w:tcW w:w="3175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CoverUsage (média ± dp)</w:t>
            </w:r>
          </w:p>
        </w:tc>
      </w:tr>
      <w:tr>
        <w:tc>
          <w:tcPr>
            <w:tcW w:w="170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Verde</w:t>
            </w:r>
          </w:p>
        </w:tc>
        <w:tc>
          <w:tcPr>
            <w:tcW w:w="147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0,297</w:t>
            </w:r>
          </w:p>
        </w:tc>
        <w:tc>
          <w:tcPr>
            <w:tcW w:w="3175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5,32 ± 12,03</w:t>
            </w:r>
          </w:p>
        </w:tc>
        <w:tc>
          <w:tcPr>
            <w:tcW w:w="3175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0,058 ± 0,152</w:t>
            </w:r>
          </w:p>
        </w:tc>
      </w:tr>
      <w:tr>
        <w:tc>
          <w:tcPr>
            <w:tcW w:w="170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Vermelho</w:t>
            </w:r>
          </w:p>
        </w:tc>
        <w:tc>
          <w:tcPr>
            <w:tcW w:w="147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0,298</w:t>
            </w:r>
          </w:p>
        </w:tc>
        <w:tc>
          <w:tcPr>
            <w:tcW w:w="3175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6,24 ± 13,38</w:t>
            </w:r>
          </w:p>
        </w:tc>
        <w:tc>
          <w:tcPr>
            <w:tcW w:w="3175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0,055 ± 0,145</w:t>
            </w:r>
          </w:p>
        </w:tc>
      </w:tr>
      <w:tr>
        <w:tc>
          <w:tcPr>
            <w:tcW w:w="1701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Azul</w:t>
            </w:r>
          </w:p>
        </w:tc>
        <w:tc>
          <w:tcPr>
            <w:tcW w:w="1474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0,310</w:t>
            </w:r>
          </w:p>
        </w:tc>
        <w:tc>
          <w:tcPr>
            <w:tcW w:w="3175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6,48 ± 13,81</w:t>
            </w:r>
          </w:p>
        </w:tc>
        <w:tc>
          <w:tcPr>
            <w:tcW w:w="3175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0,053 ± 0,147</w:t>
            </w:r>
          </w:p>
        </w:tc>
      </w:tr>
    </w:tbl>
    <w:p>
      <w:pPr>
        <w:spacing w:line="240" w:lineRule="auto"/>
        <w:jc w:val="center"/>
      </w:pPr>
      <w:r>
        <w:rPr>
          <w:sz w:val="20"/>
          <w:szCs w:val="20"/>
        </w:rPr>
        <w:t xml:space="preserve">Tabela 2: Validação de neutralidade — 3 agentes idênticos (IA reativa), 1000 partidas</w:t>
      </w:r>
    </w:p>
    <w:p>
      <w:pPr>
        <w:spacing w:line="240" w:lineRule="auto" w:after="240"/>
        <w:jc w:val="center"/>
      </w:pPr>
      <w:r>
        <w:rPr>
          <w:sz w:val="20"/>
          <w:szCs w:val="20"/>
        </w:rPr>
        <w:t xml:space="preserve">Fonte: elaborado pelo autor (2026).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Com N = 1000 e probabilidade de referência de 1/3, a flutuação estatística esperada é de aproximadamente 1,5 ponto percentual; a maior diferença observada foi de 1,3 ponto — dentro do ruído. Conclui-se que o sorteio de setores e a rotação de iniciativa neutralizam os vieses com sucesso, e que diferenças observadas doravante são atribuíveis aos modelos. Esta validação foi executada na versão inicial das mecânicas e será reexecutada como primeira etapa da campanha definitiva, sob o conjunto final de regras.</w:t>
      </w:r>
    </w:p>
    <w:p>
      <w:pPr>
        <w:pStyle w:val="Heading3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5.1.2. Efeito da percepção limitada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A introdução do campo de visão produziu um resultado metodologicamente relevante: sob onisciência, a IA heurística vencia com folga a reativa; com percepção limitada, a vantagem praticamente desapareceu (WinRate de 0,30 para todas em lote de calibração). A avaliação posicional só agrega valor durante o contato visual, e partidas com busca às cegas comprimem a diferença entre modelos — achado que reforça a motivação do modelo híbrido: concentrar o gasto computacional nos momentos em que a avaliação de fato informa a decisão.</w:t>
      </w:r>
    </w:p>
    <w:p>
      <w:pPr>
        <w:pStyle w:val="Heading3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5.1.3. Efeito da linha de tiro reta e do incentivo de movimentação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Duas regras subsequentes recuperaram e ampliaram a diferenciação estratégica: a restrição de tiro em linha reta tornou a cobertura direcional efetiva, e o incentivo de movimentação eliminou o entrincheiramento passivo. A Tabela 3 apresenta o lote de calibração mais recente (30 partidas, banco de calibração), com a heurística enfrentando duas reativas.</w:t>
      </w:r>
    </w:p>
    <w:tbl>
      <w:tblPr>
        <w:tblW w:w="8392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08"/>
        <w:gridCol w:w="1928"/>
        <w:gridCol w:w="1928"/>
        <w:gridCol w:w="1928"/>
      </w:tblGrid>
      <w:tr>
        <w:tc>
          <w:tcPr>
            <w:tcW w:w="2608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Métrica</w:t>
            </w:r>
          </w:p>
        </w:tc>
        <w:tc>
          <w:tcPr>
            <w:tcW w:w="1928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Heurística</w:t>
            </w:r>
          </w:p>
        </w:tc>
        <w:tc>
          <w:tcPr>
            <w:tcW w:w="1928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Reativa (1)</w:t>
            </w:r>
          </w:p>
        </w:tc>
        <w:tc>
          <w:tcPr>
            <w:tcW w:w="1928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Reativa (2)</w:t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Pontuação média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-0,20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-1,20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-1,60</w:t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WinRate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0,333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0,167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0,100</w:t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DamageRatio médio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6,60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2,82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1,93</w:t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CoverUsage médio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0,128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0,071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0,106</w:t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Custo computacional médio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1401,1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884,7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989,6</w:t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StrategicScore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1,448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0,630</w:t>
            </w:r>
          </w:p>
        </w:tc>
        <w:tc>
          <w:tcPr>
            <w:tcW w:w="192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0,440</w:t>
            </w:r>
          </w:p>
        </w:tc>
      </w:tr>
    </w:tbl>
    <w:p>
      <w:pPr>
        <w:spacing w:line="240" w:lineRule="auto"/>
        <w:jc w:val="center"/>
      </w:pPr>
      <w:r>
        <w:rPr>
          <w:sz w:val="20"/>
          <w:szCs w:val="20"/>
        </w:rPr>
        <w:t xml:space="preserve">Tabela 3: Lote de calibração — heurística vs. duas reativas (30 partidas, regras completas)</w:t>
      </w:r>
    </w:p>
    <w:p>
      <w:pPr>
        <w:spacing w:line="240" w:lineRule="auto" w:after="240"/>
        <w:jc w:val="center"/>
      </w:pPr>
      <w:r>
        <w:rPr>
          <w:sz w:val="20"/>
          <w:szCs w:val="20"/>
        </w:rPr>
        <w:t xml:space="preserve">Fonte: elaborado pelo autor (2026).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A heurística lidera todas as dimensões de eficácia — vence o dobro da melhor reativa — ao custo de cerca de 50% mais operações por partida. Esse retrato quantifica exatamente o eixo da pesquisa: qualidade estratégica custa processamento, e o modelo híbrido buscará o ponto ótimo dessa troca.</w:t>
      </w:r>
    </w:p>
    <w:p>
      <w:pPr>
        <w:pStyle w:val="Heading3"/>
        <w:spacing w:line="360" w:lineRule="auto" w:before="240" w:after="120"/>
        <w:jc w:val="both"/>
      </w:pPr>
      <w:r>
        <w:rPr>
          <w:b/>
          <w:sz w:val="24"/>
          <w:szCs w:val="24"/>
        </w:rPr>
        <w:t xml:space="preserve">5.1.4. Aprendizado registrado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O mecanismo de aprendizado entre partidas produz registro auditável. Em lote ilustrativo de 60 partidas, a primeira janela (pesos iniciais) obteve média de -0,84 pontos e foi adotada como referência; a perturbação testada na segunda janela piorou a média para -1,00 e foi revertida, com o modelo retornando à melhor configuração conhecida — comportamento esperado da subida de encosta, visível no arquivo de aprendizado que acompanha cada execução. No momento da escrita, a etapa 1 da campanha definitiva (autoconfrontos de 1000 partidas por modelo) está em execução.</w:t>
      </w:r>
    </w:p>
    <w:p>
      <w:pPr>
        <w:pStyle w:val="Heading1"/>
        <w:spacing w:line="360" w:lineRule="auto" w:before="240" w:after="240"/>
        <w:jc w:val="both"/>
      </w:pPr>
      <w:r>
        <w:rPr>
          <w:b/>
          <w:sz w:val="24"/>
          <w:szCs w:val="24"/>
        </w:rPr>
        <w:t xml:space="preserve">6. CRONOGRAMA</w:t>
      </w:r>
    </w:p>
    <w:tbl>
      <w:tblPr>
        <w:tblW w:w="8392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08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c>
          <w:tcPr>
            <w:tcW w:w="2608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Atividade</w:t>
            </w:r>
          </w:p>
        </w:tc>
        <w:tc>
          <w:tcPr>
            <w:tcW w:w="482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Jan</w:t>
            </w:r>
          </w:p>
        </w:tc>
        <w:tc>
          <w:tcPr>
            <w:tcW w:w="482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Fev</w:t>
            </w:r>
          </w:p>
        </w:tc>
        <w:tc>
          <w:tcPr>
            <w:tcW w:w="482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Mar</w:t>
            </w:r>
          </w:p>
        </w:tc>
        <w:tc>
          <w:tcPr>
            <w:tcW w:w="482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Abr</w:t>
            </w:r>
          </w:p>
        </w:tc>
        <w:tc>
          <w:tcPr>
            <w:tcW w:w="482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Mai</w:t>
            </w:r>
          </w:p>
        </w:tc>
        <w:tc>
          <w:tcPr>
            <w:tcW w:w="482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Jun</w:t>
            </w:r>
          </w:p>
        </w:tc>
        <w:tc>
          <w:tcPr>
            <w:tcW w:w="482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Jul</w:t>
            </w:r>
          </w:p>
        </w:tc>
        <w:tc>
          <w:tcPr>
            <w:tcW w:w="482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Ago</w:t>
            </w:r>
          </w:p>
        </w:tc>
        <w:tc>
          <w:tcPr>
            <w:tcW w:w="482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Set</w:t>
            </w:r>
          </w:p>
        </w:tc>
        <w:tc>
          <w:tcPr>
            <w:tcW w:w="482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Out</w:t>
            </w:r>
          </w:p>
        </w:tc>
        <w:tc>
          <w:tcPr>
            <w:tcW w:w="482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Nov</w:t>
            </w:r>
          </w:p>
        </w:tc>
        <w:tc>
          <w:tcPr>
            <w:tcW w:w="482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Dez</w:t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Projeto e revisão de literatura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Simulador (Fases 1-2)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Modelos básicos de IA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Campanha de coleta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Análise intermediária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Modelo híbrido e calibração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Avaliação final (benchmark)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w="2608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Escrita do TCC e artigos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  <w:tc>
          <w:tcPr>
            <w:tcW w:w="482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X</w:t>
            </w:r>
          </w:p>
        </w:tc>
      </w:tr>
    </w:tbl>
    <w:p>
      <w:pPr>
        <w:spacing w:line="240" w:lineRule="auto" w:after="240"/>
        <w:jc w:val="center"/>
      </w:pPr>
      <w:r>
        <w:rPr>
          <w:sz w:val="20"/>
          <w:szCs w:val="20"/>
        </w:rPr>
        <w:t xml:space="preserve">Fonte: elaborado pelo autor (2026).</w:t>
      </w:r>
    </w:p>
    <w:p>
      <w:pPr>
        <w:pStyle w:val="Heading1"/>
        <w:spacing w:line="360" w:lineRule="auto" w:before="240" w:after="240"/>
        <w:jc w:val="both"/>
      </w:pPr>
      <w:r>
        <w:rPr>
          <w:b/>
          <w:sz w:val="24"/>
          <w:szCs w:val="24"/>
        </w:rPr>
        <w:t xml:space="preserve">7. ORÇAMENTO FINANCEIRO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Este trabalho utiliza exclusivamente ferramentas gratuitas e de código aberto (motor Godot, linguagem GDScript, Python para análise, Git para versionamento) e equipamentos já disponíveis, não sendo necessário orçamento extra.</w:t>
      </w:r>
    </w:p>
    <w:p>
      <w:pPr>
        <w:pStyle w:val="Heading1"/>
        <w:spacing w:line="360" w:lineRule="auto" w:before="240" w:after="240"/>
        <w:jc w:val="both"/>
      </w:pPr>
      <w:r>
        <w:rPr>
          <w:b/>
          <w:sz w:val="24"/>
          <w:szCs w:val="24"/>
        </w:rPr>
        <w:t xml:space="preserve">8. DISSEMINAÇÃO DOS RESULTADOS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Este trabalho poderá ser publicado pelo menos na Jornada Científica e Tecnológica do IFSULDEMINAS. Adicionalmente, o simulador, os bancos de sementes, as execuções oficiais e toda a documentação são mantidos em repositório público (github.com/madeiragab/tcc-simulador-ia), permitindo verificação independente e reutilização por outras pesquisas.</w:t>
      </w:r>
    </w:p>
    <w:p>
      <w:pPr>
        <w:pStyle w:val="Heading1"/>
        <w:spacing w:line="360" w:lineRule="auto" w:before="240" w:after="240"/>
        <w:jc w:val="both"/>
      </w:pPr>
      <w:r>
        <w:rPr>
          <w:b/>
          <w:sz w:val="24"/>
          <w:szCs w:val="24"/>
        </w:rPr>
        <w:t xml:space="preserve">9. REFERÊNCIAS BIBLIOGRÁFICAS</w:t>
      </w:r>
    </w:p>
    <w:p>
      <w:pPr>
        <w:spacing w:line="240" w:lineRule="auto" w:after="240"/>
        <w:jc w:val="left"/>
      </w:pPr>
      <w:r>
        <w:rPr>
          <w:sz w:val="24"/>
          <w:szCs w:val="24"/>
        </w:rPr>
        <w:t xml:space="preserve">BROWNE, C. B. et al. </w:t>
      </w:r>
      <w:r>
        <w:rPr>
          <w:b/>
          <w:sz w:val="24"/>
          <w:szCs w:val="24"/>
        </w:rPr>
        <w:t xml:space="preserve">A Survey of Monte Carlo Tree Search Methods</w:t>
      </w:r>
      <w:r>
        <w:rPr>
          <w:sz w:val="24"/>
          <w:szCs w:val="24"/>
        </w:rPr>
        <w:t xml:space="preserve">. IEEE Transactions on Computational Intelligence and AI in Games, v. 4, n. 1, p. 1-43, 2012.</w:t>
      </w:r>
    </w:p>
    <w:p>
      <w:pPr>
        <w:spacing w:line="240" w:lineRule="auto" w:after="240"/>
        <w:jc w:val="left"/>
      </w:pPr>
      <w:r>
        <w:rPr>
          <w:sz w:val="24"/>
          <w:szCs w:val="24"/>
        </w:rPr>
        <w:t xml:space="preserve">GODOT ENGINE. </w:t>
      </w:r>
      <w:r>
        <w:rPr>
          <w:b/>
          <w:sz w:val="24"/>
          <w:szCs w:val="24"/>
        </w:rPr>
        <w:t xml:space="preserve">Godot Engine Documentation</w:t>
      </w:r>
      <w:r>
        <w:rPr>
          <w:sz w:val="24"/>
          <w:szCs w:val="24"/>
        </w:rPr>
        <w:t xml:space="preserve">. 2026. Disponível em: &lt;https://docs.godotengine.org&gt;. Acesso em: 21/07/2026.</w:t>
      </w:r>
    </w:p>
    <w:p>
      <w:pPr>
        <w:spacing w:line="240" w:lineRule="auto" w:after="240"/>
        <w:jc w:val="left"/>
      </w:pPr>
      <w:r>
        <w:rPr>
          <w:sz w:val="24"/>
          <w:szCs w:val="24"/>
        </w:rPr>
        <w:t xml:space="preserve">MARCOTTE, R.; HAMILTON, H. J. </w:t>
      </w:r>
      <w:r>
        <w:rPr>
          <w:b/>
          <w:sz w:val="24"/>
          <w:szCs w:val="24"/>
        </w:rPr>
        <w:t xml:space="preserve">Behavior Trees for Modelling Artificial Intelligence in Games: A Tutorial</w:t>
      </w:r>
      <w:r>
        <w:rPr>
          <w:sz w:val="24"/>
          <w:szCs w:val="24"/>
        </w:rPr>
        <w:t xml:space="preserve">. The Computer Games Journal, v. 6, p. 171-184, 2017.</w:t>
      </w:r>
    </w:p>
    <w:p>
      <w:pPr>
        <w:spacing w:line="240" w:lineRule="auto" w:after="240"/>
        <w:jc w:val="left"/>
      </w:pPr>
      <w:r>
        <w:rPr>
          <w:sz w:val="24"/>
          <w:szCs w:val="24"/>
        </w:rPr>
        <w:t xml:space="preserve">MARK, D.; DILL, K. </w:t>
      </w:r>
      <w:r>
        <w:rPr>
          <w:b/>
          <w:sz w:val="24"/>
          <w:szCs w:val="24"/>
        </w:rPr>
        <w:t xml:space="preserve">Improving AI Decision Modeling Through Utility Theory</w:t>
      </w:r>
      <w:r>
        <w:rPr>
          <w:sz w:val="24"/>
          <w:szCs w:val="24"/>
        </w:rPr>
        <w:t xml:space="preserve">. In: Game Developers Conference, 2010, São Francisco. GDC Vault, 2010.</w:t>
      </w:r>
    </w:p>
    <w:p>
      <w:pPr>
        <w:spacing w:line="240" w:lineRule="auto" w:after="240"/>
        <w:jc w:val="left"/>
      </w:pPr>
      <w:r>
        <w:rPr>
          <w:sz w:val="24"/>
          <w:szCs w:val="24"/>
        </w:rPr>
        <w:t xml:space="preserve">MILLINGTON, I.; FUNGE, J. </w:t>
      </w:r>
      <w:r>
        <w:rPr>
          <w:b/>
          <w:sz w:val="24"/>
          <w:szCs w:val="24"/>
        </w:rPr>
        <w:t xml:space="preserve">Artificial Intelligence for Games</w:t>
      </w:r>
      <w:r>
        <w:rPr>
          <w:sz w:val="24"/>
          <w:szCs w:val="24"/>
        </w:rPr>
        <w:t xml:space="preserve">. 2. ed. Boca Raton: CRC Press, 2016.</w:t>
      </w:r>
    </w:p>
    <w:p>
      <w:pPr>
        <w:spacing w:line="240" w:lineRule="auto" w:after="240"/>
        <w:jc w:val="left"/>
      </w:pPr>
      <w:r>
        <w:rPr>
          <w:sz w:val="24"/>
          <w:szCs w:val="24"/>
        </w:rPr>
        <w:t xml:space="preserve">PÉREZ-LIÉBANA, D. et al. </w:t>
      </w:r>
      <w:r>
        <w:rPr>
          <w:b/>
          <w:sz w:val="24"/>
          <w:szCs w:val="24"/>
        </w:rPr>
        <w:t xml:space="preserve">General Video Game AI: A Multitrack Framework for Evaluating Agents, Games, and Content Generation Algorithms</w:t>
      </w:r>
      <w:r>
        <w:rPr>
          <w:sz w:val="24"/>
          <w:szCs w:val="24"/>
        </w:rPr>
        <w:t xml:space="preserve">. IEEE Transactions on Games, v. 11, n. 3, p. 195-214, 2019.</w:t>
      </w:r>
    </w:p>
    <w:p>
      <w:pPr>
        <w:spacing w:line="240" w:lineRule="auto" w:after="240"/>
        <w:jc w:val="left"/>
      </w:pPr>
      <w:r>
        <w:rPr>
          <w:sz w:val="24"/>
          <w:szCs w:val="24"/>
        </w:rPr>
        <w:t xml:space="preserve">RUSSELL, S.; NORVIG, P. </w:t>
      </w:r>
      <w:r>
        <w:rPr>
          <w:b/>
          <w:sz w:val="24"/>
          <w:szCs w:val="24"/>
        </w:rPr>
        <w:t xml:space="preserve">Artificial Intelligence: A Modern Approach</w:t>
      </w:r>
      <w:r>
        <w:rPr>
          <w:sz w:val="24"/>
          <w:szCs w:val="24"/>
        </w:rPr>
        <w:t xml:space="preserve">. 3. ed. Upper Saddle River: Pearson, 2010.</w:t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>Muzambinho, 21 de julho de 2026.</w:t>
      </w:r>
    </w:p>
    <w:p>
      <w:pPr>
        <w:pStyle w:val="Heading1"/>
        <w:pageBreakBefore/>
        <w:spacing w:line="360" w:lineRule="auto" w:before="240" w:after="240"/>
        <w:jc w:val="both"/>
      </w:pPr>
      <w:r>
        <w:rPr>
          <w:b/>
          <w:sz w:val="24"/>
          <w:szCs w:val="24"/>
        </w:rPr>
        <w:t xml:space="preserve">APÊNDICE A – ESTRUTURA DOS DADOS COLETADOS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Cada execução de lote gera uma pasta imutável com carimbo de data e hora contendo os arquivos descritos a seguir, todos em formatos abertos (texto e CSV).</w:t>
      </w:r>
    </w:p>
    <w:p>
      <w:pPr>
        <w:spacing w:line="360" w:lineRule="auto"/>
        <w:ind w:firstLine="709"/>
        <w:jc w:val="both"/>
      </w:pPr>
      <w:r>
        <w:rPr>
          <w:b/>
          <w:sz w:val="24"/>
          <w:szCs w:val="24"/>
        </w:rPr>
        <w:t xml:space="preserve">manifest.txt</w:t>
      </w:r>
      <w:r>
        <w:rPr>
          <w:sz w:val="24"/>
          <w:szCs w:val="24"/>
        </w:rPr>
        <w:t xml:space="preserve"> — condições da execução: data e hora, versão do motor, banco e faixa de sementes, regra de rotação de iniciativa, modelo de IA de cada jogador, constantes de jogo (dano base 30; reduções 10/20; limite 100 turnos; movimento 3; vida 100; visão 8; cone 120 graus), parâmetros de IA e duração.</w:t>
      </w:r>
    </w:p>
    <w:p>
      <w:pPr>
        <w:spacing w:line="360" w:lineRule="auto"/>
        <w:ind w:firstLine="709"/>
        <w:jc w:val="both"/>
      </w:pPr>
      <w:r>
        <w:rPr>
          <w:b/>
          <w:sz w:val="24"/>
          <w:szCs w:val="24"/>
        </w:rPr>
        <w:t xml:space="preserve">partidas.csv</w:t>
      </w:r>
      <w:r>
        <w:rPr>
          <w:sz w:val="24"/>
          <w:szCs w:val="24"/>
        </w:rPr>
        <w:t xml:space="preserve"> — uma linha por jogador por partida: identificador, semente, jogador que iniciou, jogador, modelo, vencedor, indicador de vitória, pontos (+3/-1/-3), turnos, dano causado e recebido, DamageRatio, CoverUsage, custo total e custo aberto por tipo de operação (linha de visão, nós de busca, ações avaliadas).</w:t>
      </w:r>
    </w:p>
    <w:p>
      <w:pPr>
        <w:spacing w:line="360" w:lineRule="auto"/>
        <w:ind w:firstLine="709"/>
        <w:jc w:val="both"/>
      </w:pPr>
      <w:r>
        <w:rPr>
          <w:b/>
          <w:sz w:val="24"/>
          <w:szCs w:val="24"/>
        </w:rPr>
        <w:t xml:space="preserve">resumo.csv</w:t>
      </w:r>
      <w:r>
        <w:rPr>
          <w:sz w:val="24"/>
          <w:szCs w:val="24"/>
        </w:rPr>
        <w:t xml:space="preserve"> — agregados por jogador: partidas, pontuação total e média, WinRate, DamageRatio e CoverUsage (média e desvio-padrão), TurnsToVictory, Efficiency, custo médio e desvio, StrategicScore.</w:t>
      </w:r>
    </w:p>
    <w:p>
      <w:pPr>
        <w:spacing w:line="360" w:lineRule="auto"/>
        <w:ind w:firstLine="709"/>
        <w:jc w:val="both"/>
      </w:pPr>
      <w:r>
        <w:rPr>
          <w:b/>
          <w:sz w:val="24"/>
          <w:szCs w:val="24"/>
        </w:rPr>
        <w:t xml:space="preserve">aprendizado.csv</w:t>
      </w:r>
      <w:r>
        <w:rPr>
          <w:sz w:val="24"/>
          <w:szCs w:val="24"/>
        </w:rPr>
        <w:t xml:space="preserve"> — evolução do aprendizado janela a janela: pesos testados, média de pontos da janela e decisão (adotado/revertido).</w:t>
      </w:r>
    </w:p>
    <w:p>
      <w:pPr>
        <w:spacing w:line="360" w:lineRule="auto"/>
        <w:ind w:firstLine="709"/>
        <w:jc w:val="both"/>
      </w:pPr>
      <w:r>
        <w:rPr>
          <w:b/>
          <w:sz w:val="24"/>
          <w:szCs w:val="24"/>
        </w:rPr>
        <w:t xml:space="preserve">turnos.csv</w:t>
      </w:r>
      <w:r>
        <w:rPr>
          <w:sz w:val="24"/>
          <w:szCs w:val="24"/>
        </w:rPr>
        <w:t xml:space="preserve"> (opcional) — registro fino turno a turno: ação escolhida, posição, proteção por cobertura e inimigos visíveis de cada agente.</w:t>
      </w:r>
    </w:p>
    <w:p>
      <w:pPr>
        <w:pStyle w:val="Heading1"/>
        <w:pageBreakBefore/>
        <w:spacing w:line="360" w:lineRule="auto" w:before="240" w:after="240"/>
        <w:jc w:val="both"/>
      </w:pPr>
      <w:r>
        <w:rPr>
          <w:b/>
          <w:sz w:val="24"/>
          <w:szCs w:val="24"/>
        </w:rPr>
        <w:t xml:space="preserve">APÊNDICE B – CORRESPONDÊNCIA COM OS APONTAMENTOS DA BANCA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O quadro abaixo mapeia cada apontamento da banca de qualificação para a seção deste documento que o responde.</w:t>
      </w:r>
    </w:p>
    <w:tbl>
      <w:tblPr>
        <w:tblW w:w="8392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629"/>
        <w:gridCol w:w="4763"/>
      </w:tblGrid>
      <w:tr>
        <w:tc>
          <w:tcPr>
            <w:tcW w:w="3629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Apontamento</w:t>
            </w:r>
          </w:p>
        </w:tc>
        <w:tc>
          <w:tcPr>
            <w:tcW w:w="4763" w:type="dxa"/>
            <w:shd w:val="clear" w:fill="E8E8E8"/>
          </w:tcPr>
          <w:p>
            <w:pPr>
              <w:spacing w:line="240" w:lineRule="auto"/>
              <w:jc w:val="center"/>
            </w:pPr>
            <w:r>
              <w:rPr>
                <w:b/>
                <w:sz w:val="20"/>
                <w:szCs w:val="20"/>
              </w:rPr>
              <w:t xml:space="preserve">Resposta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Não seguiu o modelo padrão de pré-projeto da instituição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Documento reestruturado integralmente conforme o modelo institucional (capa, Informações Gerais, seções 1-9, cronograma mensal)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Ausência de resultados parciais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Seção 5.1 (neutralidade validada com 1000 partidas; calibração; aprendizado)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Como será medido o custo computacional abstrato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Seção 4.4 (contagem de operações: linha de visão, nós de busca, ações avaliadas)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Jogo existente ou novo? Que gênero?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Seção 4, abertura (jogo novo em Godot; tático por turnos em grade, 3 agentes)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Diferença prática entre os quatro modelos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Tabela 1 e Seção 4.6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 que significa resolução sequencial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Seção 4.3 (um agente por vez sobre estado atualizado; sem simultaneidade)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Como funciona a ordem alternada entre rodadas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Seção 4.3 (rotação determinística: partida i inicia pelo agente i mod 3)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Como foi definido o limite de 100 turnos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Seção 4.3 (empírico: durações médias de 30-90 turnos; teto de segurança)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 que conta como cobertura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Seção 4.3 (célula de cobertura; proteção direcional; leve -10, pesada -20)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Quantos agentes por equipe; controle por turno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Seções 4.2 e 4.3 (3 agentes independentes, sem equipes; um por vez)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Dois agentes podem atacar o mesmo alvo?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Seção 4.3 (adversários independentes; cada um decide em seu turno)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Há aprendizado entre partidas?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Seção 4.5 (subida de encosta por janelas; registro em arquivo; reset por lote)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Origem dos pesos da heurística (w1..w4)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Seção 4.6 (varredura no banco de calibração + aprendizado; valores atuais)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 que o Strategic Score representa; por que esses pesos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Seção 4.7 (definição operacional de jogar bem; pesos a priori; limitação registrada)</w:t>
            </w:r>
          </w:p>
        </w:tc>
      </w:tr>
      <w:tr>
        <w:tc>
          <w:tcPr>
            <w:tcW w:w="3629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O mapa 40x40 foi testado?</w:t>
            </w:r>
          </w:p>
        </w:tc>
        <w:tc>
          <w:tcPr>
            <w:tcW w:w="4763" w:type="dxa"/>
          </w:tcPr>
          <w:p>
            <w:pPr>
              <w:spacing w:line="240" w:lineRule="auto"/>
              <w:jc w:val="center"/>
            </w:pPr>
            <w:r>
              <w:rPr>
                <w:sz w:val="20"/>
                <w:szCs w:val="20"/>
              </w:rPr>
              <w:t xml:space="preserve">Seções 4.1 e 5.1 (validado: durações, neutralidade, escala de lote)</w:t>
            </w:r>
          </w:p>
        </w:tc>
      </w:tr>
    </w:tbl>
    <w:p>
      <w:pPr>
        <w:spacing w:line="240" w:lineRule="auto"/>
        <w:jc w:val="center"/>
      </w:pPr>
      <w:r>
        <w:rPr>
          <w:sz w:val="20"/>
          <w:szCs w:val="20"/>
        </w:rPr>
        <w:t xml:space="preserve">Quadro 1: Apontamentos da banca e seções correspondentes</w:t>
      </w:r>
    </w:p>
    <w:p>
      <w:pPr>
        <w:spacing w:line="240" w:lineRule="auto" w:after="240"/>
        <w:jc w:val="center"/>
      </w:pPr>
      <w:r>
        <w:rPr>
          <w:sz w:val="20"/>
          <w:szCs w:val="20"/>
        </w:rPr>
        <w:t xml:space="preserve">Fonte: elaborado pelo autor (2026).</w:t>
      </w:r>
    </w:p>
    <w:sectPr>
      <w:footerReference w:type="default" r:id="rIdFtr"/>
      <w:pgSz w:w="11906" w:h="16838"/>
      <w:pgMar w:top="1701" w:right="1134" w:bottom="1134" w:left="1701" w:header="708" w:footer="708" w:gutter="0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b/>
        <w:sz w:val="20"/>
      </w:rPr>
      <w:fldChar w:fldCharType="begin"/>
    </w:r>
    <w:r>
      <w:rPr>
        <w:b/>
        <w:sz w:val="20"/>
      </w:rPr>
      <w:instrText xml:space="preserve"> PAGE </w:instrText>
    </w:r>
    <w:r>
      <w:rPr>
        <w:b/>
        <w:sz w:val="20"/>
      </w:rPr>
      <w:fldChar w:fldCharType="end"/>
    </w:r>
  </w:p>
</w:ftr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pt-BR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  <w:spacing w:line="360" w:lineRule="auto"/>
    </w:pPr>
    <w:rPr>
      <w:b/>
      <w:sz w:val="24"/>
    </w:rPr>
  </w:style>
  <w:style w:type="paragraph" w:styleId="Heading2">
    <w:name w:val="heading 2"/>
    <w:basedOn w:val="Normal"/>
    <w:pPr>
      <w:outlineLvl w:val="1"/>
      <w:spacing w:line="360" w:lineRule="auto"/>
    </w:pPr>
    <w:rPr>
      <w:b/>
      <w:sz w:val="24"/>
    </w:rPr>
  </w:style>
  <w:style w:type="paragraph" w:styleId="Heading3">
    <w:name w:val="heading 3"/>
    <w:basedOn w:val="Normal"/>
    <w:pPr>
      <w:outlineLvl w:val="2"/>
      <w:spacing w:line="360" w:lineRule="auto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tr" Type="http://schemas.openxmlformats.org/officeDocument/2006/relationships/footer" Target="footer1.xml"/></Relationships>
</file>