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sz w:val="20"/>
          <w:szCs w:val="20"/>
        </w:rPr>
        <w:drawing>
          <wp:inline distB="0" distT="0" distL="114300" distR="114300">
            <wp:extent cx="1047140" cy="1080000"/>
            <wp:effectExtent b="0" l="0" r="0" t="0"/>
            <wp:docPr descr="Description: magem relacionada" id="4" name="image3.png"/>
            <a:graphic>
              <a:graphicData uri="http://schemas.openxmlformats.org/drawingml/2006/picture">
                <pic:pic>
                  <pic:nvPicPr>
                    <pic:cNvPr descr="Description: magem relacionada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47140" cy="108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MINISTÉRIO DA EDUCAÇÃO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SECRETARIA DE EDUCAÇÃO PROFISSIONAL E TECNOLÓGICA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INSTITUTO FEDERAL DE EDUCAÇÃO, CIÊNCIA E TECNOLOGIA DO SUL DE MINAS GERAIS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CIÊNCIA DA COMPUTAÇÃO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Projeto de Trabalho de Conclusão de Curso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Simulador Tático para Avaliação de Inteligência Artificial: equilíbrio entre qualidade estratégica e custo computacional na tomada de decisão de agentes autônomos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Ciências Exatas e da Terra, Ciência da Computação e Metodologia e Técnicas da Computação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360" w:lineRule="auto"/>
        <w:jc w:val="center"/>
        <w:rPr/>
        <w:sectPr>
          <w:pgSz w:h="16838" w:w="11906" w:orient="portrait"/>
          <w:pgMar w:bottom="1134" w:top="1701" w:left="1701" w:right="1134" w:header="708" w:footer="708"/>
          <w:pgNumType w:start="1"/>
        </w:sectPr>
      </w:pPr>
      <w:r w:rsidDel="00000000" w:rsidR="00000000" w:rsidRPr="00000000">
        <w:rPr>
          <w:sz w:val="24"/>
          <w:szCs w:val="24"/>
          <w:rtl w:val="0"/>
        </w:rPr>
        <w:t xml:space="preserve">Muzambinho – MG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spacing w:after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INFORMAÇÕES GERAIS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60" w:lineRule="auto"/>
        <w:ind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Título do projeto: </w:t>
      </w:r>
      <w:r w:rsidDel="00000000" w:rsidR="00000000" w:rsidRPr="00000000">
        <w:rPr>
          <w:sz w:val="24"/>
          <w:szCs w:val="24"/>
          <w:rtl w:val="0"/>
        </w:rPr>
        <w:t xml:space="preserve">Simulador Tático para Avaliação de Inteligência Artificial: equilíbrio entre qualidade estratégica e custo computacional na tomada de decisão de agentes autônomos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360" w:lineRule="auto"/>
        <w:ind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ind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Orientador - Nome: </w:t>
      </w:r>
      <w:r w:rsidDel="00000000" w:rsidR="00000000" w:rsidRPr="00000000">
        <w:rPr>
          <w:sz w:val="24"/>
          <w:szCs w:val="24"/>
          <w:rtl w:val="0"/>
        </w:rPr>
        <w:t xml:space="preserve">Ricardo Martins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ind w:firstLine="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E-mail: </w:t>
      </w:r>
      <w:r w:rsidDel="00000000" w:rsidR="00000000" w:rsidRPr="00000000">
        <w:rPr>
          <w:rtl w:val="0"/>
        </w:rPr>
        <w:t xml:space="preserve">ricardo.martins@muz.ifsuldeminas.edu.br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ind w:firstLine="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Endereço no Lattes: </w:t>
      </w:r>
      <w:r w:rsidDel="00000000" w:rsidR="00000000" w:rsidRPr="00000000">
        <w:rPr>
          <w:rtl w:val="0"/>
        </w:rPr>
        <w:t xml:space="preserve">https://lattes.cnpq.br/6440153479104482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360" w:lineRule="auto"/>
        <w:ind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ind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Discente - Nome: </w:t>
      </w:r>
      <w:r w:rsidDel="00000000" w:rsidR="00000000" w:rsidRPr="00000000">
        <w:rPr>
          <w:sz w:val="24"/>
          <w:szCs w:val="24"/>
          <w:rtl w:val="0"/>
        </w:rPr>
        <w:t xml:space="preserve">Gabriel Madeira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ind w:firstLine="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E-mail: gabrielmadeira1504@gmail.com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ind w:firstLine="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Endereço no Lattes: </w:t>
      </w:r>
      <w:r w:rsidDel="00000000" w:rsidR="00000000" w:rsidRPr="00000000">
        <w:rPr>
          <w:rtl w:val="0"/>
        </w:rPr>
        <w:t xml:space="preserve">http://lattes.cnpq.br/9023419600551197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360" w:lineRule="auto"/>
        <w:ind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360" w:lineRule="auto"/>
        <w:ind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Membros do projeto:</w:t>
      </w:r>
      <w:r w:rsidDel="00000000" w:rsidR="00000000" w:rsidRPr="00000000">
        <w:rPr>
          <w:rtl w:val="0"/>
        </w:rPr>
      </w:r>
    </w:p>
    <w:tbl>
      <w:tblPr>
        <w:tblStyle w:val="Table1"/>
        <w:tblW w:w="941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28"/>
        <w:gridCol w:w="1814"/>
        <w:gridCol w:w="2041"/>
        <w:gridCol w:w="1361"/>
        <w:gridCol w:w="2268"/>
        <w:tblGridChange w:id="0">
          <w:tblGrid>
            <w:gridCol w:w="1928"/>
            <w:gridCol w:w="1814"/>
            <w:gridCol w:w="2041"/>
            <w:gridCol w:w="1361"/>
            <w:gridCol w:w="2268"/>
          </w:tblGrid>
        </w:tblGridChange>
      </w:tblGrid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2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2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Titulação máxima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3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Instituição Pertencente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3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3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Gabriel Madeira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Graduando em Ciência da Computação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IFSULDEMINAS - Campus Muzambinho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gabrielmadeira1504@gmail.com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Ricardo Martins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Mestre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IFSULDEMINAS - Campus Muzambinho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Orientador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ricardo.martins@muz.ifsuldeminas.edu.br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Diego Penha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[Titulação]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IFSULDEMINAS - Campus Muzambinho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Coorientador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[e-mail]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spacing w:after="240"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40" w:lineRule="auto"/>
        <w:ind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Local de Execução: </w:t>
      </w:r>
      <w:r w:rsidDel="00000000" w:rsidR="00000000" w:rsidRPr="00000000">
        <w:rPr>
          <w:sz w:val="24"/>
          <w:szCs w:val="24"/>
          <w:rtl w:val="0"/>
        </w:rPr>
        <w:t xml:space="preserve">IFSULDEMINAS – Campus Muzambinho.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ind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Período de Execução: </w:t>
      </w:r>
      <w:r w:rsidDel="00000000" w:rsidR="00000000" w:rsidRPr="00000000">
        <w:rPr>
          <w:sz w:val="24"/>
          <w:szCs w:val="24"/>
          <w:rtl w:val="0"/>
        </w:rPr>
        <w:t xml:space="preserve">Início: Fevereiro/2026 — Término: Dezembro/2026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pageBreakBefore w:val="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ANTECEDENTES, CARACTERIZAÇÃO DO PROBLEMA E JUSTIFICATIVA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A tomada de decisão é um dos problemas centrais da Inteligência Artificial. Segundo Russell e Norvig (2010), um agente inteligente é aquele que seleciona, a cada instante, a ação que maximiza sua medida de desempenho no ambiente em que atua. Em ambientes táticos — caracterizados por adversários, terreno com obstáculos, informação imperfeita e recursos limitados — essa seleção envolve equilibrar objetivos conflitantes: agredir e proteger-se, avançar e manter posição, decidir rápido e decidir bem.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Jogos digitais consolidaram-se como plataforma privilegiada para o estudo desses problemas. Técnicas de IA desenvolvidas para jogos servem de base para sistemas reais de decisão (MILLINGTON; FUNGE, 2016), e ambientes simulados permitem testes controlados, repetíveis e de baixo custo para a avaliação de agentes (PÉREZ-LIÉBANA et al., 2019). Abordagens como a Utility AI, que avalia ações candidatas por funções de utilidade multicritério, são amplamente empregadas na indústria (MARK; DILL, 2010).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Entretanto, a literatura e a prática de avaliação de agentes concentram-se, em geral, no resultado final das partidas: um agente é considerado melhor que outro se vence mais. Pouco se mede sobre como vence — se usa o terreno a seu favor, se troca dano de forma eficiente, se decide em tempo hábil e, sobretudo, quanto processamento consome para cada decisão. Essa avaliação baseada apenas em métricas finais limita a análise do comportamento estratégico, pois não captura posicionamento, uso de cobertura, eficiência das ações nem o custo de produzir as decisões.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Disso decorre a questão central deste trabalho: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como avaliar de forma eficaz a qualidade estratégica de agentes de IA em ambientes táticos controlados, considerando simultaneamente o valor das decisões e o custo computacional de produzi-las?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A hipótese investigada é a de que a utilização de métricas compostas, aliada a um modelo de decisão que considera simultaneamente valor estratégico e custo computacional, permite uma avaliação mais precisa do comportamento dos agentes e produz decisões mais eficientes do que abordagens que otimizam apenas o valor estratégico. Em síntese: busca-se verificar se é possível, com uma fórmula explícita de compromisso, chegar a um modelo de decisão mais eficiente.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trabalho justifica-se em duas frentes. Do ponto de vista científico, contribui com uma metodologia de avaliação que enxerga além da vitória, incorporando dimensões de qualidade decisória e de custo — lacuna apontada na literatura de avaliação de agentes (PÉREZ-LIÉBANA et al., 2019). Do ponto de vista prático, decisões computacionalmente baratas e estrategicamente boas interessam a qualquer sistema embarcado ou de tempo real: jogos comerciais com orçamento de CPU por quadro, robótica móvel e sistemas autônomos em geral. A opção por medir o custo por contagem de operações, e não por tempo de relógio, torna os resultados independentes do hardware utilizado e diretamente comparáveis entre pesquisadores.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REFERENCIAL TEÓRICO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2.1. Agentes inteligentes e ambientes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Russell e Norvig (2010) definem agente como qualquer entidade capaz de perceber seu ambiente por meio de sensores e de agir sobre ele por meio de atuadores; um agente racional escolhe ações que maximizam sua medida de desempenho esperada. O ambiente construído neste trabalho classifica-se, na taxonomia dos autores, como parcialmente observável (o agente enxerga apenas o interior do seu cone de visão), multiagente competitivo, determinístico nas transições, sequencial e discreto. A observabilidade parcial é decisiva para o realismo do experimento: agentes oniscientes convergem para comportamentos degenerados que não transferem para problemas reais.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2.2. Inteligência artificial para jogos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Millington e Funge (2016) sistematizam o arsenal clássico da IA para jogos: máquinas de estados, árvores de comportamento (MARCOTTE; HAMILTON, 2017), sistemas de utilidade, pathfinding e táticas de posicionamento. Os autores destacam que a IA de jogos opera sob restrições severas de orçamento computacional — tipicamente uma fração de milissegundo por agente por quadro — o que torna o custo de cada decisão um critério de projeto de primeira ordem.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2.3. Utility AI e decisão multicritério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A abordagem de Utility AI (MARK; DILL, 2010) avalia cada ação candidata por uma função de utilidade que combina múltiplos fatores normalizados e ponderados, arbitrando entre objetivos conflitantes de forma contínua e ajustável. A IA heurística deste trabalho é uma instância direta dessa técnica: cada posição alcançável recebe um valor estratégico multicritério, e a de maior valor é escolhida.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 Avaliação de agentes em ambientes simulados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Pérez-Liébana et al. (2019) consolidaram, com o framework GVGAI, a prática de avaliar agentes de IA em baterias padronizadas com condições idênticas para todos os competidores. Três princípios dessa tradição são incorporados integralmente a este trabalho: bancos fixos de cenários (aqui, sementes de geração procedural), separação estrita entre conjunto de calibração e conjunto de teste, e métricas agregadas sobre grandes quantidades de partidas.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2.5. Custo computacional e o espectro de sofisticação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No extremo sofisticado do espectro de decisão está o Monte Carlo Tree Search (MCTS), que estima o valor de ações explorando árvores de futuros possíveis (BROWNE et al., 2012), alcançando alta qualidade estratégica ao custo de milhares de simulações por decisão. O MCTS é adotado aqui como referência teórica de teto de qualidade, e não como modelo implementado. O modelo híbrido proposto ataca exatamente o eixo que o MCTS ilustra — quanto vale cada unidade adicional de processamento — formalizando o compromisso com um parâmetro explícito de troca, em linha com a discussão de trade-offs de Browne et al. (2012).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OBJETIVOS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3.1. Objetivo 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Desenvolver um simulador tático bidimensional para avaliação sistemática de estratégias de IA em ambiente controlado, e propor um modelo híbrido de tomada de decisão que equilibre qualidade estratégica e custo computacional, medido de forma independente de hardware por contagem de operações.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3.2. Objetivos Específicos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ind w:left="709" w:firstLine="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● Construir um ambiente de simulação em grade com mecânicas de combate, cobertura direcional, percepção limitada e geração procedural de mapas por sementes;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360" w:lineRule="auto"/>
        <w:ind w:left="709" w:firstLine="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● Implementar quatro modelos de tomada de decisão com níveis crescentes de sofisticação — aleatório, reativo, heurístico e híbrido — sob um contrato de software comum que garanta comparação justa;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360" w:lineRule="auto"/>
        <w:ind w:left="709" w:firstLine="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● Coletar métricas de desempenho estratégico e de custo computacional em larga escala, com documentação completa e reprodutível de cada execução;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360" w:lineRule="auto"/>
        <w:ind w:left="709" w:firstLine="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● Analisar comparativamente os modelos e verificar se o modelo híbrido proposto supera os demais em eficiência estratégica global.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METODOLOGIA E ESTRATÉGIA DE 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Optou-se por desenvolver um jogo novo, construído especificamente para a pesquisa, em vez de instrumentar um jogo existente — decisão que garante controle total sobre regras, determinismo e instrumentação de medição. O gênero é o combate tático por turnos em grade, no formato todos-contra-todos com três agentes autônomos. O simulador foi implementado no motor Godot 4.7 e executa em modo visual (inspeção e demonstração) e em modo headless (lotes experimentais sem renderização). A metodologia organiza-se nas subseções seguintes: o ambiente (4.1), os agentes e sua percepção (4.2), as regras de combate (4.3), a medição de custo (4.4), o aprendizado entre partidas (4.5), os modelos comparados (4.6), as métricas (4.7), o protocolo experimental (4.8) e a infraestrutura (4.9).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4.1. Ambiente: grade, geração procedural e setores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mapa é uma grade bidimensional de 40x40 células de quatro tipos: vazia, parede (bloqueia movimento e visão), cobertura leve e cobertura pesada (transponíveis, não bloqueiam visão, reduzem dano). A dimensão 40x40 foi validada empiricamente: com alcance de visão 8 e movimento de 3 células por turno, produz partidas com duração média observada entre 30 e 90 turnos conforme os modelos — longas o bastante para manobra e curtas o bastante para caber no limite de 100 turnos e viabilizar lotes de 1000 partidas em minutos.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Cada mapa é gerado proceduralmente a partir de uma semente inteira que alimenta um gerador congruente determinístico: a mesma semente produz sempre o mesmo mapa, os mesmos pontos de nascimento e, dadas as mesmas IAs, exatamente a mesma partida. O gerador posiciona segmentos de parede e blocos de cobertura respeitando uma zona de segurança ao redor dos nascimentos, e valida por busca em largura que todos os agentes podem se alcançar. Para impedir vantagem de terreno, o mapa é dividido em quatro setores de 20x20 e cada um dos três agentes nasce em um setor distinto, sorteado pela semente.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4.2. Agentes e percepção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Cada agente possui posição, pontos de vida (100), alcance de visão (8 células, distância de Chebyshev), orientação, estado vivo/morto e identificador de cor (verde, vermelho ou azul). São três agentes independentes — não há equipes — e o controle é estritamente um por vez, em turnos sequenciais.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A percepção é deliberadamente limitada: um agente conhece a posição de um inimigo apenas se ele estiver dentro do seu cone de visão de 120 graus, centrado na orientação, a até 8 células, com linha de visão desobstruída — paredes bloqueiam a visão; coberturas, não. A orientação acompanha a última ação: mover vira o agente para a direção do deslocamento; atacar, para o alvo. Completam o modelo perceptivo a memória tática (o agente guarda a última posição em que viu cada inimigo e investiga a mais próxima, esquecendo-a ao chegar lá e nada encontrar) e a revelação por dano (receber um tiro revela a posição do atirador mesmo fora do cone). Sem informação alguma, o agente explora destinos sorteados por gerador semeado pela semente da partida, preservando o determinismo.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4.3. Regras de combate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sistema é de turnos sequenciais: a cada turno completo, cada agente vivo age exatamente uma vez, um após o outro, em ordem fixa dentro da partida. Não há simultaneidade a resolver — quando um agente decide, o estado que observa já incorpora as ações dos que agiram antes no turno — nem disputa por alvo: os agentes são adversários independentes e cada um decide em seu próprio momento. Para anular o viés de agir primeiro, a ordem inicial é rotacionada entre as partidas do lote: a partida i inicia pelo agente i mod 3, de modo que cada agente inicia exatamente um terço das simulações.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No seu turno, o agente pode mover-se até 3 células (caminho validado por busca em largura em 4 direções, respeitando paredes) e executar uma ação: atacar ou permanecer. O ataque exige alvo dentro do alcance (igual ao de visão), linha de visão desobstruída e alinhamento em linha reta — horizontal, vertical ou diagonal perfeita. A restrição de linha reta é necessária para que a cobertura direcional seja efetiva; sem ela, ângulos arbitrários contornariam qualquer defesa. A cobertura é direcional e automática: um defensor está protegido quando existe célula de cobertura ortogonalmente adjacente a ele na direção do atacante. O dano é determinístico: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tabs>
          <w:tab w:val="center" w:pos="4535"/>
          <w:tab w:val="right" w:pos="9071"/>
        </w:tabs>
        <w:spacing w:after="120" w:before="120" w:line="360" w:lineRule="auto"/>
        <w:rPr/>
      </w:pPr>
      <w:r>
        <w:rPr/>
        <w:tab/>
      </w:r>
      <w:r w:rsidDel="00000000" w:rsidR="00000000" w:rsidRPr="00000000">
        <w:rPr/>
        <w:drawing>
          <wp:inline distB="19050" distT="19050" distL="19050" distR="19050">
            <wp:extent cx="2984500" cy="165100"/>
            <wp:effectExtent b="0" l="0" r="0" t="0"/>
            <wp:docPr descr="&lt;math-flow&gt;{&quot;id&quot;:&quot;e02f35d2-3104-4c00-9627-61c1d7b5302b&quot;,&quot;latex&quot;:&quot;\\[\\text{Dano} = 30 - \\text{Redução}, \\quad \\text{Redução} \\in \\{0, 10, 20\\}\\]&quot;,&quot;timestamp&quot;:1784670028693,&quot;scale&quot;:1.2,&quot;bgColor&quot;:&quot;transparent&quot;,&quot;version&quot;:2}&lt;/math-flow&gt;" id="2" name="image7.png"/>
            <a:graphic>
              <a:graphicData uri="http://schemas.openxmlformats.org/drawingml/2006/picture">
                <pic:pic>
                  <pic:nvPicPr>
                    <pic:cNvPr descr="&lt;math-flow&gt;{&quot;id&quot;:&quot;e02f35d2-3104-4c00-9627-61c1d7b5302b&quot;,&quot;latex&quot;:&quot;\\[\\text{Dano} = 30 - \\text{Redução}, \\quad \\text{Redução} \\in \\{0, 10, 20\\}\\]&quot;,&quot;timestamp&quot;:1784670028693,&quot;scale&quot;:1.2,&quot;bgColor&quot;:&quot;transparent&quot;,&quot;version&quot;:2}&lt;/math-flow&gt;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16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(1)</w:t>
      </w:r>
    </w:p>
    <w:p w:rsidR="00000000" w:rsidDel="00000000" w:rsidP="00000000" w:rsidRDefault="00000000" w:rsidRPr="00000000" w14:paraId="0000006C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com redução 10 para cobertura leve e 20 para pesada. Não há qualquer sorteio em combate: toda a aleatoriedade do experimento está confinada à geração dos mapas. A partida termina quando resta um único agente vivo (vencedor) ou ao atingir o limite de 100 turnos, caso em que é declarado empate. O valor 100 foi definido empiricamente como teto de segurança: as durações médias observadas ficam entre 30 e 90 turnos, de modo que o limite raramente interrompe partidas que convergiriam, mas impede laços infinitos de perseguição.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4.4. Custo computacional abstrato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custo computacional de uma decisão é medido por contagem de operações elementares, e não por tempo de relógio. Três contadores são mantidos por agente: cálculos de linha de visão executados, nós visitados nas buscas de caminho e ações geradas e avaliadas pela IA; o custo total é a soma dos três. A medição é ativada exclusivamente durante a fase de decisão do agente da vez — mede-se o custo de decidir, não o de executar. Operações contadas são invariantes: o mesmo experimento produz exatamente os mesmos custos em qualquer computador, tornando os resultados auditáveis e comparáveis.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4.5. Aprendizado entre partidas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Dentro de um lote, a mesma instância de IA disputa todas as partidas e recebe, ao final de cada uma, a pontuação obtida (+3 vitória, -1 empate, -3 derrota). A IA heurística usa esse sinal para calibrar seus pesos por subida de encosta: joga uma janela de 25 partidas com uma configuração, mede a média de pontos e a adota se superar a melhor média conhecida, revertendo caso contrário; a janela seguinte testa uma perturbação da melhor configuração, com gerador semeado — todo o processo é reprodutível. Ao final do lote, a evolução completa é gravada em arquivo próprio (aprendizado.csv), apresentado junto aos resultados, e as instâncias são descartadas: cada lote parte do zero. Os modelos aleatório e reativo não possuem parâmetros ajustáveis e servem de contraste estático.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4.6. Modelos de tomada de decisão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Quatro modelos são comparados, em níveis crescentes de uso de informação, conforme a Tabela 1.</w:t>
      </w:r>
      <w:r w:rsidDel="00000000" w:rsidR="00000000" w:rsidRPr="00000000">
        <w:rPr>
          <w:rtl w:val="0"/>
        </w:rPr>
      </w:r>
    </w:p>
    <w:tbl>
      <w:tblPr>
        <w:tblStyle w:val="Table2"/>
        <w:tblW w:w="1009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14"/>
        <w:gridCol w:w="1474"/>
        <w:gridCol w:w="3175"/>
        <w:gridCol w:w="1701"/>
        <w:gridCol w:w="1928"/>
        <w:tblGridChange w:id="0">
          <w:tblGrid>
            <w:gridCol w:w="1814"/>
            <w:gridCol w:w="1474"/>
            <w:gridCol w:w="3175"/>
            <w:gridCol w:w="1701"/>
            <w:gridCol w:w="1928"/>
          </w:tblGrid>
        </w:tblGridChange>
      </w:tblGrid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7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Modelo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7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Usa o estado?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7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Mecanismo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7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Aprende?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7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Papel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Aleatório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Sorteia uma ação válida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Piso de desempenho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Reativo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Parcial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Regras fixas: atacar se vê; senão caçar/explorar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Adversário padrão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Heurístico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Argmax do valor estratégico multicritério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Pesos (hill-climbing)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Estratégia sem custo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Híbrido (proposto)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Valor estratégico menos custo ponderado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Pesos e lambda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Contribuição da pesquisa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spacing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Tabela 1: Comparativo dos modelos de tomada de decisão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240"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A IA aleatória enumera as ações válidas do turno e sorteia uma (gerador semeado — mesmo o acaso é reprodutível). A IA reativa segue três regras em cascata: se há inimigo com linha de tiro reta, ataca o mais próximo; se vê inimigo sem linha de tiro, aproxima-se para alinhar; se não vê ninguém, dirige-se à última posição conhecida ou explora — e cumpre também o papel de adversário padrão contra o qual os modelos avaliados jogam. A IA heurística, instância de Utility AI, avalia a cada turno com contato visual todas as posições alcançáveis pela função: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tabs>
          <w:tab w:val="center" w:pos="4535"/>
          <w:tab w:val="right" w:pos="9071"/>
        </w:tabs>
        <w:spacing w:after="120" w:before="120" w:line="360" w:lineRule="auto"/>
        <w:rPr/>
      </w:pPr>
      <w:r>
        <w:rPr/>
        <w:tab/>
      </w:r>
      <w:r w:rsidDel="00000000" w:rsidR="00000000" w:rsidRPr="00000000">
        <w:rPr/>
        <w:drawing>
          <wp:inline distB="19050" distT="19050" distL="19050" distR="19050">
            <wp:extent cx="5080000" cy="124921"/>
            <wp:effectExtent b="0" l="0" r="0" t="0"/>
            <wp:docPr descr="&lt;math-flow&gt;{&quot;id&quot;:&quot;84eaa62f-f231-42de-9eb1-828efb6e2f6a&quot;,&quot;latex&quot;:&quot;\\[\\text{ValorEstratégico} = w_1 \\cdot \\text{Vida} + w_2 \\cdot \\text{Cobertura} + w_3 \\cdot \\text{Proximidade} + w_4 \\cdot \\text{Risco} + \\text{Movimentação}\\]&quot;,&quot;timestamp&quot;:1784670028348,&quot;scale&quot;:1.2,&quot;bgColor&quot;:&quot;transparent&quot;,&quot;version&quot;:2}&lt;/math-flow&gt;" id="5" name="image5.png"/>
            <a:graphic>
              <a:graphicData uri="http://schemas.openxmlformats.org/drawingml/2006/picture">
                <pic:pic>
                  <pic:nvPicPr>
                    <pic:cNvPr descr="&lt;math-flow&gt;{&quot;id&quot;:&quot;84eaa62f-f231-42de-9eb1-828efb6e2f6a&quot;,&quot;latex&quot;:&quot;\\[\\text{ValorEstratégico} = w_1 \\cdot \\text{Vida} + w_2 \\cdot \\text{Cobertura} + w_3 \\cdot \\text{Proximidade} + w_4 \\cdot \\text{Risco} + \\text{Movimentação}\\]&quot;,&quot;timestamp&quot;:1784670028348,&quot;scale&quot;:1.2,&quot;bgColor&quot;:&quot;transparent&quot;,&quot;version&quot;:2}&lt;/math-flow&gt;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1249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(2)</w:t>
      </w:r>
    </w:p>
    <w:p w:rsidR="00000000" w:rsidDel="00000000" w:rsidP="00000000" w:rsidRDefault="00000000" w:rsidRPr="00000000" w14:paraId="00000090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onde Vida é a proporção de pontos de vida do agente; Cobertura é a proteção potencial da posição (0; 0,5 leve; 1 pesada); Proximidade é o inverso da distância ao inimigo visível mais próximo; Risco é a fração de inimigos visíveis com linha de visão para a posição (impacto negativo); e Movimentação é um incentivo fixo de deslocamento — +0,2 por célula percorrida e -0,2 se a posição já foi visitada na partida — que garante manobra constante e impede o entrincheiramento passivo. Os pesos atuais (w1 = 0,1; w2 = 0,3; w3 = 0,5; w4 = -0,2) não são arbitrários: foram selecionados por varredura comparativa no banco de calibração de 200 sementes, isolado do banco de teste, e são continuamente refinados pelo aprendizado entre partidas (Seção 4.5), cujo histórico integral acompanha os resultados.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modelo híbrido proposto — contribuição central da pesquisa — estende a avaliação heurística com a penalização explícita do custo computacional: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tabs>
          <w:tab w:val="center" w:pos="4535"/>
          <w:tab w:val="right" w:pos="9071"/>
        </w:tabs>
        <w:spacing w:after="120" w:before="120" w:line="360" w:lineRule="auto"/>
        <w:rPr/>
      </w:pPr>
      <w:r>
        <w:rPr/>
        <w:tab/>
      </w:r>
      <w:r w:rsidDel="00000000" w:rsidR="00000000" w:rsidRPr="00000000">
        <w:rPr/>
        <w:drawing>
          <wp:inline distB="19050" distT="19050" distL="19050" distR="19050">
            <wp:extent cx="3657600" cy="152400"/>
            <wp:effectExtent b="0" l="0" r="0" t="0"/>
            <wp:docPr descr="&lt;math-flow&gt;{&quot;id&quot;:&quot;150c8221-1d0a-4c62-95cf-b44bff52f068&quot;,&quot;latex&quot;:&quot;\\[\\text{ScoreAção} = \\text{ValorEstratégico} - \\lambda \\cdot \\text{CustoComputacional}\\]&quot;,&quot;timestamp&quot;:1784670027935,&quot;scale&quot;:1.2,&quot;bgColor&quot;:&quot;transparent&quot;,&quot;version&quot;:2}&lt;/math-flow&gt;" id="6" name="image6.png"/>
            <a:graphic>
              <a:graphicData uri="http://schemas.openxmlformats.org/drawingml/2006/picture">
                <pic:pic>
                  <pic:nvPicPr>
                    <pic:cNvPr descr="&lt;math-flow&gt;{&quot;id&quot;:&quot;150c8221-1d0a-4c62-95cf-b44bff52f068&quot;,&quot;latex&quot;:&quot;\\[\\text{ScoreAção} = \\text{ValorEstratégico} - \\lambda \\cdot \\text{CustoComputacional}\\]&quot;,&quot;timestamp&quot;:1784670027935,&quot;scale&quot;:1.2,&quot;bgColor&quot;:&quot;transparent&quot;,&quot;version&quot;:2}&lt;/math-flow&gt;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5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(3)</w:t>
      </w:r>
    </w:p>
    <w:p w:rsidR="00000000" w:rsidDel="00000000" w:rsidP="00000000" w:rsidRDefault="00000000" w:rsidRPr="00000000" w14:paraId="00000093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onde CustoComputacional é o custo, em operações contadas, de avaliar a própria ação, e lambda é o parâmetro de compromisso que converte operações em unidades de valor estratégico: com lambda igual a zero o modelo colapsa no heurístico puro; com lambda grande, aproxima-se do reativo. Seguindo o protocolo experimental (Seção 4.8), o modelo híbrido será construído somente após a análise da campanha de caracterização dos modelos básicos — a solução é derivada dos dados —, com lambda calibrado no banco de 200 sementes.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4.7. Métricas de avaliação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Para cada modelo, sobre o conjunto de partidas de um lote, calculam-se: WinRate (fração de vitórias); DamageRatio, com limitador contra divisão por zero: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tabs>
          <w:tab w:val="center" w:pos="4535"/>
          <w:tab w:val="right" w:pos="9071"/>
        </w:tabs>
        <w:spacing w:after="120" w:before="120" w:line="360" w:lineRule="auto"/>
        <w:rPr/>
      </w:pPr>
      <w:r>
        <w:rPr/>
        <w:tab/>
      </w:r>
      <w:r w:rsidDel="00000000" w:rsidR="00000000" w:rsidRPr="00000000">
        <w:rPr/>
        <w:drawing>
          <wp:inline distB="19050" distT="19050" distL="19050" distR="19050">
            <wp:extent cx="3149600" cy="355600"/>
            <wp:effectExtent b="0" l="0" r="0" t="0"/>
            <wp:docPr descr="&lt;math-flow&gt;{&quot;id&quot;:&quot;a4efdf09-eee3-42d0-8450-7793ceef0d64&quot;,&quot;latex&quot;:&quot;\\[\\text{DamageRatio} = \\frac{\\text{dano causado}}{\\max(\\text{dano recebido},\\ \\varepsilon)}, \\quad \\varepsilon = 1\\]&quot;,&quot;timestamp&quot;:1784670027528,&quot;scale&quot;:1.2,&quot;bgColor&quot;:&quot;transparent&quot;,&quot;version&quot;:2}&lt;/math-flow&gt;" id="7" name="image4.png"/>
            <a:graphic>
              <a:graphicData uri="http://schemas.openxmlformats.org/drawingml/2006/picture">
                <pic:pic>
                  <pic:nvPicPr>
                    <pic:cNvPr descr="&lt;math-flow&gt;{&quot;id&quot;:&quot;a4efdf09-eee3-42d0-8450-7793ceef0d64&quot;,&quot;latex&quot;:&quot;\\[\\text{DamageRatio} = \\frac{\\text{dano causado}}{\\max(\\text{dano recebido},\\ \\varepsilon)}, \\quad \\varepsilon = 1\\]&quot;,&quot;timestamp&quot;:1784670027528,&quot;scale&quot;:1.2,&quot;bgColor&quot;:&quot;transparent&quot;,&quot;version&quot;:2}&lt;/math-flow&gt;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35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(4)</w:t>
      </w:r>
    </w:p>
    <w:p w:rsidR="00000000" w:rsidDel="00000000" w:rsidP="00000000" w:rsidRDefault="00000000" w:rsidRPr="00000000" w14:paraId="00000097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CoverUsage (fração dos turnos em que o agente terminou em posição com cobertura adjacente); TurnsToVictory (média de turnos para vencer, com empates penalizados pelo valor máximo de 100 e derrotas excluídas); e CustoComputacionalMedio (média por partida das operações contadas na decisão). Cada partida atribui ainda uma pontuação: +3 por vitória, -1 por empate e -3 por derrota. O empate é deliberadamente penalizado porque um modelo que apenas sobrevive sem decidir a partida não demonstra eficácia estratégica; a média de pontos por partida (faixa -3 a +3) mostrou-se a métrica mais legível para comparação direta. As dimensões individuais são agregadas no escore composto: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center" w:pos="4535"/>
          <w:tab w:val="right" w:pos="9071"/>
        </w:tabs>
        <w:spacing w:after="120" w:before="120" w:line="360" w:lineRule="auto"/>
        <w:rPr/>
      </w:pPr>
      <w:r>
        <w:rPr/>
        <w:tab/>
      </w:r>
      <w:r w:rsidDel="00000000" w:rsidR="00000000" w:rsidRPr="00000000">
        <w:rPr/>
        <w:drawing>
          <wp:inline distB="19050" distT="19050" distL="19050" distR="19050">
            <wp:extent cx="5080000" cy="312143"/>
            <wp:effectExtent b="0" l="0" r="0" t="0"/>
            <wp:docPr descr="&lt;math-flow&gt;{&quot;id&quot;:&quot;5dad83ec-14d9-4cc2-858a-0dff8c098bb1&quot;,&quot;latex&quot;:&quot;\\[\\text{StrategicScore} = 0{,}3 \\cdot \\text{WinRate} + 0{,}2 \\cdot \\text{DamageRatio} + 0{,}2 \\cdot \\text{CoverUsage} + 0{,}2 \\cdot \\text{Efficiency} + 0{,}1 \\cdot \\frac{1}{\\max(\\text{Custo},\\ \\varepsilon)}\\]&quot;,&quot;timestamp&quot;:1784670027082,&quot;scale&quot;:1.2,&quot;bgColor&quot;:&quot;transparent&quot;,&quot;version&quot;:2}&lt;/math-flow&gt;" id="1" name="image1.png"/>
            <a:graphic>
              <a:graphicData uri="http://schemas.openxmlformats.org/drawingml/2006/picture">
                <pic:pic>
                  <pic:nvPicPr>
                    <pic:cNvPr descr="&lt;math-flow&gt;{&quot;id&quot;:&quot;5dad83ec-14d9-4cc2-858a-0dff8c098bb1&quot;,&quot;latex&quot;:&quot;\\[\\text{StrategicScore} = 0{,}3 \\cdot \\text{WinRate} + 0{,}2 \\cdot \\text{DamageRatio} + 0{,}2 \\cdot \\text{CoverUsage} + 0{,}2 \\cdot \\text{Efficiency} + 0{,}1 \\cdot \\frac{1}{\\max(\\text{Custo},\\ \\varepsilon)}\\]&quot;,&quot;timestamp&quot;:1784670027082,&quot;scale&quot;:1.2,&quot;bgColor&quot;:&quot;transparent&quot;,&quot;version&quot;:2}&lt;/math-flow&gt;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3121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(5)</w:t>
      </w:r>
    </w:p>
    <w:p w:rsidR="00000000" w:rsidDel="00000000" w:rsidP="00000000" w:rsidRDefault="00000000" w:rsidRPr="00000000" w14:paraId="00000099">
      <w:pPr>
        <w:tabs>
          <w:tab w:val="center" w:pos="4535"/>
          <w:tab w:val="right" w:pos="9071"/>
        </w:tabs>
        <w:spacing w:after="120" w:before="120" w:line="360" w:lineRule="auto"/>
        <w:rPr/>
      </w:pPr>
      <w:r>
        <w:rPr/>
        <w:tab/>
      </w:r>
      <w:r w:rsidDel="00000000" w:rsidR="00000000" w:rsidRPr="00000000">
        <w:rPr/>
        <w:drawing>
          <wp:inline distB="19050" distT="19050" distL="19050" distR="19050">
            <wp:extent cx="2514600" cy="355600"/>
            <wp:effectExtent b="0" l="0" r="0" t="0"/>
            <wp:docPr descr="&lt;math-flow&gt;{&quot;id&quot;:&quot;752f6c3a-cbe3-44cc-81b9-d9de0883b22f&quot;,&quot;latex&quot;:&quot;\\[\\text{Efficiency} = \\frac{1}{\\max(\\text{TurnsToVictory},\\ 1)}\\]&quot;,&quot;timestamp&quot;:1784670026522,&quot;scale&quot;:1.2,&quot;bgColor&quot;:&quot;transparent&quot;,&quot;version&quot;:2}&lt;/math-flow&gt;" id="3" name="image2.png"/>
            <a:graphic>
              <a:graphicData uri="http://schemas.openxmlformats.org/drawingml/2006/picture">
                <pic:pic>
                  <pic:nvPicPr>
                    <pic:cNvPr descr="&lt;math-flow&gt;{&quot;id&quot;:&quot;752f6c3a-cbe3-44cc-81b9-d9de0883b22f&quot;,&quot;latex&quot;:&quot;\\[\\text{Efficiency} = \\frac{1}{\\max(\\text{TurnsToVictory},\\ 1)}\\]&quot;,&quot;timestamp&quot;:1784670026522,&quot;scale&quot;:1.2,&quot;bgColor&quot;:&quot;transparent&quot;,&quot;version&quot;:2}&lt;/math-flow&gt;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35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(6)</w:t>
      </w:r>
    </w:p>
    <w:p w:rsidR="00000000" w:rsidDel="00000000" w:rsidP="00000000" w:rsidRDefault="00000000" w:rsidRPr="00000000" w14:paraId="0000009A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Na prática, a fórmula é uma definição operacional de jogar bem: vencer (30%), causar mais dano do que receber (20%), usar o terreno (20%), vencer rápido (20%) e decidir barato (10%) — pesos fixados a priori, antes de qualquer comparação entre modelos, para que não possam favorecer o modelo proposto. Uma limitação conhecida é registrada com transparência: o DamageRatio não é normalizado à faixa das demais componentes e pode dominar o escore quando um modelo vence sem receber dano; a adoção de um teto está em avaliação com a orientação, e qualquer alteração será aplicada uniformemente a todos os modelos. Por essa razão, as análises reportam sempre as métricas individuais ao lado do escore composto.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4.8. Protocolo experimental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Dois bancos congelados e disjuntos de sementes foram gerados uma única vez por um gerador congruente linear documentado: 200 sementes de calibração, usadas exclusivamente para ajuste de pesos e de lambda, e 1000 sementes de benchmark, reservadas à avaliação — a separação previne sobreajuste e os arquivos são imutáveis e versionados. Três mecanismos garantem que diferenças de desempenho sejam atribuíveis aos modelos: sorteio de setores de nascimento (vantagem de terreno), rotação uniforme de iniciativa (vantagem de primeiro turno) e combate determinístico (variância de sorte).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A campanha de coleta segue etapas ordenadas, cada uma com 1000 partidas documentadas: (1) autoconfronto por modelo — três instâncias do mesmo modelo por partida —, caracterizando o comportamento decisório de cada um isoladamente; (2) confronto misto, com um agente de cada modelo; (3) análise das métricas decisórias e identificação dos melhores comportamentos; (4) construção do modelo híbrido a partir do que os dados mostrarem; (5) avaliação final do híbrido contra cada modelo e contra os melhores identificados, verificando a hipótese de superioridade em eficácia e custo. Todas as execuções usam o mesmo banco de 1000 sementes, garantindo comparabilidade integral. O pipeline é determinístico de ponta a ponta — mesma semente, mesmos modelos, mesmos parâmetros produzem partidas byte a byte idênticas, propriedade verificada por reexecução integral de lotes.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4.9. Arquitetura e infraestrutura experimental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software separa estritamente as responsabilidades: o núcleo de simulação não conhece a lógica das IAs; cada IA implementa um contrato único — receber o estado e devolver uma ação — e a simulação valida e aplica a ação devolvida. Trocar o modelo de um jogador é uma operação de um argumento de linha de comando, garantindo que todos os modelos joguem exatamente o mesmo jogo. Cada lote gera uma pasta autodocumentada e imutável contendo o manifesto da execução (condições completas), o registro por partida (uma linha por jogador, com métricas brutas, derivadas e custo aberto por tipo de operação), o resumo agregado (médias, desvios-padrão e escore), o registro do aprendizado janela a janela e, opcionalmente, o registro turno a turno. Um lote de 1000 partidas executa em 70 a 120 segundos em modo headless. O código, os bancos de sementes e as execuções oficiais são versionados em repositório público.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RESULTADOS E IMPACTOS ESPERADOS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Espera-se demonstrar que o modelo híbrido proposto alcança eficácia estratégica igual ou superior à do modelo heurístico puro com custo computacional significativamente menor, validando a hipótese de que a formalização explícita do compromisso qualidade-custo produz agentes mais eficientes. Como impactos, o trabalho entrega uma metodologia de avaliação reprodutível e independente de hardware, um simulador aberto reutilizável por outras pesquisas e evidências quantitativas sobre o valor marginal do processamento na tomada de decisão tática.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5.1. Resultados Preliminares (Parciais)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5.1.1. Validação da neutralidade do ambiente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Antes de comparar modelos, validou-se o instrumento: 1000 partidas do banco de benchmark foram executadas com os três agentes controlados pela mesma IA reativa. Em ambiente neutro, as taxas de vitória devem ser estatisticamente indistinguíveis — qualquer assimetria sistemática denunciaria viés de terreno, cor ou iniciativa. A Tabela 2 apresenta o resultado.</w:t>
      </w:r>
      <w:r w:rsidDel="00000000" w:rsidR="00000000" w:rsidRPr="00000000">
        <w:rPr>
          <w:rtl w:val="0"/>
        </w:rPr>
      </w:r>
    </w:p>
    <w:tbl>
      <w:tblPr>
        <w:tblStyle w:val="Table3"/>
        <w:tblW w:w="95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1"/>
        <w:gridCol w:w="1474"/>
        <w:gridCol w:w="3175"/>
        <w:gridCol w:w="3175"/>
        <w:tblGridChange w:id="0">
          <w:tblGrid>
            <w:gridCol w:w="1701"/>
            <w:gridCol w:w="1474"/>
            <w:gridCol w:w="3175"/>
            <w:gridCol w:w="3175"/>
          </w:tblGrid>
        </w:tblGridChange>
      </w:tblGrid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A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Agente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A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WinRate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A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DamageRatio (média ± dp)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A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CoverUsage (média ± dp)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0,297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5,32 ± 12,03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0,058 ± 0,152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Vermelho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0,298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6,24 ± 13,38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0,055 ± 0,145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Azul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0,310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6,48 ± 13,81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0,053 ± 0,147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5">
      <w:pPr>
        <w:spacing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Tabela 2: Validação de neutralidade — 3 agentes idênticos (IA reativa), 1000 partidas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40"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Com N = 1000 e probabilidade de referência de 1/3, a flutuação estatística esperada é de aproximadamente 1,5 ponto percentual; a maior diferença observada foi de 1,3 ponto — dentro do ruído. Conclui-se que o sorteio de setores e a rotação de iniciativa neutralizam os vieses com sucesso, e que diferenças observadas doravante são atribuíveis aos modelos. Esta validação foi executada na versão inicial das mecânicas e será reexecutada como primeira etapa da campanha definitiva, sob o conjunto final de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5.1.2. Efeito da percepção limitada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A introdução do campo de visão produziu um resultado metodologicamente relevante: sob onisciência, a IA heurística vencia com folga a reativa; com percepção limitada, a vantagem praticamente desapareceu (WinRate de 0,30 para todas em lote de calibração). A avaliação posicional só agrega valor durante o contato visual, e partidas com busca às cegas comprimem a diferença entre modelos — achado que reforça a motivação do modelo híbrido: concentrar o gasto computacional nos momentos em que a avaliação de fato informa a decisão.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5.1.3. Efeito da linha de tiro reta e do incentivo de movimentação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Duas regras subsequentes recuperaram e ampliaram a diferenciação estratégica: a restrição de tiro em linha reta tornou a cobertura direcional efetiva, e o incentivo de movimentação eliminou o entrincheiramento passivo. A Tabela 3 apresenta o lote de calibração mais recente (30 partidas, banco de calibração), com a heurística enfrentando duas reativas.</w:t>
      </w:r>
      <w:r w:rsidDel="00000000" w:rsidR="00000000" w:rsidRPr="00000000">
        <w:rPr>
          <w:rtl w:val="0"/>
        </w:rPr>
      </w:r>
    </w:p>
    <w:tbl>
      <w:tblPr>
        <w:tblStyle w:val="Table4"/>
        <w:tblW w:w="839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8"/>
        <w:gridCol w:w="1928"/>
        <w:gridCol w:w="1928"/>
        <w:gridCol w:w="1928"/>
        <w:tblGridChange w:id="0">
          <w:tblGrid>
            <w:gridCol w:w="2608"/>
            <w:gridCol w:w="1928"/>
            <w:gridCol w:w="1928"/>
            <w:gridCol w:w="1928"/>
          </w:tblGrid>
        </w:tblGridChange>
      </w:tblGrid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B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Métrica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B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Heurística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B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Reativa (1)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B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Reativa (2)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Pontuação média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-0,20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-1,20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-1,60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WinRate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0,333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0,167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0,100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DamageRatio médio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6,60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2,82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1,93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CoverUsage médio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0,128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0,071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0,106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Custo computacional médio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1401,1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884,7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989,6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StrategicScore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1,448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0,630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0,440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spacing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Tabela 3: Lote de calibração — heurística vs. duas reativas (30 partidas, regras completas)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40"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A heurística lidera todas as dimensões de eficácia — vence o dobro da melhor reativa — ao custo de cerca de 50% mais operações por partida. Esse retrato quantifica exatamente o eixo da pesquisa: qualidade estratégica custa processamento, e o modelo híbrido buscará o ponto ótimo dessa troca.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5.1.4. Aprendizado registrado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mecanismo de aprendizado entre partidas produz registro auditável. Em lote ilustrativo de 60 partidas, a primeira janela (pesos iniciais) obteve média de -0,84 pontos e foi adotada como referência; a perturbação testada na segunda janela piorou a média para -1,00 e foi revertida, com o modelo retornando à melhor configuração conhecida — comportamento esperado da subida de encosta, visível no arquivo de aprendizado que acompanha cada execução. No momento da escrita, a etapa 1 da campanha definitiva (autoconfrontos de 1000 partidas por modelo) está em execução.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 CRONOGRAMA</w:t>
      </w:r>
      <w:r w:rsidDel="00000000" w:rsidR="00000000" w:rsidRPr="00000000">
        <w:rPr>
          <w:rtl w:val="0"/>
        </w:rPr>
      </w:r>
    </w:p>
    <w:tbl>
      <w:tblPr>
        <w:tblStyle w:val="Table5"/>
        <w:tblW w:w="8392.000000000004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8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tblGridChange w:id="0">
          <w:tblGrid>
            <w:gridCol w:w="2608"/>
            <w:gridCol w:w="482"/>
            <w:gridCol w:w="482"/>
            <w:gridCol w:w="482"/>
            <w:gridCol w:w="482"/>
            <w:gridCol w:w="482"/>
            <w:gridCol w:w="482"/>
            <w:gridCol w:w="482"/>
            <w:gridCol w:w="482"/>
            <w:gridCol w:w="482"/>
            <w:gridCol w:w="482"/>
            <w:gridCol w:w="482"/>
            <w:gridCol w:w="482"/>
          </w:tblGrid>
        </w:tblGridChange>
      </w:tblGrid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D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Atividade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D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Jan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E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Fev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E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E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Abr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E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E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Jun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E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Jul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E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E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E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E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E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Projeto e revisão de literatura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Simulador (Fases 1-2)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Modelos básicos de 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Campanha de coleta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Análise intermediária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Modelo híbrido e calibração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Avaliação final (benchmark)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Escrita do TCC e artigos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3">
      <w:pPr>
        <w:spacing w:after="240"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7. ORÇAMENTO FINANCEIRO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Este trabalho utiliza exclusivamente ferramentas gratuitas e de código aberto (motor Godot, linguagem GDScript, Python para análise, Git para versionamento) e equipamentos já disponíveis, não sendo necessário orçamento extra.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Style w:val="Heading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8. DISSEMINAÇÃO DOS RESULTADOS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Este trabalho poderá ser publicado pelo menos na Jornada Científica e Tecnológica do IFSULDEMINAS. Adicionalmente, o simulador, os bancos de sementes, as execuções oficiais e toda a documentação são mantidos em repositório público (github.com/madeiragab/tcc-simulador-ia), permitindo verificação independente e reutilização por outras pesquisas.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9. REFERÊNCIAS BIBLIOGRÁFICAS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240" w:line="240" w:lineRule="auto"/>
        <w:jc w:val="left"/>
        <w:rPr/>
      </w:pPr>
      <w:r w:rsidDel="00000000" w:rsidR="00000000" w:rsidRPr="00000000">
        <w:rPr>
          <w:sz w:val="24"/>
          <w:szCs w:val="24"/>
          <w:rtl w:val="0"/>
        </w:rPr>
        <w:t xml:space="preserve">BROWNE, C. B. et al.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 Survey of Monte Carlo Tree Search Methods</w:t>
      </w:r>
      <w:r w:rsidDel="00000000" w:rsidR="00000000" w:rsidRPr="00000000">
        <w:rPr>
          <w:sz w:val="24"/>
          <w:szCs w:val="24"/>
          <w:rtl w:val="0"/>
        </w:rPr>
        <w:t xml:space="preserve">. IEEE Transactions on Computational Intelligence and AI in Games, v. 4, n. 1, p. 1-43, 2012.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240" w:line="240" w:lineRule="auto"/>
        <w:jc w:val="left"/>
        <w:rPr/>
      </w:pPr>
      <w:r w:rsidDel="00000000" w:rsidR="00000000" w:rsidRPr="00000000">
        <w:rPr>
          <w:sz w:val="24"/>
          <w:szCs w:val="24"/>
          <w:rtl w:val="0"/>
        </w:rPr>
        <w:t xml:space="preserve">GODOT ENGINE.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Godot Engine Documentation</w:t>
      </w:r>
      <w:r w:rsidDel="00000000" w:rsidR="00000000" w:rsidRPr="00000000">
        <w:rPr>
          <w:sz w:val="24"/>
          <w:szCs w:val="24"/>
          <w:rtl w:val="0"/>
        </w:rPr>
        <w:t xml:space="preserve">. 2026. Disponível em: &lt;https://docs.godotengine.org&gt;. Acesso em: 21/07/2026.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240" w:line="240" w:lineRule="auto"/>
        <w:jc w:val="left"/>
        <w:rPr/>
      </w:pPr>
      <w:r w:rsidDel="00000000" w:rsidR="00000000" w:rsidRPr="00000000">
        <w:rPr>
          <w:sz w:val="24"/>
          <w:szCs w:val="24"/>
          <w:rtl w:val="0"/>
        </w:rPr>
        <w:t xml:space="preserve">MARCOTTE, R.; HAMILTON, H. J.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Behavior Trees for Modelling Artificial Intelligence in Games: A Tutorial</w:t>
      </w:r>
      <w:r w:rsidDel="00000000" w:rsidR="00000000" w:rsidRPr="00000000">
        <w:rPr>
          <w:sz w:val="24"/>
          <w:szCs w:val="24"/>
          <w:rtl w:val="0"/>
        </w:rPr>
        <w:t xml:space="preserve">. The Computer Games Journal, v. 6, p. 171-184, 2017.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240" w:line="240" w:lineRule="auto"/>
        <w:jc w:val="left"/>
        <w:rPr/>
      </w:pPr>
      <w:r w:rsidDel="00000000" w:rsidR="00000000" w:rsidRPr="00000000">
        <w:rPr>
          <w:sz w:val="24"/>
          <w:szCs w:val="24"/>
          <w:rtl w:val="0"/>
        </w:rPr>
        <w:t xml:space="preserve">MARK, D.; DILL, K.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Improving AI Decision Modeling Through Utility Theory</w:t>
      </w:r>
      <w:r w:rsidDel="00000000" w:rsidR="00000000" w:rsidRPr="00000000">
        <w:rPr>
          <w:sz w:val="24"/>
          <w:szCs w:val="24"/>
          <w:rtl w:val="0"/>
        </w:rPr>
        <w:t xml:space="preserve">. In: Game Developers Conference, 2010, São Francisco. GDC Vault, 2010.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240" w:line="240" w:lineRule="auto"/>
        <w:jc w:val="left"/>
        <w:rPr/>
      </w:pPr>
      <w:r w:rsidDel="00000000" w:rsidR="00000000" w:rsidRPr="00000000">
        <w:rPr>
          <w:sz w:val="24"/>
          <w:szCs w:val="24"/>
          <w:rtl w:val="0"/>
        </w:rPr>
        <w:t xml:space="preserve">MILLINGTON, I.; FUNGE, J.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Artificial Intelligence for Games</w:t>
      </w:r>
      <w:r w:rsidDel="00000000" w:rsidR="00000000" w:rsidRPr="00000000">
        <w:rPr>
          <w:sz w:val="24"/>
          <w:szCs w:val="24"/>
          <w:rtl w:val="0"/>
        </w:rPr>
        <w:t xml:space="preserve">. 2. ed. Boca Raton: CRC Press, 2016.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240" w:line="240" w:lineRule="auto"/>
        <w:jc w:val="left"/>
        <w:rPr/>
      </w:pPr>
      <w:r w:rsidDel="00000000" w:rsidR="00000000" w:rsidRPr="00000000">
        <w:rPr>
          <w:sz w:val="24"/>
          <w:szCs w:val="24"/>
          <w:rtl w:val="0"/>
        </w:rPr>
        <w:t xml:space="preserve">PÉREZ-LIÉBANA, D. et al.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General Video Game AI: A Multitrack Framework for Evaluating Agents, Games, and Content Generation Algorithms</w:t>
      </w:r>
      <w:r w:rsidDel="00000000" w:rsidR="00000000" w:rsidRPr="00000000">
        <w:rPr>
          <w:sz w:val="24"/>
          <w:szCs w:val="24"/>
          <w:rtl w:val="0"/>
        </w:rPr>
        <w:t xml:space="preserve">. IEEE Transactions on Games, v. 11, n. 3, p. 195-214, 2019.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240" w:line="240" w:lineRule="auto"/>
        <w:jc w:val="left"/>
        <w:rPr/>
      </w:pPr>
      <w:r w:rsidDel="00000000" w:rsidR="00000000" w:rsidRPr="00000000">
        <w:rPr>
          <w:sz w:val="24"/>
          <w:szCs w:val="24"/>
          <w:rtl w:val="0"/>
        </w:rPr>
        <w:t xml:space="preserve">RUSSELL, S.; NORVIG, P.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Artificial Intelligence: A Modern Approach</w:t>
      </w:r>
      <w:r w:rsidDel="00000000" w:rsidR="00000000" w:rsidRPr="00000000">
        <w:rPr>
          <w:sz w:val="24"/>
          <w:szCs w:val="24"/>
          <w:rtl w:val="0"/>
        </w:rPr>
        <w:t xml:space="preserve">. 3. ed. Upper Saddle River: Pearson, 2010.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line="360" w:lineRule="auto"/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Muzambinho, 21 de julho de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1"/>
        <w:pageBreakBefore w:val="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APÊNDICE A – ESTRUTURA DOS DADOS COLETADOS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Cada execução de lote gera uma pasta imutável com carimbo de data e hora contendo os arquivos descritos a seguir, todos em formatos abertos (texto e CSV).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line="360" w:lineRule="auto"/>
        <w:ind w:firstLine="709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manifest.txt</w:t>
      </w:r>
      <w:r w:rsidDel="00000000" w:rsidR="00000000" w:rsidRPr="00000000">
        <w:rPr>
          <w:sz w:val="24"/>
          <w:szCs w:val="24"/>
          <w:rtl w:val="0"/>
        </w:rPr>
        <w:t xml:space="preserve"> — condições da execução: data e hora, versão do motor, banco e faixa de sementes, regra de rotação de iniciativa, modelo de IA de cada jogador, constantes de jogo (dano base 30; reduções 10/20; limite 100 turnos; movimento 3; vida 100; visão 8; cone 120 graus), parâmetros de IA e duração.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line="360" w:lineRule="auto"/>
        <w:ind w:firstLine="709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partidas.csv</w:t>
      </w:r>
      <w:r w:rsidDel="00000000" w:rsidR="00000000" w:rsidRPr="00000000">
        <w:rPr>
          <w:sz w:val="24"/>
          <w:szCs w:val="24"/>
          <w:rtl w:val="0"/>
        </w:rPr>
        <w:t xml:space="preserve"> — uma linha por jogador por partida: identificador, semente, jogador que iniciou, jogador, modelo, vencedor, indicador de vitória, pontos (+3/-1/-3), turnos, dano causado e recebido, DamageRatio, CoverUsage, custo total e custo aberto por tipo de operação (linha de visão, nós de busca, ações avaliadas).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line="360" w:lineRule="auto"/>
        <w:ind w:firstLine="709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resumo.csv</w:t>
      </w:r>
      <w:r w:rsidDel="00000000" w:rsidR="00000000" w:rsidRPr="00000000">
        <w:rPr>
          <w:sz w:val="24"/>
          <w:szCs w:val="24"/>
          <w:rtl w:val="0"/>
        </w:rPr>
        <w:t xml:space="preserve"> — agregados por jogador: partidas, pontuação total e média, WinRate, DamageRatio e CoverUsage (média e desvio-padrão), TurnsToVictory, Efficiency, custo médio e desvio, StrategicScore.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line="360" w:lineRule="auto"/>
        <w:ind w:firstLine="709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aprendizado.csv</w:t>
      </w:r>
      <w:r w:rsidDel="00000000" w:rsidR="00000000" w:rsidRPr="00000000">
        <w:rPr>
          <w:sz w:val="24"/>
          <w:szCs w:val="24"/>
          <w:rtl w:val="0"/>
        </w:rPr>
        <w:t xml:space="preserve"> — evolução do aprendizado janela a janela: pesos testados, média de pontos da janela e decisão (adotado/revertido).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line="360" w:lineRule="auto"/>
        <w:ind w:firstLine="709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turnos.csv</w:t>
      </w:r>
      <w:r w:rsidDel="00000000" w:rsidR="00000000" w:rsidRPr="00000000">
        <w:rPr>
          <w:sz w:val="24"/>
          <w:szCs w:val="24"/>
          <w:rtl w:val="0"/>
        </w:rPr>
        <w:t xml:space="preserve"> (opcional) — registro fino turno a turno: ação escolhida, posição, proteção por cobertura e inimigos visíveis de cada agente.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1"/>
        <w:pageBreakBefore w:val="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APÊNDICE B – CORRESPONDÊNCIA COM OS APONTAMENTOS DA BANCA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quadro abaixo mapeia cada apontamento da banca de qualificação para a seção deste documento que o responde.</w:t>
      </w:r>
      <w:r w:rsidDel="00000000" w:rsidR="00000000" w:rsidRPr="00000000">
        <w:rPr>
          <w:rtl w:val="0"/>
        </w:rPr>
      </w:r>
    </w:p>
    <w:tbl>
      <w:tblPr>
        <w:tblStyle w:val="Table6"/>
        <w:tblW w:w="839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29"/>
        <w:gridCol w:w="4763"/>
        <w:tblGridChange w:id="0">
          <w:tblGrid>
            <w:gridCol w:w="3629"/>
            <w:gridCol w:w="4763"/>
          </w:tblGrid>
        </w:tblGridChange>
      </w:tblGrid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16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Apontamento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16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Resposta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 seguiu o modelo padrão de pré-projeto da instituição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 reestruturado integralmente conforme o modelo institucional (capa, Informações Gerais, seções 1-9, cronograma mensal)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Ausência de resultados parciais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5.1 (neutralidade validada com 1000 partidas; calibração; aprendizado)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Como será medido o custo computacional abstrato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4.4 (contagem de operações: linha de visão, nós de busca, ações avaliadas)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Jogo existente ou novo? Que gênero?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4, abertura (jogo novo em Godot; tático por turnos em grade, 3 agentes)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Diferença prática entre os quatro modelos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Tabela 1 e Seção 4.6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que significa resolução sequencial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4.3 (um agente por vez sobre estado atualizado; sem simultaneidade)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Como funciona a ordem alternada entre rodadas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4.3 (rotação determinística: partida i inicia pelo agente i mod 3)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Como foi definido o limite de 100 turnos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4.3 (empírico: durações médias de 30-90 turnos; teto de segurança)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que conta como cobertura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4.3 (célula de cobertura; proteção direcional; leve -10, pesada -20)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Quantos agentes por equipe; controle por turno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Seções 4.2 e 4.3 (3 agentes independentes, sem equipes; um por vez)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Dois agentes podem atacar o mesmo alvo?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4.3 (adversários independentes; cada um decide em seu turno)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Há aprendizado entre partidas?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4.5 (subida de encosta por janelas; registro em arquivo; reset por lote)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Origem dos pesos da heurística (w1..w4)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4.6 (varredura no banco de calibração + aprendizado; valores atuais)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que o Strategic Score representa; por que esses pesos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4.7 (definição operacional de jogar bem; pesos a priori; limitação registrada)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mapa 40x40 foi testado?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Seções 4.1 e 5.1 (validado: durações, neutralidade, escala de lote)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B">
      <w:pPr>
        <w:spacing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Quadro 1: Apontamentos da banca e seções correspondentes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240"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sectPr>
      <w:footerReference r:id="rId13" w:type="default"/>
      <w:type w:val="nextPage"/>
      <w:pgSz w:h="16838" w:w="11906" w:orient="portrait"/>
      <w:pgMar w:bottom="1134" w:top="1701" w:left="1701" w:right="1134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D">
    <w:pPr>
      <w:jc w:val="right"/>
      <w:rPr/>
    </w:pPr>
    <w:r w:rsidDel="00000000" w:rsidR="00000000" w:rsidRPr="00000000">
      <w:rPr>
        <w:b w:val="1"/>
        <w:bCs w:val="1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360" w:lineRule="auto"/>
    </w:pPr>
    <w:rPr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spacing w:line="360" w:lineRule="auto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spacing w:line="360" w:lineRule="auto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footer" Target="footer1.xml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