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Variable Description for the 2022 Chilean Disaggregated Economic Accounts</w:t>
      </w:r>
    </w:p>
    <w:p>
      <w:pPr>
        <w:jc w:val="center"/>
      </w:pPr>
      <w:r>
        <w:rPr>
          <w:rFonts w:ascii="Times New Roman" w:hAnsi="Times New Roman"/>
          <w:b w:val="0"/>
          <w:sz w:val="24"/>
        </w:rPr>
        <w:t>CORFO-IDB collaboration prepared by Federico Huneeus and Miguel del Valle</w:t>
      </w:r>
    </w:p>
    <w:p>
      <w:pPr/>
    </w:p>
    <w:p>
      <w:pPr>
        <w:ind w:firstLine="360"/>
      </w:pPr>
      <w:r>
        <w:rPr>
          <w:rFonts w:ascii="Times New Roman" w:hAnsi="Times New Roman"/>
          <w:b/>
          <w:sz w:val="24"/>
        </w:rPr>
        <w:t>General Overview</w:t>
      </w:r>
    </w:p>
    <w:p>
      <w:pPr/>
      <w:r>
        <w:rPr>
          <w:rFonts w:ascii="Times New Roman" w:hAnsi="Times New Roman"/>
          <w:b w:val="0"/>
          <w:sz w:val="24"/>
        </w:rPr>
        <w:t>This document describes the variables included in each database released in the English version of the 2022 Chilean Disaggregated Economic Accounts. The English files use the prefix en_ and the monetary variables are expressed in millions of 2022 U.S. dollars (MUSD). Employment is measured in thousands of workers per year.</w:t>
      </w:r>
    </w:p>
    <w:p>
      <w:r>
        <w:t xml:space="preserve">Data cutoff date: July 30, 2026.</w:t>
      </w:r>
    </w:p>
    <w:p>
      <w:r>
        <w:t xml:space="preserve">Monetary values in the English files (MUSD) are anchored to Chile's 2022 GDP in current U.S. dollars (~301,260 million USD); the conversion between the Spanish and English versions is 782.75 CLP per USD, the implicit rate of that anchoring. Aggregates correspond to value added at basic prices and are therefore not directly comparable with the Central Bank of Chile's GDP at market prices in pesos.</w:t>
      </w:r>
    </w:p>
    <w:p>
      <w:r>
        <w:t xml:space="preserve">Location code 57 corresponds to the Rest of the World (external sector); it must be excluded when computing domestic aggregates.</w:t>
      </w:r>
    </w:p>
    <w:p>
      <w:pPr/>
      <w:r>
        <w:rPr>
          <w:rFonts w:ascii="Times New Roman" w:hAnsi="Times New Roman"/>
          <w:b w:val="0"/>
          <w:sz w:val="24"/>
        </w:rPr>
        <w:t>The release consists of three downloadable data files and this description document: en_chile_2022_dea_concordance_table.xlsx, en_chile_2022_dea_economic_accounts.csv, en_chile_2022_dea_spatial_io_flows.csv, and en_chile_2022_dea_description.docx.</w:t>
      </w:r>
    </w:p>
    <w:p>
      <w:pPr/>
      <w:r>
        <w:rPr>
          <w:rFonts w:ascii="Times New Roman" w:hAnsi="Times New Roman"/>
          <w:b w:val="0"/>
          <w:sz w:val="24"/>
        </w:rPr>
        <w:t>These data were constructed from administrative microdata and surveys, using firm-level averages to disaggregate the official 2022 national accounts of the Central Bank of Chile.</w:t>
      </w:r>
    </w:p>
    <w:p>
      <w:pPr/>
    </w:p>
    <w:p>
      <w:pPr/>
      <w:r>
        <w:rPr>
          <w:rFonts w:ascii="Times New Roman" w:hAnsi="Times New Roman"/>
          <w:b w:val="0"/>
          <w:sz w:val="24"/>
        </w:rPr>
        <w:t>To use these data, please cite the following reference:</w:t>
      </w:r>
    </w:p>
    <w:p>
      <w:pPr/>
      <w:r>
        <w:rPr>
          <w:rFonts w:ascii="Times New Roman" w:hAnsi="Times New Roman"/>
          <w:b w:val="0"/>
          <w:sz w:val="24"/>
        </w:rPr>
        <w:t>Huneeus, F., &amp; del Valle, M. (2026). The Geographic and Sectoral Impact of Productivity. Unpublished manuscript.</w:t>
      </w:r>
    </w:p>
    <w:p>
      <w:pPr/>
    </w:p>
    <w:p>
      <w:pPr>
        <w:ind w:firstLine="360"/>
      </w:pPr>
      <w:r>
        <w:rPr>
          <w:rFonts w:ascii="Times New Roman" w:hAnsi="Times New Roman"/>
          <w:b/>
          <w:sz w:val="24"/>
        </w:rPr>
        <w:t>1. Correspondence Tables</w:t>
      </w:r>
    </w:p>
    <w:p>
      <w:pPr>
        <w:pStyle w:val="ListParagraph"/>
      </w:pPr>
      <w:r>
        <w:rPr>
          <w:rFonts w:ascii="Times New Roman" w:hAnsi="Times New Roman"/>
          <w:b w:val="0"/>
          <w:sz w:val="24"/>
        </w:rPr>
        <w:t>Sectors: Links the sector codes used in the data files with sector names and aggregate classifications.</w:t>
      </w:r>
    </w:p>
    <w:p>
      <w:pPr>
        <w:pStyle w:val="ListParagraph"/>
      </w:pPr>
      <w:r>
        <w:rPr>
          <w:rFonts w:ascii="Times New Roman" w:hAnsi="Times New Roman"/>
          <w:b w:val="0"/>
          <w:sz w:val="24"/>
        </w:rPr>
        <w:t>sector_code_46: 46-sector code.</w:t>
      </w:r>
    </w:p>
    <w:p>
      <w:pPr>
        <w:pStyle w:val="ListParagraph"/>
      </w:pPr>
      <w:r>
        <w:rPr>
          <w:rFonts w:ascii="Times New Roman" w:hAnsi="Times New Roman"/>
          <w:b w:val="0"/>
          <w:sz w:val="24"/>
        </w:rPr>
        <w:t>sector_name_46: Sector name associated with the 46-sector code.</w:t>
      </w:r>
    </w:p>
    <w:p>
      <w:pPr>
        <w:pStyle w:val="ListParagraph"/>
      </w:pPr>
      <w:r>
        <w:rPr>
          <w:rFonts w:ascii="Times New Roman" w:hAnsi="Times New Roman"/>
          <w:b w:val="0"/>
          <w:sz w:val="24"/>
        </w:rPr>
        <w:t>pibr13_code: 13-sector aggregate code.</w:t>
      </w:r>
    </w:p>
    <w:p>
      <w:pPr>
        <w:pStyle w:val="ListParagraph"/>
      </w:pPr>
      <w:r>
        <w:rPr>
          <w:rFonts w:ascii="Times New Roman" w:hAnsi="Times New Roman"/>
          <w:b w:val="0"/>
          <w:sz w:val="24"/>
        </w:rPr>
        <w:t>pibr13_name: Name of the 13-sector aggregate.</w:t>
      </w:r>
    </w:p>
    <w:p>
      <w:pPr>
        <w:pStyle w:val="ListParagraph"/>
      </w:pPr>
      <w:r>
        <w:rPr>
          <w:rFonts w:ascii="Times New Roman" w:hAnsi="Times New Roman"/>
          <w:b w:val="0"/>
          <w:sz w:val="24"/>
        </w:rPr>
        <w:t>industry_code: Industry code.</w:t>
      </w:r>
    </w:p>
    <w:p>
      <w:pPr>
        <w:pStyle w:val="ListParagraph"/>
      </w:pPr>
      <w:r>
        <w:rPr>
          <w:rFonts w:ascii="Times New Roman" w:hAnsi="Times New Roman"/>
          <w:b w:val="0"/>
          <w:sz w:val="24"/>
        </w:rPr>
        <w:t>industry_name: Industry name.</w:t>
      </w:r>
    </w:p>
    <w:p>
      <w:pPr>
        <w:pStyle w:val="ListParagraph"/>
      </w:pPr>
      <w:r>
        <w:rPr>
          <w:rFonts w:ascii="Times New Roman" w:hAnsi="Times New Roman"/>
          <w:b w:val="0"/>
          <w:sz w:val="24"/>
        </w:rPr>
        <w:t>Locations: Links the location codes used in the data files with location, region, and macrozone names.</w:t>
      </w:r>
    </w:p>
    <w:p>
      <w:pPr>
        <w:pStyle w:val="ListParagraph"/>
      </w:pPr>
      <w:r>
        <w:rPr>
          <w:rFonts w:ascii="Times New Roman" w:hAnsi="Times New Roman"/>
          <w:b w:val="0"/>
          <w:sz w:val="24"/>
        </w:rPr>
        <w:t>location_code: Location code.</w:t>
      </w:r>
    </w:p>
    <w:p>
      <w:pPr>
        <w:pStyle w:val="ListParagraph"/>
      </w:pPr>
      <w:r>
        <w:rPr>
          <w:rFonts w:ascii="Times New Roman" w:hAnsi="Times New Roman"/>
          <w:b w:val="0"/>
          <w:sz w:val="24"/>
        </w:rPr>
        <w:t>location_name: Location name.</w:t>
      </w:r>
    </w:p>
    <w:p>
      <w:pPr>
        <w:pStyle w:val="ListParagraph"/>
      </w:pPr>
      <w:r>
        <w:rPr>
          <w:rFonts w:ascii="Times New Roman" w:hAnsi="Times New Roman"/>
          <w:b w:val="0"/>
          <w:sz w:val="24"/>
        </w:rPr>
        <w:t>region_order_code: Regional ordering code.</w:t>
      </w:r>
    </w:p>
    <w:p>
      <w:pPr>
        <w:pStyle w:val="ListParagraph"/>
      </w:pPr>
      <w:r>
        <w:rPr>
          <w:rFonts w:ascii="Times New Roman" w:hAnsi="Times New Roman"/>
          <w:b w:val="0"/>
          <w:sz w:val="24"/>
        </w:rPr>
        <w:t>region_name: Region name.</w:t>
      </w:r>
    </w:p>
    <w:p>
      <w:pPr>
        <w:pStyle w:val="ListParagraph"/>
      </w:pPr>
      <w:r>
        <w:rPr>
          <w:rFonts w:ascii="Times New Roman" w:hAnsi="Times New Roman"/>
          <w:b w:val="0"/>
          <w:sz w:val="24"/>
        </w:rPr>
        <w:t>macrozone_code: Macrozone code.</w:t>
      </w:r>
    </w:p>
    <w:p>
      <w:pPr>
        <w:pStyle w:val="ListParagraph"/>
      </w:pPr>
      <w:r>
        <w:rPr>
          <w:rFonts w:ascii="Times New Roman" w:hAnsi="Times New Roman"/>
          <w:b w:val="0"/>
          <w:sz w:val="24"/>
        </w:rPr>
        <w:t>macrozone_name: Macrozone name.</w:t>
      </w:r>
    </w:p>
    <w:p>
      <w:pPr/>
    </w:p>
    <w:p>
      <w:pPr>
        <w:ind w:firstLine="360"/>
      </w:pPr>
      <w:r>
        <w:rPr>
          <w:rFonts w:ascii="Times New Roman" w:hAnsi="Times New Roman"/>
          <w:b/>
          <w:sz w:val="24"/>
        </w:rPr>
        <w:t>2. Economic Accounts</w:t>
      </w:r>
    </w:p>
    <w:p>
      <w:pPr>
        <w:pStyle w:val="ListParagraph"/>
      </w:pPr>
      <w:r>
        <w:rPr>
          <w:rFonts w:ascii="Times New Roman" w:hAnsi="Times New Roman"/>
          <w:b w:val="0"/>
          <w:sz w:val="24"/>
        </w:rPr>
        <w:t>Monetary variables are expressed in millions of 2022 U.S. dollars (MUSD).</w:t>
      </w:r>
    </w:p>
    <w:p>
      <w:pPr>
        <w:pStyle w:val="ListParagraph"/>
      </w:pPr>
      <w:r>
        <w:rPr>
          <w:rFonts w:ascii="Times New Roman" w:hAnsi="Times New Roman"/>
          <w:b w:val="0"/>
          <w:sz w:val="24"/>
        </w:rPr>
        <w:t>location_code: Location code. Identifier for each province or location in the correspondence table.</w:t>
      </w:r>
    </w:p>
    <w:p>
      <w:pPr>
        <w:pStyle w:val="ListParagraph"/>
      </w:pPr>
      <w:r>
        <w:rPr>
          <w:rFonts w:ascii="Times New Roman" w:hAnsi="Times New Roman"/>
          <w:b w:val="0"/>
          <w:sz w:val="24"/>
        </w:rPr>
        <w:t>sector_code: Sector code. Identifier for each economic sector in the correspondence table.</w:t>
      </w:r>
    </w:p>
    <w:p>
      <w:pPr>
        <w:pStyle w:val="ListParagraph"/>
      </w:pPr>
      <w:r>
        <w:rPr>
          <w:rFonts w:ascii="Times New Roman" w:hAnsi="Times New Roman"/>
          <w:b w:val="0"/>
          <w:sz w:val="24"/>
        </w:rPr>
        <w:t>employment: Annual employment measured in thousands of workers.</w:t>
      </w:r>
    </w:p>
    <w:p>
      <w:pPr>
        <w:pStyle w:val="ListParagraph"/>
      </w:pPr>
      <w:r>
        <w:rPr>
          <w:rFonts w:ascii="Times New Roman" w:hAnsi="Times New Roman"/>
          <w:b w:val="0"/>
          <w:sz w:val="24"/>
        </w:rPr>
        <w:t>surplus: Operating surplus, equal to value added minus wages.</w:t>
      </w:r>
    </w:p>
    <w:p>
      <w:pPr>
        <w:pStyle w:val="ListParagraph"/>
      </w:pPr>
      <w:r>
        <w:rPr>
          <w:rFonts w:ascii="Times New Roman" w:hAnsi="Times New Roman"/>
          <w:b w:val="0"/>
          <w:sz w:val="24"/>
        </w:rPr>
        <w:t>domestic_intermediate_inputs: Domestic intermediate inputs purchased from firms in Chile.</w:t>
      </w:r>
    </w:p>
    <w:p>
      <w:pPr>
        <w:pStyle w:val="ListParagraph"/>
      </w:pPr>
      <w:r>
        <w:rPr>
          <w:rFonts w:ascii="Times New Roman" w:hAnsi="Times New Roman"/>
          <w:b w:val="0"/>
          <w:sz w:val="24"/>
        </w:rPr>
        <w:t>imported_intermediate_inputs: Imported intermediate inputs purchased from abroad.</w:t>
      </w:r>
    </w:p>
    <w:p>
      <w:r>
        <w:t xml:space="preserve">Note: imports in this dataset correspond to the intermediate use of imported products (input purchases by producers). They do not include imports destined for final demand, so exports − imported_intermediate_inputs does not correspond to Chile's trade balance.</w:t>
      </w:r>
    </w:p>
    <w:p>
      <w:pPr>
        <w:pStyle w:val="ListParagraph"/>
      </w:pPr>
      <w:r>
        <w:rPr>
          <w:rFonts w:ascii="Times New Roman" w:hAnsi="Times New Roman"/>
          <w:b w:val="0"/>
          <w:sz w:val="24"/>
        </w:rPr>
        <w:t>exports: Sales to foreign markets.</w:t>
      </w:r>
    </w:p>
    <w:p>
      <w:pPr>
        <w:pStyle w:val="ListParagraph"/>
      </w:pPr>
      <w:r>
        <w:rPr>
          <w:rFonts w:ascii="Times New Roman" w:hAnsi="Times New Roman"/>
          <w:b w:val="0"/>
          <w:sz w:val="24"/>
        </w:rPr>
        <w:t>intermediate_sales: Sales of intermediate goods or services to other firms.</w:t>
      </w:r>
    </w:p>
    <w:p>
      <w:pPr>
        <w:pStyle w:val="ListParagraph"/>
      </w:pPr>
      <w:r>
        <w:rPr>
          <w:rFonts w:ascii="Times New Roman" w:hAnsi="Times New Roman"/>
          <w:b w:val="0"/>
          <w:sz w:val="24"/>
        </w:rPr>
        <w:t>domestic_sales: Total sales in the domestic market.</w:t>
      </w:r>
    </w:p>
    <w:p>
      <w:pPr>
        <w:pStyle w:val="ListParagraph"/>
      </w:pPr>
      <w:r>
        <w:rPr>
          <w:rFonts w:ascii="Times New Roman" w:hAnsi="Times New Roman"/>
          <w:b w:val="0"/>
          <w:sz w:val="24"/>
        </w:rPr>
        <w:t>gross_output: Total gross production or output.</w:t>
      </w:r>
    </w:p>
    <w:p>
      <w:pPr>
        <w:pStyle w:val="ListParagraph"/>
      </w:pPr>
      <w:r>
        <w:rPr>
          <w:rFonts w:ascii="Times New Roman" w:hAnsi="Times New Roman"/>
          <w:b w:val="0"/>
          <w:sz w:val="24"/>
        </w:rPr>
        <w:t>total_intermediate_inputs: Total intermediate inputs purchased.</w:t>
      </w:r>
    </w:p>
    <w:p>
      <w:pPr>
        <w:pStyle w:val="ListParagraph"/>
      </w:pPr>
      <w:r>
        <w:rPr>
          <w:rFonts w:ascii="Times New Roman" w:hAnsi="Times New Roman"/>
          <w:b w:val="0"/>
          <w:sz w:val="24"/>
        </w:rPr>
        <w:t>value_added: Value added, equal to gross output minus total intermediate inputs.</w:t>
      </w:r>
    </w:p>
    <w:p>
      <w:pPr>
        <w:pStyle w:val="ListParagraph"/>
      </w:pPr>
      <w:r>
        <w:rPr>
          <w:rFonts w:ascii="Times New Roman" w:hAnsi="Times New Roman"/>
          <w:b w:val="0"/>
          <w:sz w:val="24"/>
        </w:rPr>
        <w:t>wages: Labor compensation paid to workers.</w:t>
      </w:r>
    </w:p>
    <w:p>
      <w:pPr>
        <w:pStyle w:val="ListParagraph"/>
      </w:pPr>
      <w:r>
        <w:rPr>
          <w:rFonts w:ascii="Times New Roman" w:hAnsi="Times New Roman"/>
          <w:b w:val="0"/>
          <w:sz w:val="24"/>
        </w:rPr>
        <w:t>consumer_sales: Sales to final consumers.</w:t>
      </w:r>
    </w:p>
    <w:p>
      <w:pPr/>
    </w:p>
    <w:p>
      <w:pPr>
        <w:ind w:firstLine="360"/>
      </w:pPr>
      <w:r>
        <w:rPr>
          <w:rFonts w:ascii="Times New Roman" w:hAnsi="Times New Roman"/>
          <w:b/>
          <w:sz w:val="24"/>
        </w:rPr>
        <w:t>3. Spatial IO Flows</w:t>
      </w:r>
    </w:p>
    <w:p>
      <w:pPr>
        <w:pStyle w:val="ListParagraph"/>
      </w:pPr>
      <w:r>
        <w:rPr>
          <w:rFonts w:ascii="Times New Roman" w:hAnsi="Times New Roman"/>
          <w:b w:val="0"/>
          <w:sz w:val="24"/>
        </w:rPr>
        <w:t>Monetary flows are expressed in millions of 2022 U.S. dollars (MUSD).</w:t>
      </w:r>
    </w:p>
    <w:p>
      <w:pPr>
        <w:pStyle w:val="ListParagraph"/>
      </w:pPr>
      <w:r>
        <w:rPr>
          <w:rFonts w:ascii="Times New Roman" w:hAnsi="Times New Roman"/>
          <w:b w:val="0"/>
          <w:sz w:val="24"/>
        </w:rPr>
        <w:t>seller_location_code: Location code of the selling territory.</w:t>
      </w:r>
    </w:p>
    <w:p>
      <w:pPr>
        <w:pStyle w:val="ListParagraph"/>
      </w:pPr>
      <w:r>
        <w:rPr>
          <w:rFonts w:ascii="Times New Roman" w:hAnsi="Times New Roman"/>
          <w:b w:val="0"/>
          <w:sz w:val="24"/>
        </w:rPr>
        <w:t>buyer_location_code: Location code of the buying territory.</w:t>
      </w:r>
    </w:p>
    <w:p>
      <w:pPr>
        <w:pStyle w:val="ListParagraph"/>
      </w:pPr>
      <w:r>
        <w:rPr>
          <w:rFonts w:ascii="Times New Roman" w:hAnsi="Times New Roman"/>
          <w:b w:val="0"/>
          <w:sz w:val="24"/>
        </w:rPr>
        <w:t>seller_sector_code: Sector code of the selling sector.</w:t>
      </w:r>
    </w:p>
    <w:p>
      <w:pPr>
        <w:pStyle w:val="ListParagraph"/>
      </w:pPr>
      <w:r>
        <w:rPr>
          <w:rFonts w:ascii="Times New Roman" w:hAnsi="Times New Roman"/>
          <w:b w:val="0"/>
          <w:sz w:val="24"/>
        </w:rPr>
        <w:t>buyer_sector_code: Sector code of the buying sector.</w:t>
      </w:r>
    </w:p>
    <w:p>
      <w:pPr>
        <w:pStyle w:val="ListParagraph"/>
      </w:pPr>
      <w:r>
        <w:rPr>
          <w:rFonts w:ascii="Times New Roman" w:hAnsi="Times New Roman"/>
          <w:b w:val="0"/>
          <w:sz w:val="24"/>
        </w:rPr>
        <w:t>flow: Annual transaction flow between seller and buyer locations and sectors.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