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Descripción de variables para las Cuentas Económicas Desagregadas 2022 de Chile</w:t>
      </w:r>
    </w:p>
    <w:p>
      <w:pPr>
        <w:jc w:val="center"/>
      </w:pPr>
      <w:r>
        <w:rPr>
          <w:rFonts w:ascii="Times New Roman" w:hAnsi="Times New Roman"/>
          <w:b w:val="0"/>
          <w:sz w:val="24"/>
        </w:rPr>
        <w:t>Colaboración CORFO - BID elaborada por Federico Huneeus y Miguel del Valle</w:t>
      </w:r>
    </w:p>
    <w:p>
      <w:pPr/>
    </w:p>
    <w:p>
      <w:pPr>
        <w:ind w:firstLine="360"/>
      </w:pPr>
      <w:r>
        <w:rPr>
          <w:rFonts w:ascii="Times New Roman" w:hAnsi="Times New Roman"/>
          <w:b/>
          <w:sz w:val="24"/>
        </w:rPr>
        <w:t>Resumen General</w:t>
      </w:r>
    </w:p>
    <w:p>
      <w:pPr/>
      <w:r>
        <w:rPr>
          <w:rFonts w:ascii="Times New Roman" w:hAnsi="Times New Roman"/>
          <w:b w:val="0"/>
          <w:sz w:val="24"/>
        </w:rPr>
        <w:t>Este documento describe las variables incluidas en cada base de datos publicada en la versión en español de las Cuentas Económicas Desagregadas 2022 de Chile. Los archivos en español usan el prefijo es_ y las variables monetarias se expresan en millones de pesos chilenos de 2022 (MMCLP$ 2022). El empleo se mide en miles de trabajadores por año.</w:t>
      </w:r>
    </w:p>
    <w:p>
      <w:r>
        <w:t xml:space="preserve">Fecha de corte de los datos: 30 de julio de 2026.</w:t>
      </w:r>
    </w:p>
    <w:p>
      <w:r>
        <w:t xml:space="preserve">Los valores monetarios de la versión en inglés (MUSD) se anclan al PIB 2022 de Chile en dólares corrientes (~301.260 millones de USD); la conversión entre ambas versiones es de 782,75 CLP por USD, la tasa implícita de ese anclaje. Los agregados corresponden a valor agregado a precios básicos, por lo que no son directamente comparables con el PIB a precios de mercado del Banco Central de Chile en pesos.</w:t>
      </w:r>
    </w:p>
    <w:p>
      <w:r>
        <w:t xml:space="preserve">El código de ubicación 57 corresponde al Resto del Mundo (sector externo); debe excluirse al calcular agregados domésticos.</w:t>
      </w:r>
    </w:p>
    <w:p>
      <w:pPr/>
      <w:r>
        <w:rPr>
          <w:rFonts w:ascii="Times New Roman" w:hAnsi="Times New Roman"/>
          <w:b w:val="0"/>
          <w:sz w:val="24"/>
        </w:rPr>
        <w:t>La entrega incluye tres archivos de datos descargables y este documento descriptivo: es_chile_2022_dea_tabla_correspondencia.xlsx, es_chile_2022_dea_cuentas_economicas.csv, es_chile_2022_dea_flujos_io_espaciales.csv y es_chile_2022_dea_descripcion.docx.</w:t>
      </w:r>
    </w:p>
    <w:p>
      <w:pPr/>
      <w:r>
        <w:rPr>
          <w:rFonts w:ascii="Times New Roman" w:hAnsi="Times New Roman"/>
          <w:b w:val="0"/>
          <w:sz w:val="24"/>
        </w:rPr>
        <w:t>Estos datos se construyeron a partir de microdatos administrativos y encuestas, utilizando promedios a nivel de empresas para desagregar las Cuentas Nacionales oficiales de 2022 del Banco Central de Chile.</w:t>
      </w:r>
    </w:p>
    <w:p>
      <w:pPr/>
    </w:p>
    <w:p>
      <w:pPr/>
      <w:r>
        <w:rPr>
          <w:rFonts w:ascii="Times New Roman" w:hAnsi="Times New Roman"/>
          <w:b w:val="0"/>
          <w:sz w:val="24"/>
        </w:rPr>
        <w:t>Para utilizar estos datos, se debe citar la siguiente referencia:</w:t>
      </w:r>
    </w:p>
    <w:p>
      <w:pPr/>
      <w:r>
        <w:rPr>
          <w:rFonts w:ascii="Times New Roman" w:hAnsi="Times New Roman"/>
          <w:b w:val="0"/>
          <w:sz w:val="24"/>
        </w:rPr>
        <w:t>Huneeus, F., &amp; del Valle, M. (2026). The Geographic and Sectoral Impact of Productivity. Unpublished manuscript.</w:t>
      </w:r>
    </w:p>
    <w:p>
      <w:pPr/>
    </w:p>
    <w:p>
      <w:pPr>
        <w:ind w:firstLine="360"/>
      </w:pPr>
      <w:r>
        <w:rPr>
          <w:rFonts w:ascii="Times New Roman" w:hAnsi="Times New Roman"/>
          <w:b/>
          <w:sz w:val="24"/>
        </w:rPr>
        <w:t>1. Tablas de Correspondencia</w:t>
      </w:r>
    </w:p>
    <w:p>
      <w:pPr>
        <w:pStyle w:val="ListParagraph"/>
      </w:pPr>
      <w:r>
        <w:rPr>
          <w:rFonts w:ascii="Times New Roman" w:hAnsi="Times New Roman"/>
          <w:b w:val="0"/>
          <w:sz w:val="24"/>
        </w:rPr>
        <w:t>Sectores: Vincula los códigos sectoriales usados en los archivos de datos con los nombres sectoriales y las agregaciones definidas.</w:t>
      </w:r>
    </w:p>
    <w:p>
      <w:pPr>
        <w:pStyle w:val="ListParagraph"/>
      </w:pPr>
      <w:r>
        <w:rPr>
          <w:rFonts w:ascii="Times New Roman" w:hAnsi="Times New Roman"/>
          <w:b w:val="0"/>
          <w:sz w:val="24"/>
        </w:rPr>
        <w:t>codigo_sector_46: Código de 46 sectores.</w:t>
      </w:r>
    </w:p>
    <w:p>
      <w:pPr>
        <w:pStyle w:val="ListParagraph"/>
      </w:pPr>
      <w:r>
        <w:rPr>
          <w:rFonts w:ascii="Times New Roman" w:hAnsi="Times New Roman"/>
          <w:b w:val="0"/>
          <w:sz w:val="24"/>
        </w:rPr>
        <w:t>nombre_sector_46: Nombre del sector asociado al código de 46 sectores.</w:t>
      </w:r>
    </w:p>
    <w:p>
      <w:pPr>
        <w:pStyle w:val="ListParagraph"/>
      </w:pPr>
      <w:r>
        <w:rPr>
          <w:rFonts w:ascii="Times New Roman" w:hAnsi="Times New Roman"/>
          <w:b w:val="0"/>
          <w:sz w:val="24"/>
        </w:rPr>
        <w:t>codigo_pibr13: Código de la agregación de 13 sectores.</w:t>
      </w:r>
    </w:p>
    <w:p>
      <w:pPr>
        <w:pStyle w:val="ListParagraph"/>
      </w:pPr>
      <w:r>
        <w:rPr>
          <w:rFonts w:ascii="Times New Roman" w:hAnsi="Times New Roman"/>
          <w:b w:val="0"/>
          <w:sz w:val="24"/>
        </w:rPr>
        <w:t>nombre_pibr13: Nombre de la agregación de 13 sectores.</w:t>
      </w:r>
    </w:p>
    <w:p>
      <w:pPr>
        <w:pStyle w:val="ListParagraph"/>
      </w:pPr>
      <w:r>
        <w:rPr>
          <w:rFonts w:ascii="Times New Roman" w:hAnsi="Times New Roman"/>
          <w:b w:val="0"/>
          <w:sz w:val="24"/>
        </w:rPr>
        <w:t>codigo_industria: Código de industria.</w:t>
      </w:r>
    </w:p>
    <w:p>
      <w:pPr>
        <w:pStyle w:val="ListParagraph"/>
      </w:pPr>
      <w:r>
        <w:rPr>
          <w:rFonts w:ascii="Times New Roman" w:hAnsi="Times New Roman"/>
          <w:b w:val="0"/>
          <w:sz w:val="24"/>
        </w:rPr>
        <w:t>nombre_industria: Nombre de la industria.</w:t>
      </w:r>
    </w:p>
    <w:p>
      <w:pPr>
        <w:pStyle w:val="ListParagraph"/>
      </w:pPr>
      <w:r>
        <w:rPr>
          <w:rFonts w:ascii="Times New Roman" w:hAnsi="Times New Roman"/>
          <w:b w:val="0"/>
          <w:sz w:val="24"/>
        </w:rPr>
        <w:t>Ubicaciones: Vincula los códigos de ubicación usados en los archivos de datos con los nombres de ubicación, región y macrozona.</w:t>
      </w:r>
    </w:p>
    <w:p>
      <w:pPr>
        <w:pStyle w:val="ListParagraph"/>
      </w:pPr>
      <w:r>
        <w:rPr>
          <w:rFonts w:ascii="Times New Roman" w:hAnsi="Times New Roman"/>
          <w:b w:val="0"/>
          <w:sz w:val="24"/>
        </w:rPr>
        <w:t>codigo_ubicacion: Código de ubicación.</w:t>
      </w:r>
    </w:p>
    <w:p>
      <w:pPr>
        <w:pStyle w:val="ListParagraph"/>
      </w:pPr>
      <w:r>
        <w:rPr>
          <w:rFonts w:ascii="Times New Roman" w:hAnsi="Times New Roman"/>
          <w:b w:val="0"/>
          <w:sz w:val="24"/>
        </w:rPr>
        <w:t>nombre_ubicacion: Nombre de la ubicación.</w:t>
      </w:r>
    </w:p>
    <w:p>
      <w:pPr>
        <w:pStyle w:val="ListParagraph"/>
      </w:pPr>
      <w:r>
        <w:rPr>
          <w:rFonts w:ascii="Times New Roman" w:hAnsi="Times New Roman"/>
          <w:b w:val="0"/>
          <w:sz w:val="24"/>
        </w:rPr>
        <w:t>codigo_orden_region: Código de orden regional.</w:t>
      </w:r>
    </w:p>
    <w:p>
      <w:pPr>
        <w:pStyle w:val="ListParagraph"/>
      </w:pPr>
      <w:r>
        <w:rPr>
          <w:rFonts w:ascii="Times New Roman" w:hAnsi="Times New Roman"/>
          <w:b w:val="0"/>
          <w:sz w:val="24"/>
        </w:rPr>
        <w:t>nombre_region: Nombre de la región.</w:t>
      </w:r>
    </w:p>
    <w:p>
      <w:pPr>
        <w:pStyle w:val="ListParagraph"/>
      </w:pPr>
      <w:r>
        <w:rPr>
          <w:rFonts w:ascii="Times New Roman" w:hAnsi="Times New Roman"/>
          <w:b w:val="0"/>
          <w:sz w:val="24"/>
        </w:rPr>
        <w:t>codigo_macrozona: Código de macrozona.</w:t>
      </w:r>
    </w:p>
    <w:p>
      <w:pPr>
        <w:pStyle w:val="ListParagraph"/>
      </w:pPr>
      <w:r>
        <w:rPr>
          <w:rFonts w:ascii="Times New Roman" w:hAnsi="Times New Roman"/>
          <w:b w:val="0"/>
          <w:sz w:val="24"/>
        </w:rPr>
        <w:t>nombre_macrozona: Nombre de la macrozona.</w:t>
      </w:r>
    </w:p>
    <w:p>
      <w:pPr/>
    </w:p>
    <w:p>
      <w:pPr>
        <w:ind w:firstLine="360"/>
      </w:pPr>
      <w:r>
        <w:rPr>
          <w:rFonts w:ascii="Times New Roman" w:hAnsi="Times New Roman"/>
          <w:b/>
          <w:sz w:val="24"/>
        </w:rPr>
        <w:t>2. Información Económica</w:t>
      </w:r>
    </w:p>
    <w:p>
      <w:pPr>
        <w:pStyle w:val="ListParagraph"/>
      </w:pPr>
      <w:r>
        <w:rPr>
          <w:rFonts w:ascii="Times New Roman" w:hAnsi="Times New Roman"/>
          <w:b w:val="0"/>
          <w:sz w:val="24"/>
        </w:rPr>
        <w:t>Las variables monetarias se expresan en millones de pesos chilenos de 2022 (MMCLP$ 2022).</w:t>
      </w:r>
    </w:p>
    <w:p>
      <w:pPr>
        <w:pStyle w:val="ListParagraph"/>
      </w:pPr>
      <w:r>
        <w:rPr>
          <w:rFonts w:ascii="Times New Roman" w:hAnsi="Times New Roman"/>
          <w:b w:val="0"/>
          <w:sz w:val="24"/>
        </w:rPr>
        <w:t>cod_ubicacion: Código de ubicación. Identificador de cada provincia o ubicación en la tabla de correspondencia.</w:t>
      </w:r>
    </w:p>
    <w:p>
      <w:pPr>
        <w:pStyle w:val="ListParagraph"/>
      </w:pPr>
      <w:r>
        <w:rPr>
          <w:rFonts w:ascii="Times New Roman" w:hAnsi="Times New Roman"/>
          <w:b w:val="0"/>
          <w:sz w:val="24"/>
        </w:rPr>
        <w:t>cod_sector: Código de sector. Identificador de cada sector económico en la tabla de correspondencia.</w:t>
      </w:r>
    </w:p>
    <w:p>
      <w:pPr>
        <w:pStyle w:val="ListParagraph"/>
      </w:pPr>
      <w:r>
        <w:rPr>
          <w:rFonts w:ascii="Times New Roman" w:hAnsi="Times New Roman"/>
          <w:b w:val="0"/>
          <w:sz w:val="24"/>
        </w:rPr>
        <w:t>empleo: Empleo anual medido en miles de trabajadores.</w:t>
      </w:r>
    </w:p>
    <w:p>
      <w:pPr>
        <w:pStyle w:val="ListParagraph"/>
      </w:pPr>
      <w:r>
        <w:rPr>
          <w:rFonts w:ascii="Times New Roman" w:hAnsi="Times New Roman"/>
          <w:b w:val="0"/>
          <w:sz w:val="24"/>
        </w:rPr>
        <w:t>excedente: Excedente operativo, equivalente al valor agregado menos las remuneraciones.</w:t>
      </w:r>
    </w:p>
    <w:p>
      <w:pPr>
        <w:pStyle w:val="ListParagraph"/>
      </w:pPr>
      <w:r>
        <w:rPr>
          <w:rFonts w:ascii="Times New Roman" w:hAnsi="Times New Roman"/>
          <w:b w:val="0"/>
          <w:sz w:val="24"/>
        </w:rPr>
        <w:t>insumos_intermedios_domesticos: Insumos intermedios comprados a empresas en Chile.</w:t>
      </w:r>
    </w:p>
    <w:p>
      <w:pPr>
        <w:pStyle w:val="ListParagraph"/>
      </w:pPr>
      <w:r>
        <w:rPr>
          <w:rFonts w:ascii="Times New Roman" w:hAnsi="Times New Roman"/>
          <w:b w:val="0"/>
          <w:sz w:val="24"/>
        </w:rPr>
        <w:t>insumos_intermedios_importados: Insumos intermedios comprados en el exterior.</w:t>
      </w:r>
    </w:p>
    <w:p>
      <w:r>
        <w:t xml:space="preserve">Nota: las importaciones de este dataset corresponden a la utilización intermedia de productos importados (compras de insumos por parte de productores). No incluyen importaciones destinadas a demanda final, por lo que exportaciones − insumos_intermedios_importados no corresponde a la balanza comercial de Chile.</w:t>
      </w:r>
    </w:p>
    <w:p>
      <w:pPr>
        <w:pStyle w:val="ListParagraph"/>
      </w:pPr>
      <w:r>
        <w:rPr>
          <w:rFonts w:ascii="Times New Roman" w:hAnsi="Times New Roman"/>
          <w:b w:val="0"/>
          <w:sz w:val="24"/>
        </w:rPr>
        <w:t>exportaciones: Ventas al mercado extranjero.</w:t>
      </w:r>
    </w:p>
    <w:p>
      <w:pPr>
        <w:pStyle w:val="ListParagraph"/>
      </w:pPr>
      <w:r>
        <w:rPr>
          <w:rFonts w:ascii="Times New Roman" w:hAnsi="Times New Roman"/>
          <w:b w:val="0"/>
          <w:sz w:val="24"/>
        </w:rPr>
        <w:t>ventas_intermedias: Ventas de bienes o servicios intermedios a otras empresas.</w:t>
      </w:r>
    </w:p>
    <w:p>
      <w:pPr>
        <w:pStyle w:val="ListParagraph"/>
      </w:pPr>
      <w:r>
        <w:rPr>
          <w:rFonts w:ascii="Times New Roman" w:hAnsi="Times New Roman"/>
          <w:b w:val="0"/>
          <w:sz w:val="24"/>
        </w:rPr>
        <w:t>ventas_domesticas: Ventas totales en el mercado interno.</w:t>
      </w:r>
    </w:p>
    <w:p>
      <w:pPr>
        <w:pStyle w:val="ListParagraph"/>
      </w:pPr>
      <w:r>
        <w:rPr>
          <w:rFonts w:ascii="Times New Roman" w:hAnsi="Times New Roman"/>
          <w:b w:val="0"/>
          <w:sz w:val="24"/>
        </w:rPr>
        <w:t>produccion_bruta: Producción o producto bruto total.</w:t>
      </w:r>
    </w:p>
    <w:p>
      <w:pPr>
        <w:pStyle w:val="ListParagraph"/>
      </w:pPr>
      <w:r>
        <w:rPr>
          <w:rFonts w:ascii="Times New Roman" w:hAnsi="Times New Roman"/>
          <w:b w:val="0"/>
          <w:sz w:val="24"/>
        </w:rPr>
        <w:t>insumos_intermedios_totales: Insumos intermedios totales comprados.</w:t>
      </w:r>
    </w:p>
    <w:p>
      <w:pPr>
        <w:pStyle w:val="ListParagraph"/>
      </w:pPr>
      <w:r>
        <w:rPr>
          <w:rFonts w:ascii="Times New Roman" w:hAnsi="Times New Roman"/>
          <w:b w:val="0"/>
          <w:sz w:val="24"/>
        </w:rPr>
        <w:t>valor_agregado: Valor agregado, equivalente a producción bruta menos insumos intermedios totales.</w:t>
      </w:r>
    </w:p>
    <w:p>
      <w:pPr>
        <w:pStyle w:val="ListParagraph"/>
      </w:pPr>
      <w:r>
        <w:rPr>
          <w:rFonts w:ascii="Times New Roman" w:hAnsi="Times New Roman"/>
          <w:b w:val="0"/>
          <w:sz w:val="24"/>
        </w:rPr>
        <w:t>remuneraciones: Pago total a los trabajadores.</w:t>
      </w:r>
    </w:p>
    <w:p>
      <w:pPr>
        <w:pStyle w:val="ListParagraph"/>
      </w:pPr>
      <w:r>
        <w:rPr>
          <w:rFonts w:ascii="Times New Roman" w:hAnsi="Times New Roman"/>
          <w:b w:val="0"/>
          <w:sz w:val="24"/>
        </w:rPr>
        <w:t>ventas_consumo_final: Ventas realizadas a consumidores finales.</w:t>
      </w:r>
    </w:p>
    <w:p>
      <w:pPr/>
    </w:p>
    <w:p>
      <w:pPr>
        <w:ind w:firstLine="360"/>
      </w:pPr>
      <w:r>
        <w:rPr>
          <w:rFonts w:ascii="Times New Roman" w:hAnsi="Times New Roman"/>
          <w:b/>
          <w:sz w:val="24"/>
        </w:rPr>
        <w:t>3. Flujos IO Espaciales</w:t>
      </w:r>
    </w:p>
    <w:p>
      <w:pPr>
        <w:pStyle w:val="ListParagraph"/>
      </w:pPr>
      <w:r>
        <w:rPr>
          <w:rFonts w:ascii="Times New Roman" w:hAnsi="Times New Roman"/>
          <w:b w:val="0"/>
          <w:sz w:val="24"/>
        </w:rPr>
        <w:t>Los flujos monetarios se expresan en millones de pesos chilenos de 2022 (MMCLP$ 2022).</w:t>
      </w:r>
    </w:p>
    <w:p>
      <w:pPr>
        <w:pStyle w:val="ListParagraph"/>
      </w:pPr>
      <w:r>
        <w:rPr>
          <w:rFonts w:ascii="Times New Roman" w:hAnsi="Times New Roman"/>
          <w:b w:val="0"/>
          <w:sz w:val="24"/>
        </w:rPr>
        <w:t>cod_ubicacion_vendedora: Código de ubicación del territorio vendedor.</w:t>
      </w:r>
    </w:p>
    <w:p>
      <w:pPr>
        <w:pStyle w:val="ListParagraph"/>
      </w:pPr>
      <w:r>
        <w:rPr>
          <w:rFonts w:ascii="Times New Roman" w:hAnsi="Times New Roman"/>
          <w:b w:val="0"/>
          <w:sz w:val="24"/>
        </w:rPr>
        <w:t>cod_ubicacion_compradora: Código de ubicación del territorio comprador.</w:t>
      </w:r>
    </w:p>
    <w:p>
      <w:pPr>
        <w:pStyle w:val="ListParagraph"/>
      </w:pPr>
      <w:r>
        <w:rPr>
          <w:rFonts w:ascii="Times New Roman" w:hAnsi="Times New Roman"/>
          <w:b w:val="0"/>
          <w:sz w:val="24"/>
        </w:rPr>
        <w:t>cod_sector_vendedor: Código de sector del sector vendedor.</w:t>
      </w:r>
    </w:p>
    <w:p>
      <w:pPr>
        <w:pStyle w:val="ListParagraph"/>
      </w:pPr>
      <w:r>
        <w:rPr>
          <w:rFonts w:ascii="Times New Roman" w:hAnsi="Times New Roman"/>
          <w:b w:val="0"/>
          <w:sz w:val="24"/>
        </w:rPr>
        <w:t>cod_sector_comprador: Código de sector del sector comprador.</w:t>
      </w:r>
    </w:p>
    <w:p>
      <w:pPr>
        <w:pStyle w:val="ListParagraph"/>
      </w:pPr>
      <w:r>
        <w:rPr>
          <w:rFonts w:ascii="Times New Roman" w:hAnsi="Times New Roman"/>
          <w:b w:val="0"/>
          <w:sz w:val="24"/>
        </w:rPr>
        <w:t>flujo: Flujo anual transado entre ubicaciones y sectores vendedores y compradores.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