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Inter" w:cs="Inter" w:eastAsia="Inter" w:hAnsi="Inter"/>
        </w:rPr>
        <w:t xml:space="preserve"/>
      </w:r>
    </w:p>
    <w:p>
      <w:pPr>
        <w:spacing w:after="80"/>
      </w:pPr>
      <w:r>
        <w:rPr>
          <w:rFonts w:ascii="Inter" w:cs="Inter" w:eastAsia="Inter" w:hAnsi="Inter"/>
          <w:b/>
          <w:bCs/>
          <w:color w:val="09090B"/>
          <w:sz w:val="72"/>
          <w:szCs w:val="72"/>
        </w:rPr>
        <w:t xml:space="preserve">TokenLab</w:t>
      </w:r>
    </w:p>
    <w:p>
      <w:pPr>
        <w:spacing w:after="60"/>
      </w:pPr>
      <w:r>
        <w:rPr>
          <w:rFonts w:ascii="Inter" w:cs="Inter" w:eastAsia="Inter" w:hAnsi="Inter"/>
          <w:color w:val="52525B"/>
          <w:sz w:val="40"/>
          <w:szCs w:val="40"/>
        </w:rPr>
        <w:t xml:space="preserve">Feature Specification</w:t>
      </w:r>
    </w:p>
    <w:p>
      <w:pPr>
        <w:spacing w:after="320"/>
      </w:pPr>
      <w:r>
        <w:rPr>
          <w:rFonts w:ascii="Inter" w:cs="Inter" w:eastAsia="Inter" w:hAnsi="Inter"/>
          <w:b/>
          <w:bCs/>
          <w:color w:val="52525B"/>
          <w:sz w:val="28"/>
          <w:szCs w:val="28"/>
        </w:rPr>
        <w:t xml:space="preserve">Enhancement Package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shd w:fill="F4F4F5" w:val="clear"/>
            <w:tcMar>
              <w:top w:type="dxa" w:w="160"/>
              <w:left w:type="dxa" w:w="200"/>
              <w:bottom w:type="dxa" w:w="160"/>
              <w:right w:type="dxa" w:w="200"/>
            </w:tcMar>
          </w:tcPr>
          <w:p>
            <w:pPr>
              <w:spacing w:after="40"/>
            </w:pPr>
            <w:r>
              <w:rPr>
                <w:rFonts w:ascii="Inter" w:cs="Inter" w:eastAsia="Inter" w:hAnsi="Inter"/>
                <w:color w:val="52525B"/>
                <w:sz w:val="16"/>
                <w:szCs w:val="16"/>
              </w:rPr>
              <w:t xml:space="preserve">Author</w:t>
            </w:r>
          </w:p>
          <w:p>
            <w:pPr>
              <w:spacing w:after="0"/>
            </w:pPr>
            <w:r>
              <w:rPr>
                <w:rFonts w:ascii="Inter" w:cs="Inter" w:eastAsia="Inter" w:hAnsi="Inter"/>
                <w:b/>
                <w:bCs/>
                <w:color w:val="09090B"/>
                <w:sz w:val="20"/>
                <w:szCs w:val="20"/>
              </w:rPr>
              <w:t xml:space="preserve">Martin</w:t>
            </w:r>
          </w:p>
        </w:tc>
        <w:tc>
          <w:tcPr>
            <w:tcW w:type="dxa" w:w="4680"/>
            <w:tcBorders>
              <w:top w:val="nil"/>
              <w:left w:val="nil"/>
              <w:bottom w:val="nil"/>
              <w:right w:val="nil"/>
            </w:tcBorders>
            <w:shd w:fill="F4F4F5" w:val="clear"/>
            <w:tcMar>
              <w:top w:type="dxa" w:w="160"/>
              <w:left w:type="dxa" w:w="200"/>
              <w:bottom w:type="dxa" w:w="160"/>
              <w:right w:type="dxa" w:w="200"/>
            </w:tcMar>
          </w:tcPr>
          <w:p>
            <w:pPr>
              <w:spacing w:after="40"/>
            </w:pPr>
            <w:r>
              <w:rPr>
                <w:rFonts w:ascii="Inter" w:cs="Inter" w:eastAsia="Inter" w:hAnsi="Inter"/>
                <w:color w:val="52525B"/>
                <w:sz w:val="16"/>
                <w:szCs w:val="16"/>
              </w:rPr>
              <w:t xml:space="preserve">Date</w:t>
            </w:r>
          </w:p>
          <w:p>
            <w:pPr>
              <w:spacing w:after="0"/>
            </w:pPr>
            <w:r>
              <w:rPr>
                <w:rFonts w:ascii="Inter" w:cs="Inter" w:eastAsia="Inter" w:hAnsi="Inter"/>
                <w:b/>
                <w:bCs/>
                <w:color w:val="09090B"/>
                <w:sz w:val="20"/>
                <w:szCs w:val="20"/>
              </w:rPr>
              <w:t xml:space="preserve">February 2026</w:t>
            </w:r>
          </w:p>
        </w:tc>
      </w:tr>
      <w:tr>
        <w:tc>
          <w:tcPr>
            <w:tcW w:type="dxa" w:w="4680"/>
            <w:tcBorders>
              <w:top w:val="nil"/>
              <w:left w:val="nil"/>
              <w:bottom w:val="nil"/>
              <w:right w:val="nil"/>
            </w:tcBorders>
            <w:shd w:fill="F4F4F5" w:val="clear"/>
            <w:tcMar>
              <w:top w:type="dxa" w:w="160"/>
              <w:left w:type="dxa" w:w="200"/>
              <w:bottom w:type="dxa" w:w="160"/>
              <w:right w:type="dxa" w:w="200"/>
            </w:tcMar>
          </w:tcPr>
          <w:p>
            <w:pPr>
              <w:spacing w:after="40"/>
            </w:pPr>
            <w:r>
              <w:rPr>
                <w:rFonts w:ascii="Inter" w:cs="Inter" w:eastAsia="Inter" w:hAnsi="Inter"/>
                <w:color w:val="52525B"/>
                <w:sz w:val="16"/>
                <w:szCs w:val="16"/>
              </w:rPr>
              <w:t xml:space="preserve">Status</w:t>
            </w:r>
          </w:p>
          <w:p>
            <w:pPr>
              <w:spacing w:after="0"/>
            </w:pPr>
            <w:r>
              <w:rPr>
                <w:rFonts w:ascii="Inter" w:cs="Inter" w:eastAsia="Inter" w:hAnsi="Inter"/>
                <w:b/>
                <w:bCs/>
                <w:color w:val="09090B"/>
                <w:sz w:val="20"/>
                <w:szCs w:val="20"/>
              </w:rPr>
              <w:t xml:space="preserve">Draft — Awaiting Review</w:t>
            </w:r>
          </w:p>
        </w:tc>
        <w:tc>
          <w:tcPr>
            <w:tcW w:type="dxa" w:w="4680"/>
            <w:tcBorders>
              <w:top w:val="nil"/>
              <w:left w:val="nil"/>
              <w:bottom w:val="nil"/>
              <w:right w:val="nil"/>
            </w:tcBorders>
            <w:shd w:fill="F4F4F5" w:val="clear"/>
            <w:tcMar>
              <w:top w:type="dxa" w:w="160"/>
              <w:left w:type="dxa" w:w="200"/>
              <w:bottom w:type="dxa" w:w="160"/>
              <w:right w:type="dxa" w:w="200"/>
            </w:tcMar>
          </w:tcPr>
          <w:p>
            <w:pPr>
              <w:spacing w:after="40"/>
            </w:pPr>
            <w:r>
              <w:rPr>
                <w:rFonts w:ascii="Inter" w:cs="Inter" w:eastAsia="Inter" w:hAnsi="Inter"/>
                <w:color w:val="52525B"/>
                <w:sz w:val="16"/>
                <w:szCs w:val="16"/>
              </w:rPr>
              <w:t xml:space="preserve">Product</w:t>
            </w:r>
          </w:p>
          <w:p>
            <w:pPr>
              <w:spacing w:after="0"/>
            </w:pPr>
            <w:r>
              <w:rPr>
                <w:rFonts w:ascii="Inter" w:cs="Inter" w:eastAsia="Inter" w:hAnsi="Inter"/>
                <w:b/>
                <w:bCs/>
                <w:color w:val="09090B"/>
                <w:sz w:val="20"/>
                <w:szCs w:val="20"/>
              </w:rPr>
              <w:t xml:space="preserve">TokenLab webapp</w:t>
            </w:r>
          </w:p>
        </w:tc>
      </w:tr>
    </w:tbl>
    <w:p>
      <w:pPr>
        <w:spacing w:after="80"/>
      </w:pPr>
      <w:r>
        <w:rPr>
          <w:rFonts w:ascii="Inter" w:cs="Inter" w:eastAsia="Inter" w:hAnsi="Inter"/>
        </w:rPr>
        <w:t xml:space="preserve"/>
      </w:r>
    </w:p>
    <w:p>
      <w:pPr>
        <w:spacing w:after="0"/>
      </w:pPr>
      <w:r>
        <w:rPr>
          <w:rFonts w:ascii="Inter" w:cs="Inter" w:eastAsia="Inter" w:hAnsi="Inter"/>
          <w:color w:val="27272A"/>
          <w:sz w:val="20"/>
          <w:szCs w:val="20"/>
        </w:rPr>
        <w:t xml:space="preserve">This document specifies 7 product improvements for TokenLab, identified through competitive analysis of a reference design system generator tool. Improvements are grouped into feature areas, each with a problem statement, user stories, prioritized requirements, success metrics, and open questions.</w:t>
      </w:r>
    </w:p>
    <w:p>
      <w:pPr>
        <w:spacing w:after="80"/>
      </w:pPr>
      <w:r>
        <w:rPr>
          <w:rFonts w:ascii="Inter" w:cs="Inter" w:eastAsia="Inter" w:hAnsi="Inter"/>
        </w:rPr>
        <w:t xml:space="preserve"/>
      </w:r>
    </w:p>
    <w:p>
      <w:pPr>
        <w:pStyle w:val="Heading1"/>
        <w:pBdr>
          <w:bottom w:val="single" w:color="E4E4E7" w:sz="1"/>
        </w:pBdr>
        <w:spacing w:after="160" w:before="480"/>
      </w:pPr>
      <w:r>
        <w:rPr>
          <w:rFonts w:ascii="Inter" w:cs="Inter" w:eastAsia="Inter" w:hAnsi="Inter"/>
          <w:b/>
          <w:bCs/>
          <w:color w:val="09090B"/>
          <w:sz w:val="36"/>
          <w:szCs w:val="36"/>
        </w:rPr>
        <w:t xml:space="preserve">Executive Summary</w:t>
      </w:r>
    </w:p>
    <w:p>
      <w:pPr>
        <w:spacing w:after="140"/>
      </w:pPr>
      <w:r>
        <w:rPr>
          <w:rFonts w:ascii="Inter" w:cs="Inter" w:eastAsia="Inter" w:hAnsi="Inter"/>
          <w:color w:val="27272A"/>
          <w:sz w:val="20"/>
          <w:szCs w:val="20"/>
        </w:rPr>
        <w:t xml:space="preserve">TokenLab is a design token explorer and variable collection builder. Based on competitive analysis of a reference tool (screenshots provided), this specification covers 7 enhancement areas that close key experience gaps around dark mode support, Figma-native export, color format flexibility, and semantic token clarity.</w:t>
      </w:r>
    </w:p>
    <w:p>
      <w:pPr>
        <w:spacing w:after="80"/>
      </w:pPr>
      <w:r>
        <w:rPr>
          <w:rFonts w:ascii="Inter" w:cs="Inter" w:eastAsia="Inter" w:hAnsi="Inter"/>
        </w:rPr>
        <w:t xml:space="preserve"/>
      </w:r>
    </w:p>
    <w:p>
      <w:pPr>
        <w:pBdr>
          <w:left w:val="single" w:color="09090B" w:sz="12"/>
        </w:pBdr>
        <w:shd w:fill="F4F4F5" w:val="clear"/>
        <w:spacing w:after="120" w:before="200"/>
      </w:pPr>
      <w:r>
        <w:rPr>
          <w:rFonts w:ascii="Inter" w:cs="Inter" w:eastAsia="Inter" w:hAnsi="Inter"/>
          <w:b/>
          <w:bCs/>
          <w:color w:val="52525B"/>
          <w:sz w:val="18"/>
          <w:szCs w:val="18"/>
        </w:rPr>
        <w:t xml:space="preserve">  Strategic Context</w:t>
      </w:r>
    </w:p>
    <w:p>
      <w:pPr>
        <w:spacing w:after="140"/>
      </w:pPr>
      <w:r>
        <w:rPr>
          <w:rFonts w:ascii="Inter" w:cs="Inter" w:eastAsia="Inter" w:hAnsi="Inter"/>
          <w:color w:val="27272A"/>
          <w:sz w:val="20"/>
          <w:szCs w:val="20"/>
        </w:rPr>
        <w:t xml:space="preserve">The reference tool demonstrates that designers expect three things from a modern token builder: (1) first-class dark mode token generation baked into the core workflow, not as an afterthought; (2) a Figma Variables export that creates a closed loop between design tooling and code; and (3) visual clarity in the export view that separates primitive palette values from semantic component tokens. These are gaps TokenLab can close with focused effort.</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Prioritization Summary</w:t>
      </w:r>
    </w:p>
    <w:p>
      <w:pPr>
        <w:spacing w:after="140"/>
      </w:pPr>
      <w:r>
        <w:rPr>
          <w:rFonts w:ascii="Inter" w:cs="Inter" w:eastAsia="Inter" w:hAnsi="Inter"/>
          <w:color w:val="27272A"/>
          <w:sz w:val="20"/>
          <w:szCs w:val="20"/>
        </w:rPr>
        <w:t xml:space="preserve">Seven features are scoped in this document. Three are classified P0 (critical path for v2), three are P1 (high-value fast-follows), and one is P2 (architectural preparation).</w:t>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1000"/>
        <w:gridCol w:w="1200"/>
        <w:gridCol w:w="1100"/>
      </w:tblGrid>
      <w:tr>
        <w:tc>
          <w:tcPr>
            <w:tcW w:type="dxa" w:w="5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w:t>
            </w:r>
          </w:p>
        </w:tc>
        <w:tc>
          <w:tcPr>
            <w:tcW w:type="dxa" w:w="35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Feature</w:t>
            </w:r>
          </w:p>
        </w:tc>
        <w:tc>
          <w:tcPr>
            <w:tcW w:type="dxa" w:w="1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Complexity</w:t>
            </w:r>
          </w:p>
        </w:tc>
        <w:tc>
          <w:tcPr>
            <w:tcW w:type="dxa" w:w="11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Impact</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1</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Dual-Mode Token Preview (Light/Dark)</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91B1B"/>
                <w:sz w:val="18"/>
                <w:szCs w:val="18"/>
              </w:rPr>
              <w:t xml:space="preserve">P0</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High</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Very High</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2</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Figma Variables Export</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91B1B"/>
                <w:sz w:val="18"/>
                <w:szCs w:val="18"/>
              </w:rPr>
              <w:t xml:space="preserve">P0</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Medium</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Very High</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3</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Multi-Format Color Output</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2400E"/>
                <w:sz w:val="18"/>
                <w:szCs w:val="18"/>
              </w:rPr>
              <w:t xml:space="preserve">P1</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Low</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High</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4</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Randomize Color Generator</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2400E"/>
                <w:sz w:val="18"/>
                <w:szCs w:val="18"/>
              </w:rPr>
              <w:t xml:space="preserve">P1</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Low</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Medium</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5</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Dark Mode Auto-Generation Toggle</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91B1B"/>
                <w:sz w:val="18"/>
                <w:szCs w:val="18"/>
              </w:rPr>
              <w:t xml:space="preserve">P0</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High</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Very High</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6</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Semantic/Primitive Split in Export</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92400E"/>
                <w:sz w:val="18"/>
                <w:szCs w:val="18"/>
              </w:rPr>
              <w:t xml:space="preserve">P1</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Medium</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High</w:t>
            </w:r>
          </w:p>
        </w:tc>
      </w:tr>
      <w:tr>
        <w:tc>
          <w:tcPr>
            <w:tcW w:type="dxa" w:w="5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7</w:t>
            </w:r>
          </w:p>
        </w:tc>
        <w:tc>
          <w:tcPr>
            <w:tcW w:type="dxa" w:w="3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Platform &amp; Responsive Tokens</w:t>
            </w:r>
          </w:p>
        </w:tc>
        <w:tc>
          <w:tcPr>
            <w:tcW w:type="dxa" w:w="1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66534"/>
                <w:sz w:val="18"/>
                <w:szCs w:val="18"/>
              </w:rPr>
              <w:t xml:space="preserve">P2</w:t>
            </w:r>
          </w:p>
        </w:tc>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High</w:t>
            </w:r>
          </w:p>
        </w:tc>
        <w:tc>
          <w:tcPr>
            <w:tcW w:type="dxa" w:w="11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Medium</w:t>
            </w:r>
          </w:p>
        </w:tc>
      </w:tr>
    </w:tbl>
    <w:p>
      <w:pPr>
        <w:spacing w:after="80"/>
      </w:pPr>
      <w:r>
        <w:rPr>
          <w:rFonts w:ascii="Inter" w:cs="Inter" w:eastAsia="Inter" w:hAnsi="Inter"/>
        </w:rPr>
        <w:t xml:space="preserve"/>
      </w:r>
    </w:p>
    <w:p>
      <w:r>
        <w:br w:type="page"/>
      </w:r>
    </w:p>
    <w:p>
      <w:pPr>
        <w:spacing w:after="200" w:before="240"/>
      </w:pPr>
      <w:r>
        <w:rPr>
          <w:rFonts w:ascii="Inter" w:cs="Inter" w:eastAsia="Inter" w:hAnsi="Inter"/>
          <w:b/>
          <w:bCs/>
          <w:color w:val="09090B"/>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01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Dual-Mode Token Preview</w:t>
            </w:r>
          </w:p>
          <w:p>
            <w:pPr>
              <w:spacing w:after="0"/>
            </w:pPr>
            <w:r>
              <w:rPr>
                <w:rFonts w:ascii="Inter" w:cs="Inter" w:eastAsia="Inter" w:hAnsi="Inter"/>
                <w:i/>
                <w:iCs/>
                <w:color w:val="52525B"/>
                <w:sz w:val="20"/>
                <w:szCs w:val="20"/>
              </w:rPr>
              <w:t xml:space="preserve">Show Light and Dark values side-by-side in the Token Review step</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TokenLab's Review step displays each generated token as a single color swatch with one hex value. Designers working on multi-theme products need to see the light-mode and dark-mode values of every semantic token simultaneously — the same way a developer will ultimately consume them. Without this paired view, the only way to evaluate dark mode correctness is to export code and manually inspect it, which breaks the review workflow and adds significant friction.</w:t>
      </w:r>
    </w:p>
    <w:p>
      <w:pPr>
        <w:spacing w:after="140"/>
      </w:pPr>
      <w:r>
        <w:rPr>
          <w:rFonts w:ascii="Inter" w:cs="Inter" w:eastAsia="Inter" w:hAnsi="Inter"/>
          <w:color w:val="27272A"/>
          <w:sz w:val="20"/>
          <w:szCs w:val="20"/>
        </w:rPr>
        <w:t xml:space="preserve">This affects every user who runs the wizard and reaches the Review step with dark mode generation enabled. The cost of not solving it is that dark mode tokens are essentially unvalidated inside the product — errors are discovered only after export, in an external editor.</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Designers can see both Light and Dark token values in one table view without leaving the Review step.</w:t>
      </w:r>
    </w:p>
    <w:p>
      <w:pPr>
        <w:pStyle w:val="ListParagraph"/>
        <w:numPr>
          <w:ilvl w:val="0"/>
          <w:numId w:val="2"/>
        </w:numPr>
        <w:spacing w:after="60"/>
      </w:pPr>
      <w:r>
        <w:rPr>
          <w:rFonts w:ascii="Inter" w:cs="Inter" w:eastAsia="Inter" w:hAnsi="Inter"/>
          <w:color w:val="27272A"/>
          <w:sz w:val="20"/>
          <w:szCs w:val="20"/>
        </w:rPr>
        <w:t xml:space="preserve">The two-column layout makes visual discrepancies between light and dark variants immediately obvious (e.g. both values are the same color, indicating the dark transform was not applied).</w:t>
      </w:r>
    </w:p>
    <w:p>
      <w:pPr>
        <w:pStyle w:val="ListParagraph"/>
        <w:numPr>
          <w:ilvl w:val="0"/>
          <w:numId w:val="2"/>
        </w:numPr>
        <w:spacing w:after="60"/>
      </w:pPr>
      <w:r>
        <w:rPr>
          <w:rFonts w:ascii="Inter" w:cs="Inter" w:eastAsia="Inter" w:hAnsi="Inter"/>
          <w:color w:val="27272A"/>
          <w:sz w:val="20"/>
          <w:szCs w:val="20"/>
        </w:rPr>
        <w:t xml:space="preserve">Existing single-mode workflows (no dark mode) are unaffected — the second column only appears when dark mode generation is enabled.</w:t>
      </w:r>
    </w:p>
    <w:p>
      <w:pPr>
        <w:pStyle w:val="ListParagraph"/>
        <w:numPr>
          <w:ilvl w:val="0"/>
          <w:numId w:val="2"/>
        </w:numPr>
        <w:spacing w:after="60"/>
      </w:pPr>
      <w:r>
        <w:rPr>
          <w:rFonts w:ascii="Inter" w:cs="Inter" w:eastAsia="Inter" w:hAnsi="Inter"/>
          <w:color w:val="27272A"/>
          <w:sz w:val="20"/>
          <w:szCs w:val="20"/>
        </w:rPr>
        <w:t xml:space="preserve">Export formats (CSS, SCSS, DTCG) automatically include both mode values when the dual-mode view is active.</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This feature does not implement the dark mode generation logic itself — that is Feature 5. This feature is the review UI that visualizes the output of Feature 5.</w:t>
      </w:r>
    </w:p>
    <w:p>
      <w:pPr>
        <w:pStyle w:val="ListParagraph"/>
        <w:numPr>
          <w:ilvl w:val="0"/>
          <w:numId w:val="2"/>
        </w:numPr>
        <w:spacing w:after="60"/>
      </w:pPr>
      <w:r>
        <w:rPr>
          <w:rFonts w:ascii="Inter" w:cs="Inter" w:eastAsia="Inter" w:hAnsi="Inter"/>
          <w:color w:val="27272A"/>
          <w:sz w:val="20"/>
          <w:szCs w:val="20"/>
        </w:rPr>
        <w:t xml:space="preserve">This is not a theme switcher or runtime preview — it is a static table view only.</w:t>
      </w:r>
    </w:p>
    <w:p>
      <w:pPr>
        <w:pStyle w:val="ListParagraph"/>
        <w:numPr>
          <w:ilvl w:val="0"/>
          <w:numId w:val="2"/>
        </w:numPr>
        <w:spacing w:after="60"/>
      </w:pPr>
      <w:r>
        <w:rPr>
          <w:rFonts w:ascii="Inter" w:cs="Inter" w:eastAsia="Inter" w:hAnsi="Inter"/>
          <w:color w:val="27272A"/>
          <w:sz w:val="20"/>
          <w:szCs w:val="20"/>
        </w:rPr>
        <w:t xml:space="preserve">Custom mode names (e.g. "High Contrast") are out of scope for v1; only Light and Dark are supported.</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see light and dark token values in the same row of the review table</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spot dark mode issues without exporting</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filter the token list to show only tokens where the light and dark values are identical</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quickly identify tokens where the dark transform was not applied</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developer consuming the export</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download a CSS file that has separate :root and [data-theme='dark'] blocks</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implement theme switching with a single import</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collapse the Dark column when I am only working with a single-theme product</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the review table does not feel cluttered for single-mode use cases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Token review table adds a Dark column alongside the existing Light column when dark mode is enabled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Given dark mode is on, the table shows two color swatches per row — Light and Dark — each with its hex value</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Tokens where Light === Dark values are visually flagged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warning icon or highlight appears on rows where both values are identical, indicating a missing dark transform</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CSS export wraps light tokens in :root and dark tokens in [data-theme='dark'] selector</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Exported CSS file contains both blocks; copying it into a project applies both modes with zero manual editing</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DTCG export includes $mode field for each token with 'light' and 'dark' variants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Downloaded .tokens.json validates against W3C DTCG schema with mode support</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User can toggle Dark column visibility</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toggle button in the toolbar shows/hides the Dark column; preference persists for the session</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P2</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Table supports more than two modes (e.g. High Contrast)</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Architecture accepts an array of modes, not a hardcoded light/dark pair</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of wizard sessions that reach Review step AND have dark mode enabled that complete export</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70% within 60 days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wizard completion funnel segmented by dark mode toggle state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Reduction in support/feedback about dark mode token accuracy</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−40% mentions of dark mode issues in feedback</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Manual review of feedback submissions 30 days pre vs post launch</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Export download rate in sessions with dual-mode view active</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85% download within same session</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export button click after dual-mode table is viewed</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What dark mode color transform algorithm should be used? (invert luminance, shift hue, custom per-token)</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 + 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blocks Feature 5 design</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the Dark column appear in the flat list view and the tree view, or tree view only?</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Does the DTCG schema have an official way to represent modes, or should we use a custom extension?</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affects export format</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02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Figma Variables Export</w:t>
            </w:r>
          </w:p>
          <w:p>
            <w:pPr>
              <w:spacing w:after="0"/>
            </w:pPr>
            <w:r>
              <w:rPr>
                <w:rFonts w:ascii="Inter" w:cs="Inter" w:eastAsia="Inter" w:hAnsi="Inter"/>
                <w:i/>
                <w:iCs/>
                <w:color w:val="52525B"/>
                <w:sz w:val="20"/>
                <w:szCs w:val="20"/>
              </w:rPr>
              <w:t xml:space="preserve">Download a Figma-native variables JSON that imports directly into Figma</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TokenLab currently exports tokens in 6 formats: CSS Variables, SCSS, JSON, DTCG, Tailwind Config, and JS Module. None of these import directly into Figma's native Variables system, which has its own JSON schema. As a result, designers who build their token system in TokenLab must manually recreate all variables inside Figma — a process that can take hours and is error-prone when token names or values change.</w:t>
      </w:r>
    </w:p>
    <w:p>
      <w:pPr>
        <w:spacing w:after="140"/>
      </w:pPr>
      <w:r>
        <w:rPr>
          <w:rFonts w:ascii="Inter" w:cs="Inter" w:eastAsia="Inter" w:hAnsi="Inter"/>
          <w:color w:val="27272A"/>
          <w:sz w:val="20"/>
          <w:szCs w:val="20"/>
        </w:rPr>
        <w:t xml:space="preserve">This is the most critical workflow gap relative to the reference tool, which offers a "Download Figma Variables" button as its primary CTA. Every TokenLab user who also uses Figma — which is the core user profile — is impacted by this gap on every export.</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Designers can download a single JSON file that imports into Figma via Plugins &gt; Import Variables (or Tokens Studio) without any manual editing.</w:t>
      </w:r>
    </w:p>
    <w:p>
      <w:pPr>
        <w:pStyle w:val="ListParagraph"/>
        <w:numPr>
          <w:ilvl w:val="0"/>
          <w:numId w:val="2"/>
        </w:numPr>
        <w:spacing w:after="60"/>
      </w:pPr>
      <w:r>
        <w:rPr>
          <w:rFonts w:ascii="Inter" w:cs="Inter" w:eastAsia="Inter" w:hAnsi="Inter"/>
          <w:color w:val="27272A"/>
          <w:sz w:val="20"/>
          <w:szCs w:val="20"/>
        </w:rPr>
        <w:t xml:space="preserve">The export preserves collection grouping, token names, and hex values as defined in TokenLab.</w:t>
      </w:r>
    </w:p>
    <w:p>
      <w:pPr>
        <w:pStyle w:val="ListParagraph"/>
        <w:numPr>
          <w:ilvl w:val="0"/>
          <w:numId w:val="2"/>
        </w:numPr>
        <w:spacing w:after="60"/>
      </w:pPr>
      <w:r>
        <w:rPr>
          <w:rFonts w:ascii="Inter" w:cs="Inter" w:eastAsia="Inter" w:hAnsi="Inter"/>
          <w:color w:val="27272A"/>
          <w:sz w:val="20"/>
          <w:szCs w:val="20"/>
        </w:rPr>
        <w:t xml:space="preserve">Light and Dark mode values (when available) map to separate Figma variable modes.</w:t>
      </w:r>
    </w:p>
    <w:p>
      <w:pPr>
        <w:pStyle w:val="ListParagraph"/>
        <w:numPr>
          <w:ilvl w:val="0"/>
          <w:numId w:val="2"/>
        </w:numPr>
        <w:spacing w:after="60"/>
      </w:pPr>
      <w:r>
        <w:rPr>
          <w:rFonts w:ascii="Inter" w:cs="Inter" w:eastAsia="Inter" w:hAnsi="Inter"/>
          <w:color w:val="27272A"/>
          <w:sz w:val="20"/>
          <w:szCs w:val="20"/>
        </w:rPr>
        <w:t xml:space="preserve">The feature is discoverable — it appears as a primary action in the Review step export panel, not buried in a secondary list.</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Direct API push to Figma (OAuth, token, automatic sync) is out of scope for v1 — the file-download approach is sufficient and avoids authentication complexity.</w:t>
      </w:r>
    </w:p>
    <w:p>
      <w:pPr>
        <w:pStyle w:val="ListParagraph"/>
        <w:numPr>
          <w:ilvl w:val="0"/>
          <w:numId w:val="2"/>
        </w:numPr>
        <w:spacing w:after="60"/>
      </w:pPr>
      <w:r>
        <w:rPr>
          <w:rFonts w:ascii="Inter" w:cs="Inter" w:eastAsia="Inter" w:hAnsi="Inter"/>
          <w:color w:val="27272A"/>
          <w:sz w:val="20"/>
          <w:szCs w:val="20"/>
        </w:rPr>
        <w:t xml:space="preserve">Exporting typography, spacing, or shadow tokens to Figma is out of scope for v1; only color tokens are covered.</w:t>
      </w:r>
    </w:p>
    <w:p>
      <w:pPr>
        <w:pStyle w:val="ListParagraph"/>
        <w:numPr>
          <w:ilvl w:val="0"/>
          <w:numId w:val="2"/>
        </w:numPr>
        <w:spacing w:after="60"/>
      </w:pPr>
      <w:r>
        <w:rPr>
          <w:rFonts w:ascii="Inter" w:cs="Inter" w:eastAsia="Inter" w:hAnsi="Inter"/>
          <w:color w:val="27272A"/>
          <w:sz w:val="20"/>
          <w:szCs w:val="20"/>
        </w:rPr>
        <w:t xml:space="preserve">Two-way sync (importing Figma variables back into TokenLab) is a separate, larger initiative.</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download a Figma Variables JSON file from the Review step</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import my token system into Figma in under 2 minutes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 using Tokens Studio</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download a Tokens Studio compatible JSON</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use TokenLab-generated tokens inside my existing Tokens Studio workflow</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designer maintaining a live design system</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re-download an updated Figma Variables file after editing tokens in TokenLab</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keep Figma in sync without manually updating every variable</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New 'Figma Variables' format option appears in the export format tabs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Tab is visible and selectable; clicking it switches the code preview to Figma Variables JSON</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Exported JSON matches Figma's importable variable format (collections, modes, values)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File can be imported into Figma with zero errors using a Figma variables import plugin</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Token names in the export match fullName exactly as shown in the Review table</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No rename or transformation applied during export</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If dual-mode is enabled, the export creates two modes: 'Light' and 'Dark' within the same collection</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Figma import shows both modes selectable per variable</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Tokens Studio format is available as a separate sub-option</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secondary toggle 'Tokens Studio format' changes the JSON structure to match Tokens Studio v2 schema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P2</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 includes variable scopes metadata (ALL_FILLS, TEXT_FILL, etc.)</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Scopes allow Figma to suggest variables only in relevant contexts</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Figma Variables selected as export format in wizard sessions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30% of export events within 90 days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per-format export button clicks</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User-reported import success rate (via feedback form or survey)</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90% report successful import on first try</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Post-export feedback prompt: 'Did your file import correctly?'</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Time from wizard completion to Figma import</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&lt; 3 minutes end-to-end</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User research session observation (3–5 participants)</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Which Figma variables import plugin should be the primary target? (Figma official API vs Tokens Studio vs Variables Manager)</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 (Martin)</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determines JSON schema</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all token collections be exported into one Figma collection or separate collections per group?</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Does the Figma Variables API require an Enterprise plan? If so, should the download target a plugin instead?</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affects implementation approach</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03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Multi-Format Color Output</w:t>
            </w:r>
          </w:p>
          <w:p>
            <w:pPr>
              <w:spacing w:after="0"/>
            </w:pPr>
            <w:r>
              <w:rPr>
                <w:rFonts w:ascii="Inter" w:cs="Inter" w:eastAsia="Inter" w:hAnsi="Inter"/>
                <w:i/>
                <w:iCs/>
                <w:color w:val="52525B"/>
                <w:sz w:val="20"/>
                <w:szCs w:val="20"/>
              </w:rPr>
              <w:t xml:space="preserve">Let users choose HEX, RGB, HSL, CSS, or OKLCH as the global output format</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TokenLab generates and exports all color values in HEX format only. Modern CSS design systems increasingly use oklch() for perceptually uniform color manipulation, HSL for readability in code, or RGB for compatibility with opacity utilities. Developers receiving TokenLab exports often have to run a separate format conversion step before the tokens are usable in their target environment.</w:t>
      </w:r>
    </w:p>
    <w:p>
      <w:pPr>
        <w:spacing w:after="140"/>
      </w:pPr>
      <w:r>
        <w:rPr>
          <w:rFonts w:ascii="Inter" w:cs="Inter" w:eastAsia="Inter" w:hAnsi="Inter"/>
          <w:color w:val="27272A"/>
          <w:sz w:val="20"/>
          <w:szCs w:val="20"/>
        </w:rPr>
        <w:t xml:space="preserve">This is a low-complexity, high-value improvement — the reference tool shows it as a simple dropdown. The conversion math for HEX → HSL/RGB/OKLCH is well-established.</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Users can select their preferred color format from a global selector and all token values in the review table and export output change accordingly.</w:t>
      </w:r>
    </w:p>
    <w:p>
      <w:pPr>
        <w:pStyle w:val="ListParagraph"/>
        <w:numPr>
          <w:ilvl w:val="0"/>
          <w:numId w:val="2"/>
        </w:numPr>
        <w:spacing w:after="60"/>
      </w:pPr>
      <w:r>
        <w:rPr>
          <w:rFonts w:ascii="Inter" w:cs="Inter" w:eastAsia="Inter" w:hAnsi="Inter"/>
          <w:color w:val="27272A"/>
          <w:sz w:val="20"/>
          <w:szCs w:val="20"/>
        </w:rPr>
        <w:t xml:space="preserve">The format preference persists for the duration of the session.</w:t>
      </w:r>
    </w:p>
    <w:p>
      <w:pPr>
        <w:pStyle w:val="ListParagraph"/>
        <w:numPr>
          <w:ilvl w:val="0"/>
          <w:numId w:val="2"/>
        </w:numPr>
        <w:spacing w:after="60"/>
      </w:pPr>
      <w:r>
        <w:rPr>
          <w:rFonts w:ascii="Inter" w:cs="Inter" w:eastAsia="Inter" w:hAnsi="Inter"/>
          <w:color w:val="27272A"/>
          <w:sz w:val="20"/>
          <w:szCs w:val="20"/>
        </w:rPr>
        <w:t xml:space="preserve">OKLCH output is supported, making TokenLab relevant for teams using modern CSS color spaces.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Per-token format overrides (different tokens in different formats) are out of scope.</w:t>
      </w:r>
    </w:p>
    <w:p>
      <w:pPr>
        <w:pStyle w:val="ListParagraph"/>
        <w:numPr>
          <w:ilvl w:val="0"/>
          <w:numId w:val="2"/>
        </w:numPr>
        <w:spacing w:after="60"/>
      </w:pPr>
      <w:r>
        <w:rPr>
          <w:rFonts w:ascii="Inter" w:cs="Inter" w:eastAsia="Inter" w:hAnsi="Inter"/>
          <w:color w:val="27272A"/>
          <w:sz w:val="20"/>
          <w:szCs w:val="20"/>
        </w:rPr>
        <w:t xml:space="preserve">The color picker inputs in the wizard steps are not changed — they remain HEX input only for simplicity.</w:t>
      </w:r>
    </w:p>
    <w:p>
      <w:pPr>
        <w:pStyle w:val="ListParagraph"/>
        <w:numPr>
          <w:ilvl w:val="0"/>
          <w:numId w:val="2"/>
        </w:numPr>
        <w:spacing w:after="60"/>
      </w:pPr>
      <w:r>
        <w:rPr>
          <w:rFonts w:ascii="Inter" w:cs="Inter" w:eastAsia="Inter" w:hAnsi="Inter"/>
          <w:color w:val="27272A"/>
          <w:sz w:val="20"/>
          <w:szCs w:val="20"/>
        </w:rPr>
        <w:t xml:space="preserve">Gamut mapping for OKLCH colors outside sRGB is not in scope for v1.</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frontend developer receiving the export</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download tokens in oklch() format</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use modern CSS color syntax without a conversion step</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preview token values in HSL format in the review table</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intuitively read lightness relationships between tokens without decoding hex</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developer using a CSS-in-JS system</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export tokens as rgb() values</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use the opacity modifier pattern (rgb(var(--color) / 0.5)) with my tokens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Color format selector (HEX / RGB / HSL / CSS / OKLCH) appears in the Export panel header</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Selector is visible in export panel; changing selection updates code preview immediately</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Token review table swatches show the selected format value as the label</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Color swatch label switches between formats when selector changes</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All export formats (CSS, SCSS, JSON, DTCG, Tailwind, Figma) output values in the selected color format</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Exported file contains only the selected format — no mixing of formats</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OKLCH conversion uses correct D50 white point and standard sRGB primaries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Spot-check against online converter: #09090B → oklch(6.3% 0.008 285)</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Format selector is also available in Token Explorer view (not just wizard)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Explorer color swatches show value in selected format on hover</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of export sessions using a non-HEX format</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20% within 60 days of launch</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format selector state at time of download</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OKLCH specifically adopted by users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5% of non-HEX sessions use OKLCH</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per-format selection frequency</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the CSS format output use hex, rgb(), or a named value? (CSS as a format is ambiguous)</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 + 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Does OKLCH output need any gamut-clipping for colors that fall outside sRGB?</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 — but should be documented in output</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04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Randomize Color Generator</w:t>
            </w:r>
          </w:p>
          <w:p>
            <w:pPr>
              <w:spacing w:after="0"/>
            </w:pPr>
            <w:r>
              <w:rPr>
                <w:rFonts w:ascii="Inter" w:cs="Inter" w:eastAsia="Inter" w:hAnsi="Inter"/>
                <w:i/>
                <w:iCs/>
                <w:color w:val="52525B"/>
                <w:sz w:val="20"/>
                <w:szCs w:val="20"/>
              </w:rPr>
              <w:t xml:space="preserve">One-click random palette generation in the Token Explorer sidebar</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New users entering Token Explorer need to choose a color library to explore. When none of the built-in libraries match their brand, they must know their hex values in advance to start. The reference tool offers a 'Generate random' button that instantly picks a harmonious primary, secondary, and accent color — allowing users to see the tool in action before committing to real brand colors. This lowers the barrier to entry significantly.</w:t>
      </w:r>
    </w:p>
    <w:p>
      <w:pPr>
        <w:spacing w:after="140"/>
      </w:pPr>
      <w:r>
        <w:rPr>
          <w:rFonts w:ascii="Inter" w:cs="Inter" w:eastAsia="Inter" w:hAnsi="Inter"/>
          <w:color w:val="27272A"/>
          <w:sz w:val="20"/>
          <w:szCs w:val="20"/>
        </w:rPr>
        <w:t xml:space="preserve">This is a discoverability and activation problem. Users who land on the Explorer with no clear starting point may not reach the Wizard at all.</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New users can explore a complete token system within 10 seconds of first load by clicking a single button.</w:t>
      </w:r>
    </w:p>
    <w:p>
      <w:pPr>
        <w:pStyle w:val="ListParagraph"/>
        <w:numPr>
          <w:ilvl w:val="0"/>
          <w:numId w:val="2"/>
        </w:numPr>
        <w:spacing w:after="60"/>
      </w:pPr>
      <w:r>
        <w:rPr>
          <w:rFonts w:ascii="Inter" w:cs="Inter" w:eastAsia="Inter" w:hAnsi="Inter"/>
          <w:color w:val="27272A"/>
          <w:sz w:val="20"/>
          <w:szCs w:val="20"/>
        </w:rPr>
        <w:t xml:space="preserve">Random palettes are visually harmonious (not random noise) — they use either analogous or complementary color relationships.</w:t>
      </w:r>
    </w:p>
    <w:p>
      <w:pPr>
        <w:pStyle w:val="ListParagraph"/>
        <w:numPr>
          <w:ilvl w:val="0"/>
          <w:numId w:val="2"/>
        </w:numPr>
        <w:spacing w:after="60"/>
      </w:pPr>
      <w:r>
        <w:rPr>
          <w:rFonts w:ascii="Inter" w:cs="Inter" w:eastAsia="Inter" w:hAnsi="Inter"/>
          <w:color w:val="27272A"/>
          <w:sz w:val="20"/>
          <w:szCs w:val="20"/>
        </w:rPr>
        <w:t xml:space="preserve">The randomized palette can be immediately sent to the wizard as a starting point.</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AI-powered color suggestions based on brand descriptions are out of scope.</w:t>
      </w:r>
    </w:p>
    <w:p>
      <w:pPr>
        <w:pStyle w:val="ListParagraph"/>
        <w:numPr>
          <w:ilvl w:val="0"/>
          <w:numId w:val="2"/>
        </w:numPr>
        <w:spacing w:after="60"/>
      </w:pPr>
      <w:r>
        <w:rPr>
          <w:rFonts w:ascii="Inter" w:cs="Inter" w:eastAsia="Inter" w:hAnsi="Inter"/>
          <w:color w:val="27272A"/>
          <w:sz w:val="20"/>
          <w:szCs w:val="20"/>
        </w:rPr>
        <w:t xml:space="preserve">Saving or naming randomized palettes for future use is out of scope for v1.</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new user exploring TokenLab for the first time</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click a single button to see a complete color system with harmonious primary, secondary, and accent colors</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immediately understand the product's value without needing to know my brand colors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randomize multiple times until I find a palette close to my brand</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use randomization as inspiration without manually entering colors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'Randomize' button appears in the Token Explorer sidebar header</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Button is visible; clicking it replaces all three color inputs with a new set of harmonious colors</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Generated colors use a harmony algorithm (e.g. analogous ±30°, or complementary 180° split)</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Visual inspection: generated palettes should feel coherent, not clashing</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Randomized colors immediately re-render the entire color swatch grid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Grid updates within 200ms of button click with no loading state</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'Use in Wizard' button appears after randomization to pre-load the palette into the wizard flow</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Clicking sends the randomized colors to the wizard Step 1 with them pre-selected</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Randomization seeds are shareable via URL parameter</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User can copy URL after randomizing and share it; recipient sees same palette</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of new sessions (first visit) that click Randomize</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40% within 30 days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click events on Randomize button for sessions with no prior activity</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Wizard starts originating from Randomize flow</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25% of wizard starts use a randomized palette</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wizard entry source: manual vs randomized</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What color harmony model should be used? (analogous, triadic, split-complementary, custom)</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 (Martin)</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 — any of these works; choose during implementation</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the Explorer sidebar show all three inputs (Primary, Secondary, Accent) like the reference tool, or maintain the current library-switcher model?</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affects sidebar redesign scope</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05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Dark Mode Auto-Generation Toggle</w:t>
            </w:r>
          </w:p>
          <w:p>
            <w:pPr>
              <w:spacing w:after="0"/>
            </w:pPr>
            <w:r>
              <w:rPr>
                <w:rFonts w:ascii="Inter" w:cs="Inter" w:eastAsia="Inter" w:hAnsi="Inter"/>
                <w:i/>
                <w:iCs/>
                <w:color w:val="52525B"/>
                <w:sz w:val="20"/>
                <w:szCs w:val="20"/>
              </w:rPr>
              <w:t xml:space="preserve">Automatically generate dark mode variants for every semantic token in the wizard</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Building a complete dark mode token system currently requires the user to manually define dark variants for every semantic token in the wizard — a repetitive and time-consuming process. In practice, most teams use a predictable set of transformations: lighter shades of background colors, inverted lightness for text, and adjusted border opacities. The reference tool handles this with a single 'Light &amp; Dark Mode Variables' toggle in its export configuration.</w:t>
      </w:r>
    </w:p>
    <w:p>
      <w:pPr>
        <w:spacing w:after="140"/>
      </w:pPr>
      <w:r>
        <w:rPr>
          <w:rFonts w:ascii="Inter" w:cs="Inter" w:eastAsia="Inter" w:hAnsi="Inter"/>
          <w:color w:val="27272A"/>
          <w:sz w:val="20"/>
          <w:szCs w:val="20"/>
        </w:rPr>
        <w:t xml:space="preserve">This is the most requested enhancement implied by the competitive screenshots. It affects every user building a product that targets both light and dark modes — which is the majority of modern web and mobile products.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Users can enable dark mode generation with a single toggle in the wizard, without manually configuring every dark variant.</w:t>
      </w:r>
    </w:p>
    <w:p>
      <w:pPr>
        <w:pStyle w:val="ListParagraph"/>
        <w:numPr>
          <w:ilvl w:val="0"/>
          <w:numId w:val="2"/>
        </w:numPr>
        <w:spacing w:after="60"/>
      </w:pPr>
      <w:r>
        <w:rPr>
          <w:rFonts w:ascii="Inter" w:cs="Inter" w:eastAsia="Inter" w:hAnsi="Inter"/>
          <w:color w:val="27272A"/>
          <w:sz w:val="20"/>
          <w:szCs w:val="20"/>
        </w:rPr>
        <w:t xml:space="preserve">The auto-generation uses a sensible default transform set (configurable) that produces usable dark mode tokens in most cases.</w:t>
      </w:r>
    </w:p>
    <w:p>
      <w:pPr>
        <w:pStyle w:val="ListParagraph"/>
        <w:numPr>
          <w:ilvl w:val="0"/>
          <w:numId w:val="2"/>
        </w:numPr>
        <w:spacing w:after="60"/>
      </w:pPr>
      <w:r>
        <w:rPr>
          <w:rFonts w:ascii="Inter" w:cs="Inter" w:eastAsia="Inter" w:hAnsi="Inter"/>
          <w:color w:val="27272A"/>
          <w:sz w:val="20"/>
          <w:szCs w:val="20"/>
        </w:rPr>
        <w:t xml:space="preserve">Users can override individual auto-generated dark values when the default does not fit their design.</w:t>
      </w:r>
    </w:p>
    <w:p>
      <w:pPr>
        <w:pStyle w:val="ListParagraph"/>
        <w:numPr>
          <w:ilvl w:val="0"/>
          <w:numId w:val="2"/>
        </w:numPr>
        <w:spacing w:after="60"/>
      </w:pPr>
      <w:r>
        <w:rPr>
          <w:rFonts w:ascii="Inter" w:cs="Inter" w:eastAsia="Inter" w:hAnsi="Inter"/>
          <w:color w:val="27272A"/>
          <w:sz w:val="20"/>
          <w:szCs w:val="20"/>
        </w:rPr>
        <w:t xml:space="preserve">The Dual-Mode Token Preview (Feature 1) shows the result of this generation in real time.</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Automatic high-contrast mode generation (WCAG AAA level) is out of scope.</w:t>
      </w:r>
    </w:p>
    <w:p>
      <w:pPr>
        <w:pStyle w:val="ListParagraph"/>
        <w:numPr>
          <w:ilvl w:val="0"/>
          <w:numId w:val="2"/>
        </w:numPr>
        <w:spacing w:after="60"/>
      </w:pPr>
      <w:r>
        <w:rPr>
          <w:rFonts w:ascii="Inter" w:cs="Inter" w:eastAsia="Inter" w:hAnsi="Inter"/>
          <w:color w:val="27272A"/>
          <w:sz w:val="20"/>
          <w:szCs w:val="20"/>
        </w:rPr>
        <w:t xml:space="preserve">Per-group or per-variant dark mode configuration is deferred to v2 — v1 applies the same transform rules globally.</w:t>
      </w:r>
    </w:p>
    <w:p>
      <w:pPr>
        <w:pStyle w:val="ListParagraph"/>
        <w:numPr>
          <w:ilvl w:val="0"/>
          <w:numId w:val="2"/>
        </w:numPr>
        <w:spacing w:after="60"/>
      </w:pPr>
      <w:r>
        <w:rPr>
          <w:rFonts w:ascii="Inter" w:cs="Inter" w:eastAsia="Inter" w:hAnsi="Inter"/>
          <w:color w:val="27272A"/>
          <w:sz w:val="20"/>
          <w:szCs w:val="20"/>
        </w:rPr>
        <w:t xml:space="preserve">The dark mode toggle does not affect Foundation Tokens (spacing, border-radius, etc.) — only color tokens.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enable dark mode token generation with a single toggle in the wizard</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do not have to manually define dozens of dark color variants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override the auto-generated dark value for a specific token</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fix edge cases without losing the auto-generated values for everything else</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developer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receive tokens where the dark mode values are semantically appropriate (e.g. backgrounds are lighter on dark)</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implement dark mode with minimal manual adjustments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'Generate dark mode variants' toggle appears in the wizard configuration step (Naming or Foundation step)</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Toggle is visible and defaults to OFF; enabling it adds a Dark column to the preview</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Auto-generation applies a default transform: background tokens lighten by 90%, text tokens invert to near-white, border tokens reduce opacity to 20%</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Visual inspection of generated dark tokens matches these transform rules</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Generated dark tokens are included in all exports when dark mode is enabled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CSS export contains :root and [data-theme='dark'] blocks; DTCG export includes mode values</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Users can configure the default dark transforms (e.g. adjust the lighten percentage for backgrounds)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A 'Configure dark transforms' panel is accessible from the toggle; shows sliders per token role</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Individual dark token values can be overridden in the Review step</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Clicking a dark swatch in the review table opens an inline color picker</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P2</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Transform rules can be saved as a named preset and reused across sessions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User can name and save their transform configuration; loads on next session</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of wizard sessions that enable dark mode toggle</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35% within 90 days of launch</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toggle state at wizard completion</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Exports that include dark mode tokens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35% of total exports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export type: single-mode vs dual-mode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User override rate of auto-generated dark tokens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&lt; 30% of dark tokens manually overridden</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If override rate is high, auto-generation logic needs tuning</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What is the correct default transform for each token role (background, text, border, icon, shadow)?</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 (Martin)</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core design decision before engineering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dark mode generation be a wizard step of its own, or a toggle within an existing step?</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 — UX preference</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How should dark mode overrides be stored in WizardState? (separate darkOverrides map vs extended GeneratedToken type)</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affects data model</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06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Semantic / Primitive Split in Export View</w:t>
            </w:r>
          </w:p>
          <w:p>
            <w:pPr>
              <w:spacing w:after="0"/>
            </w:pPr>
            <w:r>
              <w:rPr>
                <w:rFonts w:ascii="Inter" w:cs="Inter" w:eastAsia="Inter" w:hAnsi="Inter"/>
                <w:i/>
                <w:iCs/>
                <w:color w:val="52525B"/>
                <w:sz w:val="20"/>
                <w:szCs w:val="20"/>
              </w:rPr>
              <w:t xml:space="preserve">Separate raw palette tokens from semantic component tokens in the Review and Export screens</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The Review step token list mixes two conceptually different types of tokens: primitive palette tokens (e.g. blue.500 = #3B82F6) and semantic component tokens (e.g. button.primary.background = #3B82F6). In the reference tool, the export view uses a clear sidebar with separate categories: 'Colors / Primary', 'Colors / Secondary', and then 'Tokens / Button', 'Tokens / Form'. This separation makes the token hierarchy immediately understandable and aligns with the mental model designers use in Figma.</w:t>
      </w:r>
    </w:p>
    <w:p>
      <w:pPr>
        <w:spacing w:after="140"/>
      </w:pPr>
      <w:r>
        <w:rPr>
          <w:rFonts w:ascii="Inter" w:cs="Inter" w:eastAsia="Inter" w:hAnsi="Inter"/>
          <w:color w:val="27272A"/>
          <w:sz w:val="20"/>
          <w:szCs w:val="20"/>
        </w:rPr>
        <w:t xml:space="preserve">In TokenLab's current Review step, all tokens are in one flat or tree view with no distinction between the two levels. This makes the review table harder to navigate, especially for larger token systems with 50+ tokens.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The Review step clearly separates Primitive tokens (palette swatches) from Semantic tokens (component assignments).</w:t>
      </w:r>
    </w:p>
    <w:p>
      <w:pPr>
        <w:pStyle w:val="ListParagraph"/>
        <w:numPr>
          <w:ilvl w:val="0"/>
          <w:numId w:val="2"/>
        </w:numPr>
        <w:spacing w:after="60"/>
      </w:pPr>
      <w:r>
        <w:rPr>
          <w:rFonts w:ascii="Inter" w:cs="Inter" w:eastAsia="Inter" w:hAnsi="Inter"/>
          <w:color w:val="27272A"/>
          <w:sz w:val="20"/>
          <w:szCs w:val="20"/>
        </w:rPr>
        <w:t xml:space="preserve">The Export panel sidebar shows category groupings that match the reference tool's model: a 'Primitives' section and a 'Semantic Tokens' section with sub-groups per component.</w:t>
      </w:r>
    </w:p>
    <w:p>
      <w:pPr>
        <w:pStyle w:val="ListParagraph"/>
        <w:numPr>
          <w:ilvl w:val="0"/>
          <w:numId w:val="2"/>
        </w:numPr>
        <w:spacing w:after="60"/>
      </w:pPr>
      <w:r>
        <w:rPr>
          <w:rFonts w:ascii="Inter" w:cs="Inter" w:eastAsia="Inter" w:hAnsi="Inter"/>
          <w:color w:val="27272A"/>
          <w:sz w:val="20"/>
          <w:szCs w:val="20"/>
        </w:rPr>
        <w:t xml:space="preserve">Users can export just primitives, just semantic tokens, or both together.</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Redesigning the full wizard layout is out of scope — this is a Review and Export view change only.</w:t>
      </w:r>
    </w:p>
    <w:p>
      <w:pPr>
        <w:pStyle w:val="ListParagraph"/>
        <w:numPr>
          <w:ilvl w:val="0"/>
          <w:numId w:val="2"/>
        </w:numPr>
        <w:spacing w:after="60"/>
      </w:pPr>
      <w:r>
        <w:rPr>
          <w:rFonts w:ascii="Inter" w:cs="Inter" w:eastAsia="Inter" w:hAnsi="Inter"/>
          <w:color w:val="27272A"/>
          <w:sz w:val="20"/>
          <w:szCs w:val="20"/>
        </w:rPr>
        <w:t xml:space="preserve">Adding a new 'Primitive tokens' wizard step is deferred.</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 reviewing a complex token system</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see my palette (primitive) tokens and my semantic tokens in separate sections of the review table</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understand the token hierarchy at a glance without scrolling through a mixed list</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developer integrating the tokens</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download only the semantic component tokens without the primitive palette values</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can add them to an existing project that already has a primitive color layer</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Review step adds a category sidebar with 'Primitives' and 'Semantic Tokens' groups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Clicking a category filters the token list to that category only</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Semantic Tokens section shows sub-groups per component (e.g. Button, Form, Card)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Each component has its own collapsible group in the sidebar</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 panel includes 'Export scope' selector: All / Primitives only / Semantic only</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Download applies scope filter to the output</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Primitive tokens section shows the raw palette shades (50–900 scale) from the selected palettes, not just the base color</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Each selected palette appears as an expandable group with all its shades listed</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Task completion rate: user navigates to a specific component's tokens within 30 seconds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80% in usability test</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Moderated usability session with 5 participants (task: 'find all button tokens')</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Average scroll depth in token review table</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Decrease by 30%</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scroll depth before and after; shallower scroll = better navigation</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Where do Foundation tokens (spacing, border-radius, etc.) fit? They are neither primitives nor semantic color tokens.</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the sidebar categories be auto-generated from the token structure or manually defined?</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w:t>
            </w:r>
          </w:p>
        </w:tc>
      </w:tr>
    </w:tbl>
    <w:p>
      <w:pPr>
        <w:spacing w:after="80"/>
      </w:pPr>
      <w:r>
        <w:rPr>
          <w:rFonts w:ascii="Inter" w:cs="Inter" w:eastAsia="Inter" w:hAnsi="Inter"/>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4F4F5" w:val="clear"/>
            <w:tcMar>
              <w:top w:type="dxa" w:w="180"/>
              <w:left w:type="dxa" w:w="240"/>
              <w:bottom w:type="dxa" w:w="180"/>
              <w:right w:type="dxa" w:w="240"/>
            </w:tcMar>
          </w:tcPr>
          <w:p>
            <w:pPr>
              <w:spacing w:after="60"/>
            </w:pPr>
            <w:r>
              <w:rPr>
                <w:rFonts w:ascii="Inter" w:cs="Inter" w:eastAsia="Inter" w:hAnsi="Inter"/>
                <w:color w:val="A1A1AA"/>
                <w:sz w:val="18"/>
                <w:szCs w:val="18"/>
              </w:rPr>
              <w:t xml:space="preserve">Feature 07  </w:t>
            </w:r>
            <w:r>
              <w:rPr>
                <w:rFonts w:ascii="Inter" w:cs="Inter" w:eastAsia="Inter" w:hAnsi="Inter"/>
                <w:b/>
                <w:bCs/>
                <w:color w:val="92400E"/>
                <w:sz w:val="16"/>
                <w:szCs w:val="16"/>
                <w:shd w:fill="FFF7ED"/>
              </w:rPr>
              <w:t xml:space="preserve"> Draft </w:t>
            </w:r>
          </w:p>
          <w:p>
            <w:pPr>
              <w:spacing w:after="60"/>
            </w:pPr>
            <w:r>
              <w:rPr>
                <w:rFonts w:ascii="Inter" w:cs="Inter" w:eastAsia="Inter" w:hAnsi="Inter"/>
                <w:b/>
                <w:bCs/>
                <w:color w:val="09090B"/>
                <w:sz w:val="32"/>
                <w:szCs w:val="32"/>
              </w:rPr>
              <w:t xml:space="preserve">Platform &amp; Responsive Tokens</w:t>
            </w:r>
          </w:p>
          <w:p>
            <w:pPr>
              <w:spacing w:after="0"/>
            </w:pPr>
            <w:r>
              <w:rPr>
                <w:rFonts w:ascii="Inter" w:cs="Inter" w:eastAsia="Inter" w:hAnsi="Inter"/>
                <w:i/>
                <w:iCs/>
                <w:color w:val="52525B"/>
                <w:sz w:val="20"/>
                <w:szCs w:val="20"/>
              </w:rPr>
              <w:t xml:space="preserve">Generate device-specific token sets (Desktop, Mobile, Tablet) with breakpoint foundation tokens</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Problem Statement</w:t>
      </w:r>
    </w:p>
    <w:p>
      <w:pPr>
        <w:spacing w:after="140"/>
      </w:pPr>
      <w:r>
        <w:rPr>
          <w:rFonts w:ascii="Inter" w:cs="Inter" w:eastAsia="Inter" w:hAnsi="Inter"/>
          <w:color w:val="27272A"/>
          <w:sz w:val="20"/>
          <w:szCs w:val="20"/>
        </w:rPr>
        <w:t xml:space="preserve">The reference tool's export configuration lets users select Target Devices — Desktop, Mobile, and Tablet — each with a defined viewport size (1440×900, 375×667, 768×1024). This drives the generation of responsive breakpoint tokens alongside color tokens. TokenLab has a Foundation Tokens step but it does not include breakpoints as a configurable category, and there is no device-aware export concept.</w:t>
      </w:r>
    </w:p>
    <w:p>
      <w:pPr>
        <w:spacing w:after="140"/>
      </w:pPr>
      <w:r>
        <w:rPr>
          <w:rFonts w:ascii="Inter" w:cs="Inter" w:eastAsia="Inter" w:hAnsi="Inter"/>
          <w:color w:val="27272A"/>
          <w:sz w:val="20"/>
          <w:szCs w:val="20"/>
        </w:rPr>
        <w:t xml:space="preserve">This is a lower priority than Features 1–6 because it requires more architectural work and affects a smaller portion of the initial user base (teams building responsive web/native products specifically). However, it is important to design the Foundation Tokens structure now in a way that can support this later.</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Goals</w:t>
      </w:r>
    </w:p>
    <w:p>
      <w:pPr>
        <w:pStyle w:val="ListParagraph"/>
        <w:numPr>
          <w:ilvl w:val="0"/>
          <w:numId w:val="2"/>
        </w:numPr>
        <w:spacing w:after="60"/>
      </w:pPr>
      <w:r>
        <w:rPr>
          <w:rFonts w:ascii="Inter" w:cs="Inter" w:eastAsia="Inter" w:hAnsi="Inter"/>
          <w:color w:val="27272A"/>
          <w:sz w:val="20"/>
          <w:szCs w:val="20"/>
        </w:rPr>
        <w:t xml:space="preserve">Breakpoints are added as a category in the Foundation Tokens step with sensible defaults (mobile-first: 375px, 768px, 1024px, 1440px).</w:t>
      </w:r>
    </w:p>
    <w:p>
      <w:pPr>
        <w:pStyle w:val="ListParagraph"/>
        <w:numPr>
          <w:ilvl w:val="0"/>
          <w:numId w:val="2"/>
        </w:numPr>
        <w:spacing w:after="60"/>
      </w:pPr>
      <w:r>
        <w:rPr>
          <w:rFonts w:ascii="Inter" w:cs="Inter" w:eastAsia="Inter" w:hAnsi="Inter"/>
          <w:color w:val="27272A"/>
          <w:sz w:val="20"/>
          <w:szCs w:val="20"/>
        </w:rPr>
        <w:t xml:space="preserve">Users can toggle which device targets to include in their export.</w:t>
      </w:r>
    </w:p>
    <w:p>
      <w:pPr>
        <w:pStyle w:val="ListParagraph"/>
        <w:numPr>
          <w:ilvl w:val="0"/>
          <w:numId w:val="2"/>
        </w:numPr>
        <w:spacing w:after="60"/>
      </w:pPr>
      <w:r>
        <w:rPr>
          <w:rFonts w:ascii="Inter" w:cs="Inter" w:eastAsia="Inter" w:hAnsi="Inter"/>
          <w:color w:val="27272A"/>
          <w:sz w:val="20"/>
          <w:szCs w:val="20"/>
        </w:rPr>
        <w:t xml:space="preserve">Exported CSS includes media query variables or custom properties keyed to the selected breakpoints.</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Non-Goals</w:t>
      </w:r>
    </w:p>
    <w:p>
      <w:pPr>
        <w:pStyle w:val="ListParagraph"/>
        <w:numPr>
          <w:ilvl w:val="0"/>
          <w:numId w:val="2"/>
        </w:numPr>
        <w:spacing w:after="60"/>
      </w:pPr>
      <w:r>
        <w:rPr>
          <w:rFonts w:ascii="Inter" w:cs="Inter" w:eastAsia="Inter" w:hAnsi="Inter"/>
          <w:color w:val="27272A"/>
          <w:sz w:val="20"/>
          <w:szCs w:val="20"/>
        </w:rPr>
        <w:t xml:space="preserve">Generating separate color token sets per device is out of scope — breakpoints are size tokens only, not color tokens.</w:t>
      </w:r>
    </w:p>
    <w:p>
      <w:pPr>
        <w:pStyle w:val="ListParagraph"/>
        <w:numPr>
          <w:ilvl w:val="0"/>
          <w:numId w:val="2"/>
        </w:numPr>
        <w:spacing w:after="60"/>
      </w:pPr>
      <w:r>
        <w:rPr>
          <w:rFonts w:ascii="Inter" w:cs="Inter" w:eastAsia="Inter" w:hAnsi="Inter"/>
          <w:color w:val="27272A"/>
          <w:sz w:val="20"/>
          <w:szCs w:val="20"/>
        </w:rPr>
        <w:t xml:space="preserve">Native mobile (Swift, Kotlin, Flutter) output formats are out of scope for v1.</w:t>
      </w:r>
    </w:p>
    <w:p>
      <w:pPr>
        <w:pStyle w:val="ListParagraph"/>
        <w:numPr>
          <w:ilvl w:val="0"/>
          <w:numId w:val="2"/>
        </w:numPr>
        <w:spacing w:after="60"/>
      </w:pPr>
      <w:r>
        <w:rPr>
          <w:rFonts w:ascii="Inter" w:cs="Inter" w:eastAsia="Inter" w:hAnsi="Inter"/>
          <w:color w:val="27272A"/>
          <w:sz w:val="20"/>
          <w:szCs w:val="20"/>
        </w:rPr>
        <w:t xml:space="preserve">Component-level responsive behavior tokens (e.g. button size changes at breakpoints) are out of scope.</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User Stories</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frontend developer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export breakpoint tokens that match the design team's viewport definitions</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I do not have to manually synchronize breakpoint values between design and code</w:t>
      </w:r>
    </w:p>
    <w:p>
      <w:pPr>
        <w:pStyle w:val="ListParagraph"/>
        <w:numPr>
          <w:ilvl w:val="0"/>
          <w:numId w:val="2"/>
        </w:numPr>
        <w:spacing w:after="80"/>
      </w:pPr>
      <w:r>
        <w:rPr>
          <w:rFonts w:ascii="Inter" w:cs="Inter" w:eastAsia="Inter" w:hAnsi="Inter"/>
          <w:color w:val="A1A1AA"/>
          <w:sz w:val="20"/>
          <w:szCs w:val="20"/>
        </w:rPr>
        <w:t xml:space="preserve">As a </w:t>
      </w:r>
      <w:r>
        <w:rPr>
          <w:rFonts w:ascii="Inter" w:cs="Inter" w:eastAsia="Inter" w:hAnsi="Inter"/>
          <w:b/>
          <w:bCs/>
          <w:color w:val="09090B"/>
          <w:sz w:val="20"/>
          <w:szCs w:val="20"/>
        </w:rPr>
        <w:t xml:space="preserve">product designer</w:t>
      </w:r>
      <w:r>
        <w:rPr>
          <w:rFonts w:ascii="Inter" w:cs="Inter" w:eastAsia="Inter" w:hAnsi="Inter"/>
          <w:color w:val="A1A1AA"/>
          <w:sz w:val="20"/>
          <w:szCs w:val="20"/>
        </w:rPr>
        <w:t xml:space="preserve">, I want to </w:t>
      </w:r>
      <w:r>
        <w:rPr>
          <w:rFonts w:ascii="Inter" w:cs="Inter" w:eastAsia="Inter" w:hAnsi="Inter"/>
          <w:color w:val="27272A"/>
          <w:sz w:val="20"/>
          <w:szCs w:val="20"/>
        </w:rPr>
        <w:t xml:space="preserve">define which device sizes to support in the export configuration</w:t>
      </w:r>
      <w:r>
        <w:rPr>
          <w:rFonts w:ascii="Inter" w:cs="Inter" w:eastAsia="Inter" w:hAnsi="Inter"/>
          <w:color w:val="A1A1AA"/>
          <w:sz w:val="20"/>
          <w:szCs w:val="20"/>
        </w:rPr>
        <w:t xml:space="preserve"> so that </w:t>
      </w:r>
      <w:r>
        <w:rPr>
          <w:rFonts w:ascii="Inter" w:cs="Inter" w:eastAsia="Inter" w:hAnsi="Inter"/>
          <w:color w:val="52525B"/>
          <w:sz w:val="20"/>
          <w:szCs w:val="20"/>
        </w:rPr>
        <w:t xml:space="preserve">only the relevant breakpoint tokens are included in my output</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Priority</w:t>
            </w:r>
          </w:p>
        </w:tc>
        <w:tc>
          <w:tcPr>
            <w:tcW w:type="dxa" w:w="46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Requirement</w:t>
            </w:r>
          </w:p>
        </w:tc>
        <w:tc>
          <w:tcPr>
            <w:tcW w:type="dxa" w:w="348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Acceptance Criteria</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'Breakpoints' is added as a configurable Foundation Token category with 4 default entries (xs: 375, sm: 768, md: 1024, lg: 1440)</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Foundation step shows breakpoints section; values are editable</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P0</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Breakpoint tokens are exported as CSS custom properties in :root</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CSS export contains --breakpoint-sm: 768px etc.</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P1</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Export Configuration modal (mirrors reference tool) allows toggling which device targets are included</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Modal shows Desktop, Mobile, Tablet checkboxes; unchecked devices are excluded from export</w:t>
            </w:r>
          </w:p>
        </w:tc>
      </w:tr>
      <w:tr>
        <w:tc>
          <w:tcPr>
            <w:tcW w:type="dxa" w:w="1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bCs/>
                <w:color w:val="27272A"/>
                <w:sz w:val="18"/>
                <w:szCs w:val="18"/>
              </w:rPr>
              <w:t xml:space="preserve">P2</w:t>
            </w:r>
          </w:p>
        </w:tc>
        <w:tc>
          <w:tcPr>
            <w:tcW w:type="dxa" w:w="4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Device-specific export generates separate files (tokens.mobile.css, tokens.desktop.css)</w:t>
            </w:r>
          </w:p>
        </w:tc>
        <w:tc>
          <w:tcPr>
            <w:tcW w:type="dxa" w:w="34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color w:val="27272A"/>
                <w:sz w:val="18"/>
                <w:szCs w:val="18"/>
              </w:rPr>
              <w:t xml:space="preserve">Download delivers a .zip with per-device files</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Metric</w:t>
            </w:r>
          </w:p>
        </w:tc>
        <w:tc>
          <w:tcPr>
            <w:tcW w:type="dxa" w:w="2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Target</w:t>
            </w:r>
          </w:p>
        </w:tc>
        <w:tc>
          <w:tcPr>
            <w:tcW w:type="dxa" w:w="39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How to Measure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Breakpoints category enabled in wizard sessions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20% of wizard sessions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Foundation step — breakpoints toggle state</w:t>
            </w:r>
          </w:p>
        </w:tc>
      </w:tr>
      <w:tr>
        <w:tc>
          <w:tcPr>
            <w:tcW w:type="dxa" w:w="3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CSS exports including breakpoint tokens</w:t>
            </w:r>
          </w:p>
        </w:tc>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 20% of exports</w:t>
            </w:r>
          </w:p>
        </w:tc>
        <w:tc>
          <w:tcPr>
            <w:tcW w:type="dxa" w:w="3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Track presence of --breakpoint-* properties in export content</w:t>
            </w:r>
          </w:p>
        </w:tc>
      </w:tr>
    </w:tbl>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Question</w:t>
            </w:r>
          </w:p>
        </w:tc>
        <w:tc>
          <w:tcPr>
            <w:tcW w:type="dxa" w:w="180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Owner</w:t>
            </w:r>
          </w:p>
        </w:tc>
        <w:tc>
          <w:tcPr>
            <w:tcW w:type="dxa" w:w="2160"/>
            <w:tcBorders>
              <w:top w:val="single" w:color="E4E4E7" w:sz="1"/>
              <w:left w:val="single" w:color="E4E4E7" w:sz="1"/>
              <w:bottom w:val="single" w:color="E4E4E7" w:sz="1"/>
              <w:right w:val="single" w:color="E4E4E7" w:sz="1"/>
            </w:tcBorders>
            <w:shd w:fill="09090B" w:val="clear"/>
            <w:tcMar>
              <w:top w:type="dxa" w:w="80"/>
              <w:left w:type="dxa" w:w="120"/>
              <w:bottom w:type="dxa" w:w="80"/>
              <w:right w:type="dxa" w:w="120"/>
            </w:tcMar>
          </w:tcPr>
          <w:p>
            <w:pPr>
              <w:spacing w:after="0"/>
            </w:pPr>
            <w:r>
              <w:rPr>
                <w:rFonts w:ascii="Inter" w:cs="Inter" w:eastAsia="Inter" w:hAnsi="Inter"/>
                <w:b/>
                <w:bCs/>
                <w:color w:val="FFFFFF"/>
                <w:sz w:val="18"/>
                <w:szCs w:val="18"/>
              </w:rPr>
              <w:t xml:space="preserve">Blocking?</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Should breakpoint tokens be in px, em, or rem? (Different teams prefer different units)</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 — document the choice</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Are breakpoints min-width (mobile-first) or max-width (desktop-first) by default?</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Designer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No — default to min-width</w:t>
            </w:r>
          </w:p>
        </w:tc>
      </w:tr>
      <w:tr>
        <w:tc>
          <w:tcPr>
            <w:tcW w:type="dxa" w:w="5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Does this require changes to the export ZIP format to support multiple files?</w:t>
            </w:r>
          </w:p>
        </w:tc>
        <w:tc>
          <w:tcPr>
            <w:tcW w:type="dxa" w:w="1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Engineer</w:t>
            </w:r>
          </w:p>
        </w:tc>
        <w:tc>
          <w:tcPr>
            <w:tcW w:type="dxa" w:w="2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27272A"/>
                <w:sz w:val="18"/>
                <w:szCs w:val="18"/>
              </w:rPr>
              <w:t xml:space="preserve">Yes — only relevant for P2 requirement</w:t>
            </w:r>
          </w:p>
        </w:tc>
      </w:tr>
    </w:tbl>
    <w:p>
      <w:pPr>
        <w:spacing w:after="80"/>
      </w:pPr>
      <w:r>
        <w:rPr>
          <w:rFonts w:ascii="Inter" w:cs="Inter" w:eastAsia="Inter" w:hAnsi="Inter"/>
        </w:rPr>
        <w:t xml:space="preserve"/>
      </w:r>
    </w:p>
    <w:p>
      <w:r>
        <w:br w:type="page"/>
      </w:r>
    </w:p>
    <w:p>
      <w:pPr>
        <w:pStyle w:val="Heading1"/>
        <w:pBdr>
          <w:bottom w:val="single" w:color="E4E4E7" w:sz="1"/>
        </w:pBdr>
        <w:spacing w:after="160" w:before="480"/>
      </w:pPr>
      <w:r>
        <w:rPr>
          <w:rFonts w:ascii="Inter" w:cs="Inter" w:eastAsia="Inter" w:hAnsi="Inter"/>
          <w:b/>
          <w:bCs/>
          <w:color w:val="09090B"/>
          <w:sz w:val="36"/>
          <w:szCs w:val="36"/>
        </w:rPr>
        <w:t xml:space="preserve">Appendix: Suggested Implementation Phasing</w:t>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Phase 1 — Core (v2.0)</w:t>
      </w:r>
    </w:p>
    <w:p>
      <w:pPr>
        <w:spacing w:after="140"/>
      </w:pPr>
      <w:r>
        <w:rPr>
          <w:rFonts w:ascii="Inter" w:cs="Inter" w:eastAsia="Inter" w:hAnsi="Inter"/>
          <w:color w:val="27272A"/>
          <w:sz w:val="20"/>
          <w:szCs w:val="20"/>
        </w:rPr>
        <w:t xml:space="preserve">Deliver the three P0 features that together create the biggest step-change in value. They are also logically dependent: Feature 5 (dark mode generation) feeds Feature 1 (dual-mode preview), which feeds Feature 2 (Figma export with modes).</w:t>
      </w:r>
    </w:p>
    <w:p>
      <w:pPr>
        <w:pStyle w:val="ListParagraph"/>
        <w:numPr>
          <w:ilvl w:val="0"/>
          <w:numId w:val="2"/>
        </w:numPr>
        <w:spacing w:after="60"/>
      </w:pPr>
      <w:r>
        <w:rPr>
          <w:rFonts w:ascii="Inter" w:cs="Inter" w:eastAsia="Inter" w:hAnsi="Inter"/>
          <w:b/>
          <w:bCs/>
          <w:color w:val="09090B"/>
          <w:sz w:val="20"/>
          <w:szCs w:val="20"/>
        </w:rPr>
        <w:t xml:space="preserve">Feature 5: Dark Mode Auto-Generation Toggle</w:t>
      </w:r>
      <w:r>
        <w:rPr>
          <w:rFonts w:ascii="Inter" w:cs="Inter" w:eastAsia="Inter" w:hAnsi="Inter"/>
          <w:color w:val="27272A"/>
          <w:sz w:val="20"/>
          <w:szCs w:val="20"/>
        </w:rPr>
        <w:t xml:space="preserve"/>
      </w:r>
    </w:p>
    <w:p>
      <w:pPr>
        <w:pStyle w:val="ListParagraph"/>
        <w:numPr>
          <w:ilvl w:val="0"/>
          <w:numId w:val="2"/>
        </w:numPr>
        <w:spacing w:after="60"/>
      </w:pPr>
      <w:r>
        <w:rPr>
          <w:rFonts w:ascii="Inter" w:cs="Inter" w:eastAsia="Inter" w:hAnsi="Inter"/>
          <w:b/>
          <w:bCs/>
          <w:color w:val="09090B"/>
          <w:sz w:val="20"/>
          <w:szCs w:val="20"/>
        </w:rPr>
        <w:t xml:space="preserve">Feature 1: Dual-Mode Token Preview (Light + Dark)</w:t>
      </w:r>
      <w:r>
        <w:rPr>
          <w:rFonts w:ascii="Inter" w:cs="Inter" w:eastAsia="Inter" w:hAnsi="Inter"/>
          <w:color w:val="27272A"/>
          <w:sz w:val="20"/>
          <w:szCs w:val="20"/>
        </w:rPr>
        <w:t xml:space="preserve"/>
      </w:r>
    </w:p>
    <w:p>
      <w:pPr>
        <w:pStyle w:val="ListParagraph"/>
        <w:numPr>
          <w:ilvl w:val="0"/>
          <w:numId w:val="2"/>
        </w:numPr>
        <w:spacing w:after="60"/>
      </w:pPr>
      <w:r>
        <w:rPr>
          <w:rFonts w:ascii="Inter" w:cs="Inter" w:eastAsia="Inter" w:hAnsi="Inter"/>
          <w:b/>
          <w:bCs/>
          <w:color w:val="09090B"/>
          <w:sz w:val="20"/>
          <w:szCs w:val="20"/>
        </w:rPr>
        <w:t xml:space="preserve">Feature 2: Figma Variables Export</w:t>
      </w:r>
      <w:r>
        <w:rPr>
          <w:rFonts w:ascii="Inter" w:cs="Inter" w:eastAsia="Inter" w:hAnsi="Inter"/>
          <w:color w:val="27272A"/>
          <w:sz w:val="20"/>
          <w:szCs w:val="20"/>
        </w:rPr>
        <w:t xml:space="preserve"/>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Phase 2 — Polish (v2.1)</w:t>
      </w:r>
    </w:p>
    <w:p>
      <w:pPr>
        <w:spacing w:after="140"/>
      </w:pPr>
      <w:r>
        <w:rPr>
          <w:rFonts w:ascii="Inter" w:cs="Inter" w:eastAsia="Inter" w:hAnsi="Inter"/>
          <w:color w:val="27272A"/>
          <w:sz w:val="20"/>
          <w:szCs w:val="20"/>
        </w:rPr>
        <w:t xml:space="preserve">Add the three P1 features that improve the core export and discovery experience. These can be shipped incrementally as they do not depend on each other.</w:t>
      </w:r>
    </w:p>
    <w:p>
      <w:pPr>
        <w:pStyle w:val="ListParagraph"/>
        <w:numPr>
          <w:ilvl w:val="0"/>
          <w:numId w:val="2"/>
        </w:numPr>
        <w:spacing w:after="60"/>
      </w:pPr>
      <w:r>
        <w:rPr>
          <w:rFonts w:ascii="Inter" w:cs="Inter" w:eastAsia="Inter" w:hAnsi="Inter"/>
          <w:b/>
          <w:bCs/>
          <w:color w:val="09090B"/>
          <w:sz w:val="20"/>
          <w:szCs w:val="20"/>
        </w:rPr>
        <w:t xml:space="preserve">Feature 3: Multi-Format Color Output</w:t>
      </w:r>
      <w:r>
        <w:rPr>
          <w:rFonts w:ascii="Inter" w:cs="Inter" w:eastAsia="Inter" w:hAnsi="Inter"/>
          <w:color w:val="27272A"/>
          <w:sz w:val="20"/>
          <w:szCs w:val="20"/>
        </w:rPr>
        <w:t xml:space="preserve"/>
      </w:r>
    </w:p>
    <w:p>
      <w:pPr>
        <w:pStyle w:val="ListParagraph"/>
        <w:numPr>
          <w:ilvl w:val="0"/>
          <w:numId w:val="2"/>
        </w:numPr>
        <w:spacing w:after="60"/>
      </w:pPr>
      <w:r>
        <w:rPr>
          <w:rFonts w:ascii="Inter" w:cs="Inter" w:eastAsia="Inter" w:hAnsi="Inter"/>
          <w:b/>
          <w:bCs/>
          <w:color w:val="09090B"/>
          <w:sz w:val="20"/>
          <w:szCs w:val="20"/>
        </w:rPr>
        <w:t xml:space="preserve">Feature 6: Semantic / Primitive Split in Export View</w:t>
      </w:r>
      <w:r>
        <w:rPr>
          <w:rFonts w:ascii="Inter" w:cs="Inter" w:eastAsia="Inter" w:hAnsi="Inter"/>
          <w:color w:val="27272A"/>
          <w:sz w:val="20"/>
          <w:szCs w:val="20"/>
        </w:rPr>
        <w:t xml:space="preserve"/>
      </w:r>
    </w:p>
    <w:p>
      <w:pPr>
        <w:pStyle w:val="ListParagraph"/>
        <w:numPr>
          <w:ilvl w:val="0"/>
          <w:numId w:val="2"/>
        </w:numPr>
        <w:spacing w:after="60"/>
      </w:pPr>
      <w:r>
        <w:rPr>
          <w:rFonts w:ascii="Inter" w:cs="Inter" w:eastAsia="Inter" w:hAnsi="Inter"/>
          <w:b/>
          <w:bCs/>
          <w:color w:val="09090B"/>
          <w:sz w:val="20"/>
          <w:szCs w:val="20"/>
        </w:rPr>
        <w:t xml:space="preserve">Feature 4: Randomize Color Generator</w:t>
      </w:r>
      <w:r>
        <w:rPr>
          <w:rFonts w:ascii="Inter" w:cs="Inter" w:eastAsia="Inter" w:hAnsi="Inter"/>
          <w:color w:val="27272A"/>
          <w:sz w:val="20"/>
          <w:szCs w:val="20"/>
        </w:rPr>
        <w:t xml:space="preserve"/>
      </w:r>
    </w:p>
    <w:p>
      <w:pPr>
        <w:spacing w:after="80"/>
      </w:pPr>
      <w:r>
        <w:rPr>
          <w:rFonts w:ascii="Inter" w:cs="Inter" w:eastAsia="Inter" w:hAnsi="Inter"/>
        </w:rPr>
        <w:t xml:space="preserve"/>
      </w:r>
    </w:p>
    <w:p>
      <w:pPr>
        <w:pStyle w:val="Heading2"/>
        <w:spacing w:after="120" w:before="360"/>
      </w:pPr>
      <w:r>
        <w:rPr>
          <w:rFonts w:ascii="Inter" w:cs="Inter" w:eastAsia="Inter" w:hAnsi="Inter"/>
          <w:b/>
          <w:bCs/>
          <w:color w:val="09090B"/>
          <w:sz w:val="28"/>
          <w:szCs w:val="28"/>
        </w:rPr>
        <w:t xml:space="preserve">Phase 3 — Platform (v2.2)</w:t>
      </w:r>
    </w:p>
    <w:p>
      <w:pPr>
        <w:spacing w:after="140"/>
      </w:pPr>
      <w:r>
        <w:rPr>
          <w:rFonts w:ascii="Inter" w:cs="Inter" w:eastAsia="Inter" w:hAnsi="Inter"/>
          <w:color w:val="27272A"/>
          <w:sz w:val="20"/>
          <w:szCs w:val="20"/>
        </w:rPr>
        <w:t xml:space="preserve">Add responsive token support once the core token generation pipeline is mature.</w:t>
      </w:r>
    </w:p>
    <w:p>
      <w:pPr>
        <w:pStyle w:val="ListParagraph"/>
        <w:numPr>
          <w:ilvl w:val="0"/>
          <w:numId w:val="2"/>
        </w:numPr>
        <w:spacing w:after="60"/>
      </w:pPr>
      <w:r>
        <w:rPr>
          <w:rFonts w:ascii="Inter" w:cs="Inter" w:eastAsia="Inter" w:hAnsi="Inter"/>
          <w:b/>
          <w:bCs/>
          <w:color w:val="09090B"/>
          <w:sz w:val="20"/>
          <w:szCs w:val="20"/>
        </w:rPr>
        <w:t xml:space="preserve">Feature 7: Platform &amp; Responsive Tokens</w:t>
      </w:r>
      <w:r>
        <w:rPr>
          <w:rFonts w:ascii="Inter" w:cs="Inter" w:eastAsia="Inter" w:hAnsi="Inter"/>
          <w:color w:val="27272A"/>
          <w:sz w:val="20"/>
          <w:szCs w:val="20"/>
        </w:rPr>
        <w:t xml:space="preserve"/>
      </w:r>
    </w:p>
    <w:p>
      <w:pPr>
        <w:spacing w:after="8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AFAFA" w:val="clear"/>
            <w:tcMar>
              <w:top w:type="dxa" w:w="120"/>
              <w:left w:type="dxa" w:w="200"/>
              <w:bottom w:type="dxa" w:w="120"/>
              <w:right w:type="dxa" w:w="200"/>
            </w:tcMar>
          </w:tcPr>
          <w:p>
            <w:pPr>
              <w:spacing w:after="0"/>
            </w:pPr>
            <w:r>
              <w:rPr>
                <w:rFonts w:ascii="Inter" w:cs="Inter" w:eastAsia="Inter" w:hAnsi="Inter"/>
                <w:b/>
                <w:bCs/>
                <w:color w:val="52525B"/>
                <w:sz w:val="18"/>
                <w:szCs w:val="18"/>
              </w:rPr>
              <w:t xml:space="preserve">Note </w:t>
            </w:r>
            <w:r>
              <w:rPr>
                <w:rFonts w:ascii="Inter" w:cs="Inter" w:eastAsia="Inter" w:hAnsi="Inter"/>
                <w:color w:val="27272A"/>
                <w:sz w:val="18"/>
                <w:szCs w:val="18"/>
              </w:rPr>
              <w:t xml:space="preserve">Open Questions marked 'Blocking: Yes' must be resolved before engineering begins on the relevant feature. Questions marked 'No' can be answered during the implementation sprint.</w:t>
            </w:r>
          </w:p>
        </w:tc>
      </w:tr>
    </w:tbl>
    <w:p>
      <w:pPr>
        <w:spacing w:after="80"/>
      </w:pPr>
      <w:r>
        <w:rPr>
          <w:rFonts w:ascii="Inter" w:cs="Inter" w:eastAsia="Inter" w:hAnsi="Inter"/>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1"/>
      </w:pBdr>
      <w:spacing w:after="0"/>
      <w:jc w:val="right"/>
    </w:pPr>
    <w:r>
      <w:rPr>
        <w:rFonts w:ascii="Inter" w:cs="Inter" w:eastAsia="Inter" w:hAnsi="Inter"/>
        <w:color w:val="A1A1AA"/>
        <w:sz w:val="16"/>
        <w:szCs w:val="16"/>
      </w:rPr>
      <w:t xml:space="preserve">Confidential draft  •  February 2026  •  Page </w:t>
    </w:r>
    <w:r>
      <w:rPr>
        <w:rFonts w:ascii="Inter" w:cs="Inter" w:eastAsia="Inter" w:hAnsi="Inter"/>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1"/>
      </w:pBdr>
      <w:spacing w:after="0"/>
    </w:pPr>
    <w:r>
      <w:rPr>
        <w:rFonts w:ascii="Inter" w:cs="Inter" w:eastAsia="Inter" w:hAnsi="Inter"/>
        <w:b/>
        <w:bCs/>
        <w:color w:val="09090B"/>
        <w:sz w:val="18"/>
        <w:szCs w:val="18"/>
      </w:rPr>
      <w:t xml:space="preserve">TokenLab</w:t>
    </w:r>
    <w:r>
      <w:rPr>
        <w:rFonts w:ascii="Inter" w:cs="Inter" w:eastAsia="Inter" w:hAnsi="Inter"/>
        <w:color w:val="A1A1AA"/>
        <w:sz w:val="18"/>
        <w:szCs w:val="18"/>
      </w:rPr>
      <w:t xml:space="preserve">   Feature Specification — Enhancement Package v2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09090B"/>
      <w:sz w:val="36"/>
      <w:szCs w:val="36"/>
    </w:rPr>
  </w:style>
  <w:style w:type="paragraph" w:styleId="Heading2">
    <w:name w:val="Heading 2"/>
    <w:basedOn w:val="Normal"/>
    <w:next w:val="Normal"/>
    <w:qFormat/>
    <w:pPr>
      <w:spacing w:after="120" w:before="360"/>
      <w:outlineLvl w:val="1"/>
    </w:pPr>
    <w:rPr>
      <w:rFonts w:ascii="Inter" w:cs="Inter" w:eastAsia="Inter" w:hAnsi="Inter"/>
      <w:b/>
      <w:bCs/>
      <w:color w:val="09090B"/>
      <w:sz w:val="28"/>
      <w:szCs w:val="28"/>
    </w:rPr>
  </w:style>
  <w:style w:type="paragraph" w:styleId="Heading3">
    <w:name w:val="Heading 3"/>
    <w:basedOn w:val="Normal"/>
    <w:next w:val="Normal"/>
    <w:qFormat/>
    <w:pPr>
      <w:spacing w:after="80" w:before="200"/>
      <w:outlineLvl w:val="2"/>
    </w:pPr>
    <w:rPr>
      <w:rFonts w:ascii="Inter" w:cs="Inter" w:eastAsia="Inter" w:hAnsi="Inter"/>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TokenLab — Feature Specification</dc:title>
  <dc:creator>TokenLab</dc:creator>
  <dc:description>PRD for TokenLab Enhancement Package v2</dc:description>
  <cp:lastModifiedBy>Un-named</cp:lastModifiedBy>
  <cp:revision>1</cp:revision>
  <dcterms:created xsi:type="dcterms:W3CDTF">2026-02-26T19:37:55.671Z</dcterms:created>
  <dcterms:modified xsi:type="dcterms:W3CDTF">2026-02-26T19:37:55.671Z</dcterms:modified>
</cp:coreProperties>
</file>

<file path=docProps/custom.xml><?xml version="1.0" encoding="utf-8"?>
<Properties xmlns="http://schemas.openxmlformats.org/officeDocument/2006/custom-properties" xmlns:vt="http://schemas.openxmlformats.org/officeDocument/2006/docPropsVTypes"/>
</file>