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proofErr w:type="spellStart"/>
                              <w:r w:rsidRPr="00231F2A">
                                <w:rPr>
                                  <w:b/>
                                  <w:color w:val="1F3864" w:themeColor="accent1" w:themeShade="80"/>
                                  <w:sz w:val="48"/>
                                  <w:szCs w:val="48"/>
                                </w:rPr>
                                <w:t>Guía</w:t>
                              </w:r>
                              <w:r>
                                <w:rPr>
                                  <w:b/>
                                  <w:color w:val="1F3864" w:themeColor="accent1" w:themeShade="80"/>
                                  <w:sz w:val="48"/>
                                  <w:szCs w:val="48"/>
                                </w:rPr>
                                <w:t>2</w:t>
                              </w:r>
                              <w:proofErr w:type="spellEnd"/>
                              <w:r>
                                <w:rPr>
                                  <w:b/>
                                  <w:color w:val="1F3864" w:themeColor="accent1" w:themeShade="80"/>
                                  <w:sz w:val="48"/>
                                  <w:szCs w:val="48"/>
                                </w:rPr>
                                <w:t>.</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proofErr w:type="spellStart"/>
                        <w:r w:rsidRPr="00231F2A">
                          <w:rPr>
                            <w:b/>
                            <w:color w:val="1F3864" w:themeColor="accent1" w:themeShade="80"/>
                            <w:sz w:val="48"/>
                            <w:szCs w:val="48"/>
                          </w:rPr>
                          <w:t>Guía</w:t>
                        </w:r>
                        <w:r>
                          <w:rPr>
                            <w:b/>
                            <w:color w:val="1F3864" w:themeColor="accent1" w:themeShade="80"/>
                            <w:sz w:val="48"/>
                            <w:szCs w:val="48"/>
                          </w:rPr>
                          <w:t>2</w:t>
                        </w:r>
                        <w:proofErr w:type="spellEnd"/>
                        <w:r>
                          <w:rPr>
                            <w:b/>
                            <w:color w:val="1F3864" w:themeColor="accent1" w:themeShade="80"/>
                            <w:sz w:val="48"/>
                            <w:szCs w:val="48"/>
                          </w:rPr>
                          <w:t>.</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61"/>
        <w:gridCol w:w="8278"/>
      </w:tblGrid>
      <w:tr w:rsidR="0003309E" w14:paraId="416C77F4" w14:textId="77777777" w:rsidTr="00B93ABA">
        <w:tc>
          <w:tcPr>
            <w:tcW w:w="1276"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8363" w:type="dxa"/>
          </w:tcPr>
          <w:p w14:paraId="1DFFCA63" w14:textId="77777777" w:rsidR="007F03CB" w:rsidRPr="007F03CB"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 xml:space="preserve">Durante la Fase 2 hemos avanzado en el desarrollo del Sistema Integral de Gestión para Banquetería Maya, orientado a centralizar los procesos administrativos y operativos de la empresa. La última versión disponible, </w:t>
            </w:r>
            <w:proofErr w:type="spellStart"/>
            <w:r w:rsidRPr="007F03CB">
              <w:rPr>
                <w:rFonts w:ascii="Calibri" w:hAnsi="Calibri" w:cs="Arial"/>
                <w:i/>
                <w:color w:val="548DD4"/>
                <w:sz w:val="20"/>
                <w:szCs w:val="20"/>
                <w:lang w:eastAsia="es-CL"/>
              </w:rPr>
              <w:t>Proyecto_Banqueteria</w:t>
            </w:r>
            <w:proofErr w:type="spellEnd"/>
            <w:r w:rsidRPr="007F03CB">
              <w:rPr>
                <w:rFonts w:ascii="Calibri" w:hAnsi="Calibri" w:cs="Arial"/>
                <w:i/>
                <w:color w:val="548DD4"/>
                <w:sz w:val="20"/>
                <w:szCs w:val="20"/>
                <w:lang w:eastAsia="es-CL"/>
              </w:rPr>
              <w:t>(</w:t>
            </w:r>
            <w:proofErr w:type="spellStart"/>
            <w:r w:rsidRPr="007F03CB">
              <w:rPr>
                <w:rFonts w:ascii="Calibri" w:hAnsi="Calibri" w:cs="Arial"/>
                <w:i/>
                <w:color w:val="548DD4"/>
                <w:sz w:val="20"/>
                <w:szCs w:val="20"/>
                <w:lang w:eastAsia="es-CL"/>
              </w:rPr>
              <w:t>seba_actualizado</w:t>
            </w:r>
            <w:proofErr w:type="spellEnd"/>
            <w:r w:rsidRPr="007F03CB">
              <w:rPr>
                <w:rFonts w:ascii="Calibri" w:hAnsi="Calibri" w:cs="Arial"/>
                <w:i/>
                <w:color w:val="548DD4"/>
                <w:sz w:val="20"/>
                <w:szCs w:val="20"/>
                <w:lang w:eastAsia="es-CL"/>
              </w:rPr>
              <w:t>).zip, entregada el 19 de octubre de 2026, incorpora una interfaz web en React y Vite, una API desarrollada con Django y Django REST Framework y una base de datos PostgreSQL. El avance se concentra en el backoffice y en la conexión de formularios y consultas con los datos del sistema.</w:t>
            </w:r>
          </w:p>
          <w:p w14:paraId="7903EFDC" w14:textId="77777777" w:rsidR="007F03CB" w:rsidRPr="007F03CB"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En acceso y clientes se dispone de inicio y cierre de sesión, consulta de sesión activa y restricciones administrativas. El módulo Clientes permite registrar, consultar, buscar, filtrar y actualizar personas naturales y empresas. Incluye validación de RUT, control de duplicidad y campos obligatorios. Esto aporta una fuente común de información para asociar eventos y pedidos. La autorización por perfiles de administración, ventas, cocina y terreno todavía debe unificarse en el backend.</w:t>
            </w:r>
          </w:p>
          <w:p w14:paraId="2715B818" w14:textId="77777777" w:rsidR="007F03CB" w:rsidRPr="007F03CB"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En Eventos se incorporan listado, detalle, creación, edición y eliminación, con datos de cliente, fecha, hora, dirección, cantidad de personas, estado y observaciones. El borrado se bloquea cuando existen pedidos asociados. En Pedidos se dispone de listado, filtros, formulario de alta y edición, detalle e historial de cambios de estado. Se valida que el evento corresponda al cliente seleccionado. Permanecen pendientes la secuencia necesaria para crear pedidos en una base nueva, el catálogo independiente de estados y el control de transiciones permitidas.</w:t>
            </w:r>
          </w:p>
          <w:p w14:paraId="07443D39" w14:textId="77777777" w:rsidR="007F03CB" w:rsidRPr="007F03CB"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En producción se incorporaron fichas técnicas con datos de preparación, rendimiento, unidad, procedimiento y costos. Cada ficha permite gestionar ingredientes mediante altas, modificaciones y eliminación de líneas de receta. Este avance prepara la estandarización de preparaciones y el cálculo de costos. Deben corregirse la interpretación decimal al editar cantidades y rendimiento, y el recálculo consistente entre ingredientes y ficha.</w:t>
            </w:r>
          </w:p>
          <w:p w14:paraId="5FED78A4" w14:textId="77777777" w:rsidR="007F03CB" w:rsidRPr="007F03CB"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 xml:space="preserve">El cotizador permite seleccionar un pedido, ingresar conceptos con cantidades y costos, agregar personal, transporte y otros gastos, aplicar un margen objetivo y guardar los totales. La fórmula de precio sugerido utiliza el costo total dividido por uno menos el margen expresado como proporción. El avance corresponde a una calculadora automática basada en fórmulas; no incorpora IA. Falta </w:t>
            </w:r>
            <w:r w:rsidRPr="007F03CB">
              <w:rPr>
                <w:rFonts w:ascii="Calibri" w:hAnsi="Calibri" w:cs="Arial"/>
                <w:i/>
                <w:color w:val="548DD4"/>
                <w:sz w:val="20"/>
                <w:szCs w:val="20"/>
                <w:lang w:eastAsia="es-CL"/>
              </w:rPr>
              <w:lastRenderedPageBreak/>
              <w:t>guardar el detalle de conceptos, calcular y validar los totales en el servidor e integrar fichas técnicas y número de comensales.</w:t>
            </w:r>
          </w:p>
          <w:p w14:paraId="343A099D" w14:textId="77777777" w:rsidR="007F03CB" w:rsidRPr="007F03CB"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Inventario permite consultar existencias por insumo y bodega, filtrar registros, revisar niveles de stock y registrar entradas y salidas. El backend actualiza existencias y registra el movimiento dentro de una transacción, y rechaza salidas superiores al stock disponible. Permanecen pendientes el lector QR, el consumo asociado a pedido o evento y la identificación uniforme del responsable del movimiento.</w:t>
            </w:r>
          </w:p>
          <w:p w14:paraId="318FA44D" w14:textId="77777777" w:rsidR="007F03CB" w:rsidRPr="007F03CB"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Ventas y Facturación incorpora consulta de ventas, facturas y pagos, detalle y cálculo visual de saldos. Las rutas actuales son de lectura, por lo que el registro de nuevas ventas, facturas y pagos todavía debe desarrollarse. El dashboard muestra conteos de clientes y pedidos y una lista de pedidos; los indicadores financieros, rentabilidad y alertas integradas continúan pendientes.</w:t>
            </w:r>
          </w:p>
          <w:p w14:paraId="6C70E0C9" w14:textId="6E9EF6C3" w:rsidR="0003309E" w:rsidRPr="00711C16"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Estos avances contribuyen al objetivo de centralizar información comercial, organizar eventos, estandarizar preparaciones y controlar existencias. El sistema todavía no se considera integralmente terminado: faltan la aplicación móvil, los flujos de checklist e incidencias, la auditoría transversal y el motor de riesgo por evento. La revisión de código confirma implementación, pero el cierre funcional exige pruebas completas de interfaz, API y base de datos. Las capturas y resultados detallados se incorporarán en el apartado independiente de evidencias y pruebas.</w:t>
            </w:r>
          </w:p>
        </w:tc>
      </w:tr>
      <w:tr w:rsidR="0003309E" w14:paraId="054DAFFB" w14:textId="77777777" w:rsidTr="00B93ABA">
        <w:trPr>
          <w:trHeight w:val="1247"/>
        </w:trPr>
        <w:tc>
          <w:tcPr>
            <w:tcW w:w="1276"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Objetivos</w:t>
            </w:r>
          </w:p>
        </w:tc>
        <w:tc>
          <w:tcPr>
            <w:tcW w:w="8363" w:type="dxa"/>
            <w:vAlign w:val="center"/>
          </w:tcPr>
          <w:p w14:paraId="72AFB7F3" w14:textId="77777777" w:rsidR="007F03CB" w:rsidRPr="007F03CB"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Se mantiene el objetivo general del proyecto: desarrollar e implementar un Sistema Integral de Gestión para una empresa de banquetería mediante una plataforma web y móvil integrada a través de una API REST centralizada, que permita digitalizar y optimizar sus principales procesos administrativos y operativos, mejorando la trazabilidad, el control de costos, la gestión de eventos y la disponibilidad de información para la toma de decisiones.</w:t>
            </w:r>
          </w:p>
          <w:p w14:paraId="5A30CB07" w14:textId="77777777" w:rsidR="007F03CB" w:rsidRPr="007F03CB"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El avance de los compromisos funcionales se refleja en la gestión de clientes y eventos, el seguimiento de pedidos, las fichas técnicas y recetas, el cotizador basado en fórmulas, los movimientos de inventario y las consultas comerciales. Su cumplimiento es parcial mientras no se cierre la validación integrada. Los objetivos relacionados con operación móvil, QR, auditoría integral, indicadores financieros y alertas por evento permanecen pendientes de implementación o integración.</w:t>
            </w:r>
          </w:p>
          <w:p w14:paraId="1CE9BF29" w14:textId="77777777" w:rsidR="007F03CB" w:rsidRPr="007F03CB"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No se declara una reformulación aprobada de los objetivos específicos. La propuesta de incorporar IA como sello del cotizador requiere formalizar un cambio respecto del documento de arranque, que la excluía expresamente. Si se incorpora, deberá definirse su función para proponer alternativas según presupuesto, cantidades y fecha, manteniendo cálculos económicos verificables.</w:t>
            </w:r>
          </w:p>
          <w:p w14:paraId="0DD025FA" w14:textId="4E5745C9" w:rsidR="00EA5D81" w:rsidRPr="00A370C8" w:rsidRDefault="007F03CB" w:rsidP="007F03CB">
            <w:pPr>
              <w:jc w:val="both"/>
              <w:rPr>
                <w:rFonts w:ascii="Calibri" w:hAnsi="Calibri" w:cs="Arial"/>
                <w:b/>
                <w:i/>
                <w:color w:val="548DD4"/>
                <w:sz w:val="20"/>
                <w:szCs w:val="20"/>
                <w:lang w:eastAsia="es-CL"/>
              </w:rPr>
            </w:pPr>
            <w:r w:rsidRPr="007F03CB">
              <w:rPr>
                <w:rFonts w:ascii="Calibri" w:hAnsi="Calibri" w:cs="Arial"/>
                <w:i/>
                <w:color w:val="548DD4"/>
                <w:sz w:val="20"/>
                <w:szCs w:val="20"/>
                <w:lang w:eastAsia="es-CL"/>
              </w:rPr>
              <w:t>Para la entrega definitiva debe incorporarse o cotejarse la redacción literal de los ocho objetivos específicos aprobados en Fase 1. El seguimiento anterior describe el alcance verificado y no reemplaza esos objetivos ni los presenta como cumplidos en su totalidad.</w:t>
            </w:r>
          </w:p>
        </w:tc>
      </w:tr>
      <w:tr w:rsidR="00AB3B79" w14:paraId="2FEF1C0D" w14:textId="77777777" w:rsidTr="00B93ABA">
        <w:trPr>
          <w:trHeight w:val="939"/>
        </w:trPr>
        <w:tc>
          <w:tcPr>
            <w:tcW w:w="1276" w:type="dxa"/>
            <w:vAlign w:val="center"/>
          </w:tcPr>
          <w:p w14:paraId="1064E097" w14:textId="77777777" w:rsidR="00AB3B79" w:rsidRPr="00CA22A9" w:rsidRDefault="00AB3B79" w:rsidP="00AB3B79">
            <w:pPr>
              <w:rPr>
                <w:rFonts w:ascii="Calibri" w:hAnsi="Calibri"/>
                <w:color w:val="1F3864" w:themeColor="accent1" w:themeShade="80"/>
              </w:rPr>
            </w:pPr>
            <w:r>
              <w:rPr>
                <w:rFonts w:ascii="Calibri" w:hAnsi="Calibri"/>
                <w:color w:val="1F3864" w:themeColor="accent1" w:themeShade="80"/>
              </w:rPr>
              <w:t>Metodología</w:t>
            </w:r>
          </w:p>
        </w:tc>
        <w:tc>
          <w:tcPr>
            <w:tcW w:w="8363" w:type="dxa"/>
            <w:vAlign w:val="center"/>
          </w:tcPr>
          <w:p w14:paraId="3A0AD187" w14:textId="77777777" w:rsidR="007F03CB" w:rsidRPr="007F03CB"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 xml:space="preserve">Se mantiene la metodología Scrum adaptada al contexto académico, con </w:t>
            </w:r>
            <w:proofErr w:type="spellStart"/>
            <w:r w:rsidRPr="007F03CB">
              <w:rPr>
                <w:rFonts w:ascii="Calibri" w:hAnsi="Calibri" w:cs="Arial"/>
                <w:i/>
                <w:color w:val="548DD4"/>
                <w:sz w:val="20"/>
                <w:szCs w:val="20"/>
                <w:lang w:eastAsia="es-CL"/>
              </w:rPr>
              <w:t>sprints</w:t>
            </w:r>
            <w:proofErr w:type="spellEnd"/>
            <w:r w:rsidRPr="007F03CB">
              <w:rPr>
                <w:rFonts w:ascii="Calibri" w:hAnsi="Calibri" w:cs="Arial"/>
                <w:i/>
                <w:color w:val="548DD4"/>
                <w:sz w:val="20"/>
                <w:szCs w:val="20"/>
                <w:lang w:eastAsia="es-CL"/>
              </w:rPr>
              <w:t xml:space="preserve"> semanales y desarrollo incremental. La planificación contempla un backlog de necesidades, priorización de tareas, responsables, criterios de aceptación y revisión de resultados. La secuencia considera base técnica y seguridad; gestión de clientes, eventos y pedidos; producción y cotización; inventario; gestión comercial; dashboard; operación móvil e integración final.</w:t>
            </w:r>
          </w:p>
          <w:p w14:paraId="4C15081A" w14:textId="77777777" w:rsidR="007F03CB" w:rsidRPr="007F03CB" w:rsidRDefault="007F03CB" w:rsidP="007F03CB">
            <w:pPr>
              <w:jc w:val="both"/>
              <w:rPr>
                <w:rFonts w:ascii="Calibri" w:hAnsi="Calibri" w:cs="Arial"/>
                <w:i/>
                <w:color w:val="548DD4"/>
                <w:sz w:val="20"/>
                <w:szCs w:val="20"/>
                <w:lang w:eastAsia="es-CL"/>
              </w:rPr>
            </w:pPr>
            <w:r w:rsidRPr="007F03CB">
              <w:rPr>
                <w:rFonts w:ascii="Calibri" w:hAnsi="Calibri" w:cs="Arial"/>
                <w:i/>
                <w:color w:val="548DD4"/>
                <w:sz w:val="20"/>
                <w:szCs w:val="20"/>
                <w:lang w:eastAsia="es-CL"/>
              </w:rPr>
              <w:t>La implementación actual utiliza React con JavaScript, Django, Django REST Framework, ORM de Django, PostgreSQL y sesiones. Esto representa un ajuste técnico respecto de las tecnologías propuestas inicialmente, como FastAPI, SQLAlchemy, TypeScript y JWT. Deben actualizarse arquitectura, documentación e instrucciones de instalación para reflejar la solución realmente construida. La arquitectura general de interfaz, API y base de datos centralizada se mantiene.</w:t>
            </w:r>
          </w:p>
          <w:p w14:paraId="0908C15F" w14:textId="5DE4A20A" w:rsidR="00FA1C59" w:rsidRPr="00AB3B79" w:rsidRDefault="007F03CB" w:rsidP="007F03CB">
            <w:pPr>
              <w:jc w:val="both"/>
              <w:rPr>
                <w:rFonts w:ascii="Calibri" w:hAnsi="Calibri" w:cs="Arial"/>
                <w:i/>
                <w:color w:val="548DD4"/>
                <w:sz w:val="20"/>
                <w:szCs w:val="20"/>
                <w:highlight w:val="yellow"/>
                <w:lang w:eastAsia="es-CL"/>
              </w:rPr>
            </w:pPr>
            <w:r w:rsidRPr="007F03CB">
              <w:rPr>
                <w:rFonts w:ascii="Calibri" w:hAnsi="Calibri" w:cs="Arial"/>
                <w:i/>
                <w:color w:val="548DD4"/>
                <w:sz w:val="20"/>
                <w:szCs w:val="20"/>
                <w:lang w:eastAsia="es-CL"/>
              </w:rPr>
              <w:lastRenderedPageBreak/>
              <w:t xml:space="preserve">El siguiente ciclo se orientará a estabilizar creación de pedidos, decimales, cálculo de costos y permisos antes de ampliar integraciones. Cada funcionalidad se cerrará cuando cumpla su criterio de aceptación, conserve datos consistentes, respete permisos y cuente con revisión y prueba. Las evidencias de aplicación de Scrum y de contribución individual deberán respaldarse con registros reales de Issues, commits, Pull Requests y revisiones. Las etiquetas </w:t>
            </w:r>
            <w:proofErr w:type="spellStart"/>
            <w:r w:rsidRPr="007F03CB">
              <w:rPr>
                <w:rFonts w:ascii="Calibri" w:hAnsi="Calibri" w:cs="Arial"/>
                <w:i/>
                <w:color w:val="548DD4"/>
                <w:sz w:val="20"/>
                <w:szCs w:val="20"/>
                <w:lang w:eastAsia="es-CL"/>
              </w:rPr>
              <w:t>W01</w:t>
            </w:r>
            <w:proofErr w:type="spellEnd"/>
            <w:r w:rsidRPr="007F03CB">
              <w:rPr>
                <w:rFonts w:ascii="Calibri" w:hAnsi="Calibri" w:cs="Arial"/>
                <w:i/>
                <w:color w:val="548DD4"/>
                <w:sz w:val="20"/>
                <w:szCs w:val="20"/>
                <w:lang w:eastAsia="es-CL"/>
              </w:rPr>
              <w:t xml:space="preserve"> a </w:t>
            </w:r>
            <w:proofErr w:type="spellStart"/>
            <w:r w:rsidRPr="007F03CB">
              <w:rPr>
                <w:rFonts w:ascii="Calibri" w:hAnsi="Calibri" w:cs="Arial"/>
                <w:i/>
                <w:color w:val="548DD4"/>
                <w:sz w:val="20"/>
                <w:szCs w:val="20"/>
                <w:lang w:eastAsia="es-CL"/>
              </w:rPr>
              <w:t>W12</w:t>
            </w:r>
            <w:proofErr w:type="spellEnd"/>
            <w:r w:rsidRPr="007F03CB">
              <w:rPr>
                <w:rFonts w:ascii="Calibri" w:hAnsi="Calibri" w:cs="Arial"/>
                <w:i/>
                <w:color w:val="548DD4"/>
                <w:sz w:val="20"/>
                <w:szCs w:val="20"/>
                <w:lang w:eastAsia="es-CL"/>
              </w:rPr>
              <w:t xml:space="preserve"> de las pantallas no acreditan por sí solas </w:t>
            </w:r>
            <w:proofErr w:type="spellStart"/>
            <w:r w:rsidRPr="007F03CB">
              <w:rPr>
                <w:rFonts w:ascii="Calibri" w:hAnsi="Calibri" w:cs="Arial"/>
                <w:i/>
                <w:color w:val="548DD4"/>
                <w:sz w:val="20"/>
                <w:szCs w:val="20"/>
                <w:lang w:eastAsia="es-CL"/>
              </w:rPr>
              <w:t>sprints</w:t>
            </w:r>
            <w:proofErr w:type="spellEnd"/>
            <w:r w:rsidRPr="007F03CB">
              <w:rPr>
                <w:rFonts w:ascii="Calibri" w:hAnsi="Calibri" w:cs="Arial"/>
                <w:i/>
                <w:color w:val="548DD4"/>
                <w:sz w:val="20"/>
                <w:szCs w:val="20"/>
                <w:lang w:eastAsia="es-CL"/>
              </w:rPr>
              <w:t xml:space="preserve"> o semanas completadas.</w:t>
            </w:r>
          </w:p>
        </w:tc>
      </w:tr>
      <w:tr w:rsidR="0003309E" w14:paraId="74E704B1" w14:textId="77777777" w:rsidTr="00B93ABA">
        <w:trPr>
          <w:trHeight w:val="2377"/>
        </w:trPr>
        <w:tc>
          <w:tcPr>
            <w:tcW w:w="1276"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8363" w:type="dxa"/>
            <w:vAlign w:val="center"/>
          </w:tcPr>
          <w:p w14:paraId="1A330AC7" w14:textId="77777777" w:rsidR="007F03CB" w:rsidRPr="007F03CB" w:rsidRDefault="007F03CB" w:rsidP="007F03CB">
            <w:pPr>
              <w:jc w:val="both"/>
              <w:rPr>
                <w:rFonts w:ascii="Calibri" w:hAnsi="Calibri" w:cs="Arial"/>
                <w:bCs/>
                <w:i/>
                <w:color w:val="548DD4"/>
                <w:sz w:val="20"/>
                <w:szCs w:val="20"/>
                <w:lang w:eastAsia="es-CL"/>
              </w:rPr>
            </w:pPr>
            <w:r w:rsidRPr="007F03CB">
              <w:rPr>
                <w:rFonts w:ascii="Calibri" w:hAnsi="Calibri" w:cs="Arial"/>
                <w:bCs/>
                <w:i/>
                <w:color w:val="548DD4"/>
                <w:sz w:val="20"/>
                <w:szCs w:val="20"/>
                <w:lang w:eastAsia="es-CL"/>
              </w:rPr>
              <w:t xml:space="preserve">Los avances se respaldan en los componentes de React, las rutas y vistas de la API, los modelos y </w:t>
            </w:r>
            <w:proofErr w:type="spellStart"/>
            <w:r w:rsidRPr="007F03CB">
              <w:rPr>
                <w:rFonts w:ascii="Calibri" w:hAnsi="Calibri" w:cs="Arial"/>
                <w:bCs/>
                <w:i/>
                <w:color w:val="548DD4"/>
                <w:sz w:val="20"/>
                <w:szCs w:val="20"/>
                <w:lang w:eastAsia="es-CL"/>
              </w:rPr>
              <w:t>serializadores</w:t>
            </w:r>
            <w:proofErr w:type="spellEnd"/>
            <w:r w:rsidRPr="007F03CB">
              <w:rPr>
                <w:rFonts w:ascii="Calibri" w:hAnsi="Calibri" w:cs="Arial"/>
                <w:bCs/>
                <w:i/>
                <w:color w:val="548DD4"/>
                <w:sz w:val="20"/>
                <w:szCs w:val="20"/>
                <w:lang w:eastAsia="es-CL"/>
              </w:rPr>
              <w:t>, las migraciones y el esquema SQL de la versión revisada. La revisión técnica del 19 de octubre documenta análisis sintáctico de 29 archivos Python y comprobaciones aisladas de interpretación decimal y validación de RUT. Estos resultados detectan problemas concretos y no equivalen a una prueba integral aprobada.</w:t>
            </w:r>
          </w:p>
          <w:p w14:paraId="33312EF7" w14:textId="77777777" w:rsidR="007F03CB" w:rsidRPr="007F03CB" w:rsidRDefault="007F03CB" w:rsidP="007F03CB">
            <w:pPr>
              <w:jc w:val="both"/>
              <w:rPr>
                <w:rFonts w:ascii="Calibri" w:hAnsi="Calibri" w:cs="Arial"/>
                <w:bCs/>
                <w:i/>
                <w:color w:val="548DD4"/>
                <w:sz w:val="20"/>
                <w:szCs w:val="20"/>
                <w:lang w:eastAsia="es-CL"/>
              </w:rPr>
            </w:pPr>
            <w:r w:rsidRPr="007F03CB">
              <w:rPr>
                <w:rFonts w:ascii="Calibri" w:hAnsi="Calibri" w:cs="Arial"/>
                <w:bCs/>
                <w:i/>
                <w:color w:val="548DD4"/>
                <w:sz w:val="20"/>
                <w:szCs w:val="20"/>
                <w:lang w:eastAsia="es-CL"/>
              </w:rPr>
              <w:t>El apartado independiente de evidencias y pruebas incorporará capturas y registros de acceso, clientes, eventos, pedidos, fichas, cotización, inventario y consulta comercial. Para cada operación se indicarán versión, fecha, precondiciones, pasos, resultado esperado, resultado obtenido y estado. Se comprobarán casos válidos, errores de entrada, restricciones de permisos, persistencia después de recargar y coherencia entre módulos.</w:t>
            </w:r>
          </w:p>
          <w:p w14:paraId="51E5B895" w14:textId="01E6D876" w:rsidR="00FA1C59" w:rsidRPr="00A370C8" w:rsidRDefault="007F03CB" w:rsidP="007F03CB">
            <w:pPr>
              <w:jc w:val="both"/>
              <w:rPr>
                <w:rFonts w:ascii="Calibri" w:hAnsi="Calibri" w:cs="Arial"/>
                <w:b/>
                <w:i/>
                <w:color w:val="548DD4"/>
                <w:sz w:val="20"/>
                <w:szCs w:val="20"/>
                <w:lang w:eastAsia="es-CL"/>
              </w:rPr>
            </w:pPr>
            <w:r w:rsidRPr="007F03CB">
              <w:rPr>
                <w:rFonts w:ascii="Calibri" w:hAnsi="Calibri" w:cs="Arial"/>
                <w:bCs/>
                <w:i/>
                <w:color w:val="548DD4"/>
                <w:sz w:val="20"/>
                <w:szCs w:val="20"/>
                <w:lang w:eastAsia="es-CL"/>
              </w:rPr>
              <w:t xml:space="preserve">Los archivos </w:t>
            </w:r>
            <w:proofErr w:type="spellStart"/>
            <w:r w:rsidRPr="007F03CB">
              <w:rPr>
                <w:rFonts w:ascii="Calibri" w:hAnsi="Calibri" w:cs="Arial"/>
                <w:bCs/>
                <w:i/>
                <w:color w:val="548DD4"/>
                <w:sz w:val="20"/>
                <w:szCs w:val="20"/>
                <w:lang w:eastAsia="es-CL"/>
              </w:rPr>
              <w:t>tests.py</w:t>
            </w:r>
            <w:proofErr w:type="spellEnd"/>
            <w:r w:rsidRPr="007F03CB">
              <w:rPr>
                <w:rFonts w:ascii="Calibri" w:hAnsi="Calibri" w:cs="Arial"/>
                <w:bCs/>
                <w:i/>
                <w:color w:val="548DD4"/>
                <w:sz w:val="20"/>
                <w:szCs w:val="20"/>
                <w:lang w:eastAsia="es-CL"/>
              </w:rPr>
              <w:t xml:space="preserve"> revisados conservan contenido de plantilla y existe un script manual de pedidos dependiente de datos específicos. No se declara cobertura automatizada completa. Los datos cargados desde el script SQL deben identificarse como demostración; consultar PostgreSQL no acredita uso productivo. El historial de GitHub deberá respaldar los cambios y la autoría individual.</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02"/>
      </w:tblGrid>
      <w:tr w:rsidR="0003309E" w14:paraId="5B12D08B" w14:textId="77777777" w:rsidTr="00C5122E">
        <w:trPr>
          <w:trHeight w:val="1936"/>
        </w:trPr>
        <w:tc>
          <w:tcPr>
            <w:tcW w:w="5000" w:type="pct"/>
            <w:vAlign w:val="center"/>
          </w:tcPr>
          <w:tbl>
            <w:tblPr>
              <w:tblStyle w:val="Tablaconcuadrcula"/>
              <w:tblpPr w:leftFromText="180" w:rightFromText="180" w:vertAnchor="page" w:horzAnchor="margin" w:tblpY="67"/>
              <w:tblOverlap w:val="never"/>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257"/>
              <w:gridCol w:w="1304"/>
              <w:gridCol w:w="1097"/>
              <w:gridCol w:w="1129"/>
              <w:gridCol w:w="1201"/>
              <w:gridCol w:w="1293"/>
              <w:gridCol w:w="1085"/>
              <w:gridCol w:w="1410"/>
            </w:tblGrid>
            <w:tr w:rsidR="007F03CB" w:rsidRPr="006E3B0D" w14:paraId="15DF8978" w14:textId="77777777" w:rsidTr="007F03CB">
              <w:trPr>
                <w:trHeight w:val="415"/>
              </w:trPr>
              <w:tc>
                <w:tcPr>
                  <w:tcW w:w="9776" w:type="dxa"/>
                  <w:gridSpan w:val="8"/>
                  <w:vAlign w:val="center"/>
                </w:tcPr>
                <w:p w14:paraId="21BAC9E1" w14:textId="77777777" w:rsidR="007F03CB" w:rsidRPr="006E3B0D" w:rsidRDefault="007F03CB" w:rsidP="007F03CB">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7F03CB" w:rsidRPr="006E3B0D" w14:paraId="3E39F665" w14:textId="77777777" w:rsidTr="007F03CB">
              <w:trPr>
                <w:trHeight w:val="711"/>
              </w:trPr>
              <w:tc>
                <w:tcPr>
                  <w:tcW w:w="1258" w:type="dxa"/>
                  <w:vAlign w:val="center"/>
                </w:tcPr>
                <w:p w14:paraId="3BA97412" w14:textId="77777777" w:rsidR="007F03CB" w:rsidRPr="006E3B0D" w:rsidRDefault="007F03CB" w:rsidP="007F03CB">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307" w:type="dxa"/>
                  <w:vAlign w:val="center"/>
                </w:tcPr>
                <w:p w14:paraId="6ED6A835" w14:textId="77777777" w:rsidR="007F03CB" w:rsidRPr="006E3B0D" w:rsidRDefault="007F03CB" w:rsidP="007F03CB">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082" w:type="dxa"/>
                  <w:vAlign w:val="center"/>
                </w:tcPr>
                <w:p w14:paraId="3BFFF902" w14:textId="77777777" w:rsidR="007F03CB" w:rsidRPr="006E3B0D" w:rsidRDefault="007F03CB" w:rsidP="007F03CB">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134" w:type="dxa"/>
                  <w:vAlign w:val="center"/>
                </w:tcPr>
                <w:p w14:paraId="66009006" w14:textId="77777777" w:rsidR="007F03CB" w:rsidRPr="006E3B0D" w:rsidRDefault="007F03CB" w:rsidP="007F03CB">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01" w:type="dxa"/>
                  <w:vAlign w:val="center"/>
                </w:tcPr>
                <w:p w14:paraId="3EA22F44" w14:textId="77777777" w:rsidR="007F03CB" w:rsidRPr="006E3B0D" w:rsidRDefault="007F03CB" w:rsidP="007F03CB">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87" w:type="dxa"/>
                  <w:vAlign w:val="center"/>
                </w:tcPr>
                <w:p w14:paraId="6EFC0B8F" w14:textId="77777777" w:rsidR="007F03CB" w:rsidRPr="006E3B0D" w:rsidRDefault="007F03CB" w:rsidP="007F03CB">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090" w:type="dxa"/>
                  <w:vAlign w:val="center"/>
                </w:tcPr>
                <w:p w14:paraId="56544E35" w14:textId="77777777" w:rsidR="007F03CB" w:rsidRPr="006E3B0D" w:rsidRDefault="007F03CB" w:rsidP="007F03CB">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417" w:type="dxa"/>
                  <w:vAlign w:val="center"/>
                </w:tcPr>
                <w:p w14:paraId="7B491866" w14:textId="77777777" w:rsidR="007F03CB" w:rsidRPr="006E3B0D" w:rsidRDefault="007F03CB" w:rsidP="007F03CB">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7F03CB" w:rsidRPr="006E3B0D" w14:paraId="179F3ABD" w14:textId="77777777" w:rsidTr="007F03CB">
              <w:trPr>
                <w:trHeight w:val="387"/>
              </w:trPr>
              <w:tc>
                <w:tcPr>
                  <w:tcW w:w="1258" w:type="dxa"/>
                </w:tcPr>
                <w:p w14:paraId="7AEC49E5" w14:textId="55201400"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Análisis de requisitos</w:t>
                  </w:r>
                </w:p>
              </w:tc>
              <w:tc>
                <w:tcPr>
                  <w:tcW w:w="1307" w:type="dxa"/>
                </w:tcPr>
                <w:p w14:paraId="55DBCB3B" w14:textId="4AAC3644"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Actualizar alcance y criterios.</w:t>
                  </w:r>
                </w:p>
              </w:tc>
              <w:tc>
                <w:tcPr>
                  <w:tcW w:w="1082" w:type="dxa"/>
                </w:tcPr>
                <w:p w14:paraId="6C107404" w14:textId="4BAAA89E"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Guías y backlog.</w:t>
                  </w:r>
                </w:p>
              </w:tc>
              <w:tc>
                <w:tcPr>
                  <w:tcW w:w="1134" w:type="dxa"/>
                </w:tcPr>
                <w:p w14:paraId="4E3FB8A2" w14:textId="6D138E09"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S05</w:t>
                  </w:r>
                  <w:proofErr w:type="spellEnd"/>
                  <w:r w:rsidRPr="007C2FE0">
                    <w:rPr>
                      <w:rFonts w:ascii="Calibri" w:hAnsi="Calibri"/>
                      <w:b/>
                      <w:bCs/>
                      <w:i/>
                      <w:iCs/>
                      <w:color w:val="1F3864" w:themeColor="accent1" w:themeShade="80"/>
                      <w:sz w:val="17"/>
                    </w:rPr>
                    <w:br/>
                    <w:t>1 semana</w:t>
                  </w:r>
                </w:p>
              </w:tc>
              <w:tc>
                <w:tcPr>
                  <w:tcW w:w="1201" w:type="dxa"/>
                </w:tcPr>
                <w:p w14:paraId="7D9B105D" w14:textId="223CEAE7"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Equipo¹</w:t>
                  </w:r>
                  <w:proofErr w:type="spellEnd"/>
                </w:p>
              </w:tc>
              <w:tc>
                <w:tcPr>
                  <w:tcW w:w="1287" w:type="dxa"/>
                </w:tcPr>
                <w:p w14:paraId="40CFC71B" w14:textId="160C6EAC"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Definición disponible.</w:t>
                  </w:r>
                </w:p>
              </w:tc>
              <w:tc>
                <w:tcPr>
                  <w:tcW w:w="1090" w:type="dxa"/>
                </w:tcPr>
                <w:p w14:paraId="7E163271" w14:textId="75FE6C49"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En curso</w:t>
                  </w:r>
                </w:p>
              </w:tc>
              <w:tc>
                <w:tcPr>
                  <w:tcW w:w="1417" w:type="dxa"/>
                </w:tcPr>
                <w:p w14:paraId="349A1EE0" w14:textId="3C8D2860"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Formalizar alcance IA.</w:t>
                  </w:r>
                </w:p>
              </w:tc>
            </w:tr>
            <w:tr w:rsidR="007F03CB" w:rsidRPr="006E3B0D" w14:paraId="15A555D5" w14:textId="77777777" w:rsidTr="007F03CB">
              <w:trPr>
                <w:trHeight w:val="711"/>
              </w:trPr>
              <w:tc>
                <w:tcPr>
                  <w:tcW w:w="1258" w:type="dxa"/>
                </w:tcPr>
                <w:p w14:paraId="0E26D610" w14:textId="0E52CE75"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Arquitectura y datos</w:t>
                  </w:r>
                </w:p>
              </w:tc>
              <w:tc>
                <w:tcPr>
                  <w:tcW w:w="1307" w:type="dxa"/>
                </w:tcPr>
                <w:p w14:paraId="02EEC995" w14:textId="19C72158"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Preparar entorno y BD.</w:t>
                  </w:r>
                </w:p>
              </w:tc>
              <w:tc>
                <w:tcPr>
                  <w:tcW w:w="1082" w:type="dxa"/>
                </w:tcPr>
                <w:p w14:paraId="1DB7FB39" w14:textId="0756E159"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Django, React, SQL.</w:t>
                  </w:r>
                </w:p>
              </w:tc>
              <w:tc>
                <w:tcPr>
                  <w:tcW w:w="1134" w:type="dxa"/>
                </w:tcPr>
                <w:p w14:paraId="362D85FD" w14:textId="2B0FC589"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S06</w:t>
                  </w:r>
                  <w:proofErr w:type="spellEnd"/>
                  <w:r w:rsidRPr="007C2FE0">
                    <w:rPr>
                      <w:rFonts w:ascii="Calibri" w:hAnsi="Calibri"/>
                      <w:b/>
                      <w:bCs/>
                      <w:i/>
                      <w:iCs/>
                      <w:color w:val="1F3864" w:themeColor="accent1" w:themeShade="80"/>
                      <w:sz w:val="17"/>
                    </w:rPr>
                    <w:br/>
                    <w:t>1 semana</w:t>
                  </w:r>
                </w:p>
              </w:tc>
              <w:tc>
                <w:tcPr>
                  <w:tcW w:w="1201" w:type="dxa"/>
                </w:tcPr>
                <w:p w14:paraId="0B7A01F2" w14:textId="1719E713"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Sebastián¹</w:t>
                  </w:r>
                  <w:proofErr w:type="spellEnd"/>
                </w:p>
              </w:tc>
              <w:tc>
                <w:tcPr>
                  <w:tcW w:w="1287" w:type="dxa"/>
                </w:tcPr>
                <w:p w14:paraId="62A95BE1" w14:textId="57C27042"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Falta secuencia de pedidos.</w:t>
                  </w:r>
                </w:p>
              </w:tc>
              <w:tc>
                <w:tcPr>
                  <w:tcW w:w="1090" w:type="dxa"/>
                </w:tcPr>
                <w:p w14:paraId="1636C512" w14:textId="59598232"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En curso</w:t>
                  </w:r>
                </w:p>
              </w:tc>
              <w:tc>
                <w:tcPr>
                  <w:tcW w:w="1417" w:type="dxa"/>
                </w:tcPr>
                <w:p w14:paraId="4E330075" w14:textId="59E4996B"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Completar instalación.</w:t>
                  </w:r>
                </w:p>
              </w:tc>
            </w:tr>
            <w:tr w:rsidR="007F03CB" w:rsidRPr="006E3B0D" w14:paraId="54DE7E6D" w14:textId="77777777" w:rsidTr="007F03CB">
              <w:trPr>
                <w:trHeight w:val="711"/>
              </w:trPr>
              <w:tc>
                <w:tcPr>
                  <w:tcW w:w="1258" w:type="dxa"/>
                </w:tcPr>
                <w:p w14:paraId="11FEFFEB" w14:textId="31DE953C"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Seguridad</w:t>
                  </w:r>
                </w:p>
              </w:tc>
              <w:tc>
                <w:tcPr>
                  <w:tcW w:w="1307" w:type="dxa"/>
                </w:tcPr>
                <w:p w14:paraId="7EAC9A35" w14:textId="430FDFD6"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Unificar acceso y roles.</w:t>
                  </w:r>
                </w:p>
              </w:tc>
              <w:tc>
                <w:tcPr>
                  <w:tcW w:w="1082" w:type="dxa"/>
                </w:tcPr>
                <w:p w14:paraId="3EA4DA2A" w14:textId="530AE1B1"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Sesiones, permisos.</w:t>
                  </w:r>
                </w:p>
              </w:tc>
              <w:tc>
                <w:tcPr>
                  <w:tcW w:w="1134" w:type="dxa"/>
                </w:tcPr>
                <w:p w14:paraId="55526149" w14:textId="6381320B"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S06</w:t>
                  </w:r>
                  <w:proofErr w:type="spellEnd"/>
                  <w:r w:rsidRPr="007C2FE0">
                    <w:rPr>
                      <w:rFonts w:ascii="Calibri" w:hAnsi="Calibri"/>
                      <w:b/>
                      <w:bCs/>
                      <w:i/>
                      <w:iCs/>
                      <w:color w:val="1F3864" w:themeColor="accent1" w:themeShade="80"/>
                      <w:sz w:val="17"/>
                    </w:rPr>
                    <w:br/>
                    <w:t>1 semana</w:t>
                  </w:r>
                </w:p>
              </w:tc>
              <w:tc>
                <w:tcPr>
                  <w:tcW w:w="1201" w:type="dxa"/>
                </w:tcPr>
                <w:p w14:paraId="546B1A2A" w14:textId="6E69BBAA"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Sebastián¹</w:t>
                  </w:r>
                  <w:proofErr w:type="spellEnd"/>
                </w:p>
              </w:tc>
              <w:tc>
                <w:tcPr>
                  <w:tcW w:w="1287" w:type="dxa"/>
                </w:tcPr>
                <w:p w14:paraId="2BD7A5A2" w14:textId="695169A2"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Controles diferentes por ruta.</w:t>
                  </w:r>
                </w:p>
              </w:tc>
              <w:tc>
                <w:tcPr>
                  <w:tcW w:w="1090" w:type="dxa"/>
                </w:tcPr>
                <w:p w14:paraId="0AFA12AB" w14:textId="734E55DF"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En curso</w:t>
                  </w:r>
                </w:p>
              </w:tc>
              <w:tc>
                <w:tcPr>
                  <w:tcW w:w="1417" w:type="dxa"/>
                </w:tcPr>
                <w:p w14:paraId="36AAE34B" w14:textId="1F414D0A"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Matriz única de permisos.</w:t>
                  </w:r>
                </w:p>
              </w:tc>
            </w:tr>
            <w:tr w:rsidR="007F03CB" w:rsidRPr="006E3B0D" w14:paraId="43E64C08" w14:textId="77777777" w:rsidTr="007F03CB">
              <w:trPr>
                <w:trHeight w:val="711"/>
              </w:trPr>
              <w:tc>
                <w:tcPr>
                  <w:tcW w:w="1258" w:type="dxa"/>
                </w:tcPr>
                <w:p w14:paraId="3F4D0AB4" w14:textId="27354A62"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Desarrollo web</w:t>
                  </w:r>
                </w:p>
              </w:tc>
              <w:tc>
                <w:tcPr>
                  <w:tcW w:w="1307" w:type="dxa"/>
                </w:tcPr>
                <w:p w14:paraId="09A07C0D" w14:textId="42734B99"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Consolidar clientes y eventos.</w:t>
                  </w:r>
                </w:p>
              </w:tc>
              <w:tc>
                <w:tcPr>
                  <w:tcW w:w="1082" w:type="dxa"/>
                </w:tcPr>
                <w:p w14:paraId="6CC3BE56" w14:textId="5C27F6AF"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React y API.</w:t>
                  </w:r>
                </w:p>
              </w:tc>
              <w:tc>
                <w:tcPr>
                  <w:tcW w:w="1134" w:type="dxa"/>
                </w:tcPr>
                <w:p w14:paraId="2C69CB40" w14:textId="042F8A12"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S07</w:t>
                  </w:r>
                  <w:proofErr w:type="spellEnd"/>
                  <w:r w:rsidRPr="007C2FE0">
                    <w:rPr>
                      <w:rFonts w:ascii="Calibri" w:hAnsi="Calibri"/>
                      <w:b/>
                      <w:bCs/>
                      <w:i/>
                      <w:iCs/>
                      <w:color w:val="1F3864" w:themeColor="accent1" w:themeShade="80"/>
                      <w:sz w:val="17"/>
                    </w:rPr>
                    <w:br/>
                    <w:t>1 semana</w:t>
                  </w:r>
                </w:p>
              </w:tc>
              <w:tc>
                <w:tcPr>
                  <w:tcW w:w="1201" w:type="dxa"/>
                </w:tcPr>
                <w:p w14:paraId="71A72034" w14:textId="2ED076A2"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Madelaine¹</w:t>
                  </w:r>
                  <w:proofErr w:type="spellEnd"/>
                </w:p>
              </w:tc>
              <w:tc>
                <w:tcPr>
                  <w:tcW w:w="1287" w:type="dxa"/>
                </w:tcPr>
                <w:p w14:paraId="338B4F72" w14:textId="0E63F122"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 xml:space="preserve">Alta y </w:t>
                  </w:r>
                  <w:proofErr w:type="gramStart"/>
                  <w:r w:rsidRPr="007C2FE0">
                    <w:rPr>
                      <w:rFonts w:ascii="Calibri" w:hAnsi="Calibri"/>
                      <w:b/>
                      <w:bCs/>
                      <w:i/>
                      <w:iCs/>
                      <w:color w:val="1F3864" w:themeColor="accent1" w:themeShade="80"/>
                      <w:sz w:val="17"/>
                    </w:rPr>
                    <w:t>edición presentes</w:t>
                  </w:r>
                  <w:proofErr w:type="gramEnd"/>
                  <w:r w:rsidRPr="007C2FE0">
                    <w:rPr>
                      <w:rFonts w:ascii="Calibri" w:hAnsi="Calibri"/>
                      <w:b/>
                      <w:bCs/>
                      <w:i/>
                      <w:iCs/>
                      <w:color w:val="1F3864" w:themeColor="accent1" w:themeShade="80"/>
                      <w:sz w:val="17"/>
                    </w:rPr>
                    <w:t>.</w:t>
                  </w:r>
                </w:p>
              </w:tc>
              <w:tc>
                <w:tcPr>
                  <w:tcW w:w="1090" w:type="dxa"/>
                </w:tcPr>
                <w:p w14:paraId="02739944" w14:textId="2B265562"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En curso</w:t>
                  </w:r>
                </w:p>
              </w:tc>
              <w:tc>
                <w:tcPr>
                  <w:tcW w:w="1417" w:type="dxa"/>
                </w:tcPr>
                <w:p w14:paraId="27CB78CE" w14:textId="78A654A2"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Verificar relaciones.</w:t>
                  </w:r>
                </w:p>
              </w:tc>
            </w:tr>
            <w:tr w:rsidR="007F03CB" w:rsidRPr="006E3B0D" w14:paraId="68945C1F" w14:textId="77777777" w:rsidTr="007F03CB">
              <w:trPr>
                <w:trHeight w:val="711"/>
              </w:trPr>
              <w:tc>
                <w:tcPr>
                  <w:tcW w:w="1258" w:type="dxa"/>
                </w:tcPr>
                <w:p w14:paraId="69236267" w14:textId="2009C85C"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Reglas de negocio</w:t>
                  </w:r>
                </w:p>
              </w:tc>
              <w:tc>
                <w:tcPr>
                  <w:tcW w:w="1307" w:type="dxa"/>
                </w:tcPr>
                <w:p w14:paraId="0D82FF95" w14:textId="32582E7D"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Completar pedidos e historial.</w:t>
                  </w:r>
                </w:p>
              </w:tc>
              <w:tc>
                <w:tcPr>
                  <w:tcW w:w="1082" w:type="dxa"/>
                </w:tcPr>
                <w:p w14:paraId="7593BBC3" w14:textId="7BFC4CAB"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API y catálogo de estados.</w:t>
                  </w:r>
                </w:p>
              </w:tc>
              <w:tc>
                <w:tcPr>
                  <w:tcW w:w="1134" w:type="dxa"/>
                </w:tcPr>
                <w:p w14:paraId="3F97105D" w14:textId="19164578"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S07</w:t>
                  </w:r>
                  <w:proofErr w:type="spellEnd"/>
                  <w:r w:rsidRPr="007C2FE0">
                    <w:rPr>
                      <w:rFonts w:ascii="Calibri" w:hAnsi="Calibri"/>
                      <w:b/>
                      <w:bCs/>
                      <w:i/>
                      <w:iCs/>
                      <w:color w:val="1F3864" w:themeColor="accent1" w:themeShade="80"/>
                      <w:sz w:val="17"/>
                    </w:rPr>
                    <w:br/>
                    <w:t>1 semana</w:t>
                  </w:r>
                </w:p>
              </w:tc>
              <w:tc>
                <w:tcPr>
                  <w:tcW w:w="1201" w:type="dxa"/>
                </w:tcPr>
                <w:p w14:paraId="215BA89D" w14:textId="0673BE20"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Equipo¹</w:t>
                  </w:r>
                  <w:proofErr w:type="spellEnd"/>
                </w:p>
              </w:tc>
              <w:tc>
                <w:tcPr>
                  <w:tcW w:w="1287" w:type="dxa"/>
                </w:tcPr>
                <w:p w14:paraId="546046EE" w14:textId="21518793"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Alta y transiciones pendientes de ajuste.</w:t>
                  </w:r>
                </w:p>
              </w:tc>
              <w:tc>
                <w:tcPr>
                  <w:tcW w:w="1090" w:type="dxa"/>
                </w:tcPr>
                <w:p w14:paraId="0C8E05A3" w14:textId="4FCAE3D9"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En curso</w:t>
                  </w:r>
                </w:p>
              </w:tc>
              <w:tc>
                <w:tcPr>
                  <w:tcW w:w="1417" w:type="dxa"/>
                </w:tcPr>
                <w:p w14:paraId="3F7AE447" w14:textId="3593E6AE"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Secuencia y estados.</w:t>
                  </w:r>
                </w:p>
              </w:tc>
            </w:tr>
            <w:tr w:rsidR="007F03CB" w:rsidRPr="006E3B0D" w14:paraId="3CFF909A" w14:textId="77777777" w:rsidTr="007F03CB">
              <w:trPr>
                <w:trHeight w:val="711"/>
              </w:trPr>
              <w:tc>
                <w:tcPr>
                  <w:tcW w:w="1258" w:type="dxa"/>
                </w:tcPr>
                <w:p w14:paraId="71166EA3" w14:textId="06057BCE"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Producción y costos</w:t>
                  </w:r>
                </w:p>
              </w:tc>
              <w:tc>
                <w:tcPr>
                  <w:tcW w:w="1307" w:type="dxa"/>
                </w:tcPr>
                <w:p w14:paraId="049F6119" w14:textId="1B6B321B"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Cerrar fichas y cotización.</w:t>
                  </w:r>
                </w:p>
              </w:tc>
              <w:tc>
                <w:tcPr>
                  <w:tcW w:w="1082" w:type="dxa"/>
                </w:tcPr>
                <w:p w14:paraId="715CB58D" w14:textId="7A6DE5FC"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Recetas y API.</w:t>
                  </w:r>
                </w:p>
              </w:tc>
              <w:tc>
                <w:tcPr>
                  <w:tcW w:w="1134" w:type="dxa"/>
                </w:tcPr>
                <w:p w14:paraId="0CADC847" w14:textId="651CECE1"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S08</w:t>
                  </w:r>
                  <w:proofErr w:type="spellEnd"/>
                  <w:r w:rsidRPr="007C2FE0">
                    <w:rPr>
                      <w:rFonts w:ascii="Calibri" w:hAnsi="Calibri"/>
                      <w:b/>
                      <w:bCs/>
                      <w:i/>
                      <w:iCs/>
                      <w:color w:val="1F3864" w:themeColor="accent1" w:themeShade="80"/>
                      <w:sz w:val="17"/>
                    </w:rPr>
                    <w:br/>
                    <w:t>1 semana</w:t>
                  </w:r>
                </w:p>
              </w:tc>
              <w:tc>
                <w:tcPr>
                  <w:tcW w:w="1201" w:type="dxa"/>
                </w:tcPr>
                <w:p w14:paraId="01E90E8F" w14:textId="21B86927"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Equipo¹</w:t>
                  </w:r>
                  <w:proofErr w:type="spellEnd"/>
                </w:p>
              </w:tc>
              <w:tc>
                <w:tcPr>
                  <w:tcW w:w="1287" w:type="dxa"/>
                </w:tcPr>
                <w:p w14:paraId="64E0315B" w14:textId="3AA6C8D9"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Decimales y totales por corregir.</w:t>
                  </w:r>
                </w:p>
              </w:tc>
              <w:tc>
                <w:tcPr>
                  <w:tcW w:w="1090" w:type="dxa"/>
                </w:tcPr>
                <w:p w14:paraId="07D24CC0" w14:textId="2B73F1D8"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En curso</w:t>
                  </w:r>
                </w:p>
              </w:tc>
              <w:tc>
                <w:tcPr>
                  <w:tcW w:w="1417" w:type="dxa"/>
                </w:tcPr>
                <w:p w14:paraId="29D72051" w14:textId="1A11AA1D"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Cálculo en servidor.</w:t>
                  </w:r>
                </w:p>
              </w:tc>
            </w:tr>
            <w:tr w:rsidR="007F03CB" w:rsidRPr="006E3B0D" w14:paraId="687EB0B2" w14:textId="77777777" w:rsidTr="007F03CB">
              <w:trPr>
                <w:trHeight w:val="711"/>
              </w:trPr>
              <w:tc>
                <w:tcPr>
                  <w:tcW w:w="1258" w:type="dxa"/>
                </w:tcPr>
                <w:p w14:paraId="5B72A9BF" w14:textId="32B7C851"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Gestión de inventario</w:t>
                  </w:r>
                </w:p>
              </w:tc>
              <w:tc>
                <w:tcPr>
                  <w:tcW w:w="1307" w:type="dxa"/>
                </w:tcPr>
                <w:p w14:paraId="58E6DBD4" w14:textId="4F8CA497"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Movimientos y QR.</w:t>
                  </w:r>
                </w:p>
              </w:tc>
              <w:tc>
                <w:tcPr>
                  <w:tcW w:w="1082" w:type="dxa"/>
                </w:tcPr>
                <w:p w14:paraId="2B8C2CE2" w14:textId="6193148A"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Stock, API y lector.</w:t>
                  </w:r>
                </w:p>
              </w:tc>
              <w:tc>
                <w:tcPr>
                  <w:tcW w:w="1134" w:type="dxa"/>
                </w:tcPr>
                <w:p w14:paraId="3BA29DEA" w14:textId="6287CA3F"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S09</w:t>
                  </w:r>
                  <w:proofErr w:type="spellEnd"/>
                  <w:r w:rsidRPr="007C2FE0">
                    <w:rPr>
                      <w:rFonts w:ascii="Calibri" w:hAnsi="Calibri"/>
                      <w:b/>
                      <w:bCs/>
                      <w:i/>
                      <w:iCs/>
                      <w:color w:val="1F3864" w:themeColor="accent1" w:themeShade="80"/>
                      <w:sz w:val="17"/>
                    </w:rPr>
                    <w:br/>
                    <w:t>1 semana</w:t>
                  </w:r>
                </w:p>
              </w:tc>
              <w:tc>
                <w:tcPr>
                  <w:tcW w:w="1201" w:type="dxa"/>
                </w:tcPr>
                <w:p w14:paraId="6890DC3E" w14:textId="0E66C41B"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Equipo¹</w:t>
                  </w:r>
                  <w:proofErr w:type="spellEnd"/>
                </w:p>
              </w:tc>
              <w:tc>
                <w:tcPr>
                  <w:tcW w:w="1287" w:type="dxa"/>
                </w:tcPr>
                <w:p w14:paraId="185E263F" w14:textId="177E04E5"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Entradas y salidas presentes.</w:t>
                  </w:r>
                </w:p>
              </w:tc>
              <w:tc>
                <w:tcPr>
                  <w:tcW w:w="1090" w:type="dxa"/>
                </w:tcPr>
                <w:p w14:paraId="6EEDEBB1" w14:textId="588E8ACC"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En curso</w:t>
                  </w:r>
                </w:p>
              </w:tc>
              <w:tc>
                <w:tcPr>
                  <w:tcW w:w="1417" w:type="dxa"/>
                </w:tcPr>
                <w:p w14:paraId="3877D6F8" w14:textId="6F6FAA7E"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Autor, pedido y QR.</w:t>
                  </w:r>
                </w:p>
              </w:tc>
            </w:tr>
            <w:tr w:rsidR="007F03CB" w:rsidRPr="006E3B0D" w14:paraId="7EB15865" w14:textId="77777777" w:rsidTr="007F03CB">
              <w:trPr>
                <w:trHeight w:val="711"/>
              </w:trPr>
              <w:tc>
                <w:tcPr>
                  <w:tcW w:w="1258" w:type="dxa"/>
                </w:tcPr>
                <w:p w14:paraId="02BAB1B2" w14:textId="29ECA3AD"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Gestión comercial</w:t>
                  </w:r>
                </w:p>
              </w:tc>
              <w:tc>
                <w:tcPr>
                  <w:tcW w:w="1307" w:type="dxa"/>
                </w:tcPr>
                <w:p w14:paraId="4F3F98E9" w14:textId="76500015"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Ventas, facturas y pagos.</w:t>
                  </w:r>
                </w:p>
              </w:tc>
              <w:tc>
                <w:tcPr>
                  <w:tcW w:w="1082" w:type="dxa"/>
                </w:tcPr>
                <w:p w14:paraId="55D9F2AB" w14:textId="76201678"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API comercial.</w:t>
                  </w:r>
                </w:p>
              </w:tc>
              <w:tc>
                <w:tcPr>
                  <w:tcW w:w="1134" w:type="dxa"/>
                </w:tcPr>
                <w:p w14:paraId="253F7AAA" w14:textId="480AE8B6"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S10</w:t>
                  </w:r>
                  <w:proofErr w:type="spellEnd"/>
                  <w:r w:rsidRPr="007C2FE0">
                    <w:rPr>
                      <w:rFonts w:ascii="Calibri" w:hAnsi="Calibri"/>
                      <w:b/>
                      <w:bCs/>
                      <w:i/>
                      <w:iCs/>
                      <w:color w:val="1F3864" w:themeColor="accent1" w:themeShade="80"/>
                      <w:sz w:val="17"/>
                    </w:rPr>
                    <w:br/>
                    <w:t>1 semana</w:t>
                  </w:r>
                </w:p>
              </w:tc>
              <w:tc>
                <w:tcPr>
                  <w:tcW w:w="1201" w:type="dxa"/>
                </w:tcPr>
                <w:p w14:paraId="0F519EDB" w14:textId="658E7657"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Equipo¹</w:t>
                  </w:r>
                  <w:proofErr w:type="spellEnd"/>
                </w:p>
              </w:tc>
              <w:tc>
                <w:tcPr>
                  <w:tcW w:w="1287" w:type="dxa"/>
                </w:tcPr>
                <w:p w14:paraId="4947FBE5" w14:textId="255EDAD9"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Solo consulta implementada.</w:t>
                  </w:r>
                </w:p>
              </w:tc>
              <w:tc>
                <w:tcPr>
                  <w:tcW w:w="1090" w:type="dxa"/>
                </w:tcPr>
                <w:p w14:paraId="69974CD7" w14:textId="42FE783F"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En curso</w:t>
                  </w:r>
                </w:p>
              </w:tc>
              <w:tc>
                <w:tcPr>
                  <w:tcW w:w="1417" w:type="dxa"/>
                </w:tcPr>
                <w:p w14:paraId="6C6BCD56" w14:textId="3757D251"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Agregar registros.</w:t>
                  </w:r>
                </w:p>
              </w:tc>
            </w:tr>
            <w:tr w:rsidR="007F03CB" w:rsidRPr="006E3B0D" w14:paraId="5AAB1092" w14:textId="77777777" w:rsidTr="007F03CB">
              <w:trPr>
                <w:trHeight w:val="711"/>
              </w:trPr>
              <w:tc>
                <w:tcPr>
                  <w:tcW w:w="1258" w:type="dxa"/>
                </w:tcPr>
                <w:p w14:paraId="50AD7AA3" w14:textId="3F2C4791"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Información de gestión</w:t>
                  </w:r>
                </w:p>
              </w:tc>
              <w:tc>
                <w:tcPr>
                  <w:tcW w:w="1307" w:type="dxa"/>
                </w:tcPr>
                <w:p w14:paraId="2A468D4B" w14:textId="20C24CDC"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Dashboard y alertas.</w:t>
                  </w:r>
                </w:p>
              </w:tc>
              <w:tc>
                <w:tcPr>
                  <w:tcW w:w="1082" w:type="dxa"/>
                </w:tcPr>
                <w:p w14:paraId="6FA7340F" w14:textId="590B5CD3"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Métricas y reglas.</w:t>
                  </w:r>
                </w:p>
              </w:tc>
              <w:tc>
                <w:tcPr>
                  <w:tcW w:w="1134" w:type="dxa"/>
                </w:tcPr>
                <w:p w14:paraId="7C851E07" w14:textId="23F500BE"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S11</w:t>
                  </w:r>
                  <w:proofErr w:type="spellEnd"/>
                  <w:r w:rsidRPr="007C2FE0">
                    <w:rPr>
                      <w:rFonts w:ascii="Calibri" w:hAnsi="Calibri"/>
                      <w:b/>
                      <w:bCs/>
                      <w:i/>
                      <w:iCs/>
                      <w:color w:val="1F3864" w:themeColor="accent1" w:themeShade="80"/>
                      <w:sz w:val="17"/>
                    </w:rPr>
                    <w:br/>
                    <w:t>1 semana</w:t>
                  </w:r>
                </w:p>
              </w:tc>
              <w:tc>
                <w:tcPr>
                  <w:tcW w:w="1201" w:type="dxa"/>
                </w:tcPr>
                <w:p w14:paraId="19DDF90B" w14:textId="092A36B1" w:rsidR="007F03CB" w:rsidRPr="007C2FE0" w:rsidRDefault="007F03CB" w:rsidP="007F03CB">
                  <w:pPr>
                    <w:jc w:val="center"/>
                    <w:rPr>
                      <w:rFonts w:ascii="Calibri" w:hAnsi="Calibri"/>
                      <w:b/>
                      <w:bCs/>
                      <w:i/>
                      <w:iCs/>
                      <w:color w:val="1F3864" w:themeColor="accent1" w:themeShade="80"/>
                      <w:sz w:val="18"/>
                    </w:rPr>
                  </w:pPr>
                  <w:proofErr w:type="spellStart"/>
                  <w:r w:rsidRPr="007C2FE0">
                    <w:rPr>
                      <w:rFonts w:ascii="Calibri" w:hAnsi="Calibri"/>
                      <w:b/>
                      <w:bCs/>
                      <w:i/>
                      <w:iCs/>
                      <w:color w:val="1F3864" w:themeColor="accent1" w:themeShade="80"/>
                      <w:sz w:val="17"/>
                    </w:rPr>
                    <w:t>Equipo¹</w:t>
                  </w:r>
                  <w:proofErr w:type="spellEnd"/>
                </w:p>
              </w:tc>
              <w:tc>
                <w:tcPr>
                  <w:tcW w:w="1287" w:type="dxa"/>
                </w:tcPr>
                <w:p w14:paraId="73A7D044" w14:textId="3380EA96"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Conteos básicos.</w:t>
                  </w:r>
                </w:p>
              </w:tc>
              <w:tc>
                <w:tcPr>
                  <w:tcW w:w="1090" w:type="dxa"/>
                </w:tcPr>
                <w:p w14:paraId="07EDC687" w14:textId="73B43E80"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En curso</w:t>
                  </w:r>
                </w:p>
              </w:tc>
              <w:tc>
                <w:tcPr>
                  <w:tcW w:w="1417" w:type="dxa"/>
                </w:tcPr>
                <w:p w14:paraId="47E5EC67" w14:textId="64CEB5AD" w:rsidR="007F03CB" w:rsidRPr="007C2FE0" w:rsidRDefault="007F03CB" w:rsidP="007F03CB">
                  <w:pPr>
                    <w:jc w:val="center"/>
                    <w:rPr>
                      <w:rFonts w:ascii="Calibri" w:hAnsi="Calibri"/>
                      <w:b/>
                      <w:bCs/>
                      <w:i/>
                      <w:iCs/>
                      <w:color w:val="1F3864" w:themeColor="accent1" w:themeShade="80"/>
                      <w:sz w:val="18"/>
                    </w:rPr>
                  </w:pPr>
                  <w:r w:rsidRPr="007C2FE0">
                    <w:rPr>
                      <w:rFonts w:ascii="Calibri" w:hAnsi="Calibri"/>
                      <w:b/>
                      <w:bCs/>
                      <w:i/>
                      <w:iCs/>
                      <w:color w:val="1F3864" w:themeColor="accent1" w:themeShade="80"/>
                      <w:sz w:val="17"/>
                    </w:rPr>
                    <w:t>Integrar finanzas.</w:t>
                  </w:r>
                </w:p>
              </w:tc>
            </w:tr>
            <w:tr w:rsidR="007F03CB" w:rsidRPr="006E3B0D" w14:paraId="4B683775" w14:textId="77777777" w:rsidTr="007F03CB">
              <w:trPr>
                <w:trHeight w:val="416"/>
              </w:trPr>
              <w:tc>
                <w:tcPr>
                  <w:tcW w:w="1258" w:type="dxa"/>
                </w:tcPr>
                <w:p w14:paraId="50AE458D" w14:textId="691C8D61" w:rsidR="007F03CB" w:rsidRPr="007C2FE0" w:rsidRDefault="007F03CB" w:rsidP="007F03CB">
                  <w:pPr>
                    <w:jc w:val="both"/>
                    <w:rPr>
                      <w:b/>
                      <w:bCs/>
                      <w:i/>
                      <w:iCs/>
                      <w:color w:val="1F3864" w:themeColor="accent1" w:themeShade="80"/>
                      <w:sz w:val="18"/>
                      <w:szCs w:val="24"/>
                    </w:rPr>
                  </w:pPr>
                  <w:r w:rsidRPr="007C2FE0">
                    <w:rPr>
                      <w:rFonts w:ascii="Calibri" w:hAnsi="Calibri"/>
                      <w:b/>
                      <w:bCs/>
                      <w:i/>
                      <w:iCs/>
                      <w:color w:val="1F3864" w:themeColor="accent1" w:themeShade="80"/>
                      <w:sz w:val="17"/>
                    </w:rPr>
                    <w:t>Desarrollo móvil</w:t>
                  </w:r>
                </w:p>
              </w:tc>
              <w:tc>
                <w:tcPr>
                  <w:tcW w:w="1307" w:type="dxa"/>
                </w:tcPr>
                <w:p w14:paraId="48AF094A" w14:textId="0768B2C9" w:rsidR="007F03CB" w:rsidRPr="007C2FE0" w:rsidRDefault="007F03CB" w:rsidP="007F03CB">
                  <w:pPr>
                    <w:jc w:val="both"/>
                    <w:rPr>
                      <w:rFonts w:ascii="Calibri" w:hAnsi="Calibri" w:cs="Arial"/>
                      <w:b/>
                      <w:bCs/>
                      <w:i/>
                      <w:iCs/>
                      <w:color w:val="1F3864" w:themeColor="accent1" w:themeShade="80"/>
                      <w:sz w:val="18"/>
                      <w:szCs w:val="20"/>
                      <w:lang w:eastAsia="es-CL"/>
                    </w:rPr>
                  </w:pPr>
                  <w:r w:rsidRPr="007C2FE0">
                    <w:rPr>
                      <w:rFonts w:ascii="Calibri" w:hAnsi="Calibri"/>
                      <w:b/>
                      <w:bCs/>
                      <w:i/>
                      <w:iCs/>
                      <w:color w:val="1F3864" w:themeColor="accent1" w:themeShade="80"/>
                      <w:sz w:val="17"/>
                    </w:rPr>
                    <w:t>Eventos, checklist e incidencias.</w:t>
                  </w:r>
                </w:p>
              </w:tc>
              <w:tc>
                <w:tcPr>
                  <w:tcW w:w="1082" w:type="dxa"/>
                </w:tcPr>
                <w:p w14:paraId="7E043844" w14:textId="569F75C0" w:rsidR="007F03CB" w:rsidRPr="007C2FE0" w:rsidRDefault="007F03CB" w:rsidP="007F03CB">
                  <w:pPr>
                    <w:jc w:val="both"/>
                    <w:rPr>
                      <w:b/>
                      <w:bCs/>
                      <w:i/>
                      <w:iCs/>
                      <w:color w:val="1F3864" w:themeColor="accent1" w:themeShade="80"/>
                      <w:sz w:val="18"/>
                      <w:szCs w:val="24"/>
                    </w:rPr>
                  </w:pPr>
                  <w:r w:rsidRPr="007C2FE0">
                    <w:rPr>
                      <w:rFonts w:ascii="Calibri" w:hAnsi="Calibri"/>
                      <w:b/>
                      <w:bCs/>
                      <w:i/>
                      <w:iCs/>
                      <w:color w:val="1F3864" w:themeColor="accent1" w:themeShade="80"/>
                      <w:sz w:val="17"/>
                    </w:rPr>
                    <w:t>Cliente móvil y API.</w:t>
                  </w:r>
                </w:p>
              </w:tc>
              <w:tc>
                <w:tcPr>
                  <w:tcW w:w="1134" w:type="dxa"/>
                </w:tcPr>
                <w:p w14:paraId="02EF877C" w14:textId="3E753173" w:rsidR="007F03CB" w:rsidRPr="007C2FE0" w:rsidRDefault="007F03CB" w:rsidP="007F03CB">
                  <w:pPr>
                    <w:jc w:val="both"/>
                    <w:rPr>
                      <w:b/>
                      <w:bCs/>
                      <w:i/>
                      <w:iCs/>
                      <w:color w:val="1F3864" w:themeColor="accent1" w:themeShade="80"/>
                      <w:sz w:val="18"/>
                      <w:szCs w:val="24"/>
                    </w:rPr>
                  </w:pPr>
                  <w:proofErr w:type="spellStart"/>
                  <w:r w:rsidRPr="007C2FE0">
                    <w:rPr>
                      <w:rFonts w:ascii="Calibri" w:hAnsi="Calibri"/>
                      <w:b/>
                      <w:bCs/>
                      <w:i/>
                      <w:iCs/>
                      <w:color w:val="1F3864" w:themeColor="accent1" w:themeShade="80"/>
                      <w:sz w:val="17"/>
                    </w:rPr>
                    <w:t>S12</w:t>
                  </w:r>
                  <w:proofErr w:type="spellEnd"/>
                  <w:r w:rsidRPr="007C2FE0">
                    <w:rPr>
                      <w:rFonts w:ascii="Calibri" w:hAnsi="Calibri"/>
                      <w:b/>
                      <w:bCs/>
                      <w:i/>
                      <w:iCs/>
                      <w:color w:val="1F3864" w:themeColor="accent1" w:themeShade="80"/>
                      <w:sz w:val="17"/>
                    </w:rPr>
                    <w:br/>
                    <w:t>1 semana</w:t>
                  </w:r>
                </w:p>
              </w:tc>
              <w:tc>
                <w:tcPr>
                  <w:tcW w:w="1201" w:type="dxa"/>
                </w:tcPr>
                <w:p w14:paraId="3A2D6069" w14:textId="30F6D56E" w:rsidR="007F03CB" w:rsidRPr="007C2FE0" w:rsidRDefault="007F03CB" w:rsidP="007F03CB">
                  <w:pPr>
                    <w:jc w:val="both"/>
                    <w:rPr>
                      <w:rFonts w:ascii="Calibri" w:hAnsi="Calibri" w:cs="Arial"/>
                      <w:b/>
                      <w:bCs/>
                      <w:i/>
                      <w:iCs/>
                      <w:color w:val="1F3864" w:themeColor="accent1" w:themeShade="80"/>
                      <w:sz w:val="18"/>
                      <w:szCs w:val="20"/>
                      <w:lang w:eastAsia="es-CL"/>
                    </w:rPr>
                  </w:pPr>
                  <w:proofErr w:type="spellStart"/>
                  <w:r w:rsidRPr="007C2FE0">
                    <w:rPr>
                      <w:rFonts w:ascii="Calibri" w:hAnsi="Calibri"/>
                      <w:b/>
                      <w:bCs/>
                      <w:i/>
                      <w:iCs/>
                      <w:color w:val="1F3864" w:themeColor="accent1" w:themeShade="80"/>
                      <w:sz w:val="17"/>
                    </w:rPr>
                    <w:t>Madelaine¹</w:t>
                  </w:r>
                  <w:proofErr w:type="spellEnd"/>
                </w:p>
              </w:tc>
              <w:tc>
                <w:tcPr>
                  <w:tcW w:w="1287" w:type="dxa"/>
                </w:tcPr>
                <w:p w14:paraId="79D8771B" w14:textId="0866AFD6" w:rsidR="007F03CB" w:rsidRPr="007C2FE0" w:rsidRDefault="007F03CB" w:rsidP="007F03CB">
                  <w:pPr>
                    <w:jc w:val="both"/>
                    <w:rPr>
                      <w:rFonts w:ascii="Calibri" w:hAnsi="Calibri" w:cs="Arial"/>
                      <w:b/>
                      <w:bCs/>
                      <w:i/>
                      <w:iCs/>
                      <w:color w:val="1F3864" w:themeColor="accent1" w:themeShade="80"/>
                      <w:sz w:val="18"/>
                      <w:szCs w:val="20"/>
                      <w:lang w:eastAsia="es-CL"/>
                    </w:rPr>
                  </w:pPr>
                  <w:r w:rsidRPr="007C2FE0">
                    <w:rPr>
                      <w:rFonts w:ascii="Calibri" w:hAnsi="Calibri"/>
                      <w:b/>
                      <w:bCs/>
                      <w:i/>
                      <w:iCs/>
                      <w:color w:val="1F3864" w:themeColor="accent1" w:themeShade="80"/>
                      <w:sz w:val="17"/>
                    </w:rPr>
                    <w:t>Sin app entregada.</w:t>
                  </w:r>
                </w:p>
              </w:tc>
              <w:tc>
                <w:tcPr>
                  <w:tcW w:w="1090" w:type="dxa"/>
                </w:tcPr>
                <w:p w14:paraId="66F5E09A" w14:textId="6674542B" w:rsidR="007F03CB" w:rsidRPr="007C2FE0" w:rsidRDefault="007F03CB" w:rsidP="007F03CB">
                  <w:pPr>
                    <w:jc w:val="both"/>
                    <w:rPr>
                      <w:rFonts w:ascii="Calibri" w:hAnsi="Calibri" w:cs="Arial"/>
                      <w:b/>
                      <w:bCs/>
                      <w:i/>
                      <w:iCs/>
                      <w:color w:val="1F3864" w:themeColor="accent1" w:themeShade="80"/>
                      <w:sz w:val="16"/>
                      <w:szCs w:val="20"/>
                      <w:lang w:eastAsia="es-CL"/>
                    </w:rPr>
                  </w:pPr>
                  <w:r w:rsidRPr="007C2FE0">
                    <w:rPr>
                      <w:rFonts w:ascii="Calibri" w:hAnsi="Calibri"/>
                      <w:b/>
                      <w:bCs/>
                      <w:i/>
                      <w:iCs/>
                      <w:color w:val="1F3864" w:themeColor="accent1" w:themeShade="80"/>
                      <w:sz w:val="17"/>
                    </w:rPr>
                    <w:t xml:space="preserve">No </w:t>
                  </w:r>
                  <w:proofErr w:type="spellStart"/>
                  <w:r w:rsidRPr="007C2FE0">
                    <w:rPr>
                      <w:rFonts w:ascii="Calibri" w:hAnsi="Calibri"/>
                      <w:b/>
                      <w:bCs/>
                      <w:i/>
                      <w:iCs/>
                      <w:color w:val="1F3864" w:themeColor="accent1" w:themeShade="80"/>
                      <w:sz w:val="17"/>
                    </w:rPr>
                    <w:t>iniciado²</w:t>
                  </w:r>
                  <w:proofErr w:type="spellEnd"/>
                </w:p>
              </w:tc>
              <w:tc>
                <w:tcPr>
                  <w:tcW w:w="1417" w:type="dxa"/>
                </w:tcPr>
                <w:p w14:paraId="01B6585A" w14:textId="17CDF501" w:rsidR="007F03CB" w:rsidRPr="007C2FE0" w:rsidRDefault="007F03CB" w:rsidP="007F03CB">
                  <w:pPr>
                    <w:jc w:val="both"/>
                    <w:rPr>
                      <w:rFonts w:ascii="Calibri" w:hAnsi="Calibri" w:cs="Arial"/>
                      <w:b/>
                      <w:bCs/>
                      <w:i/>
                      <w:iCs/>
                      <w:color w:val="1F3864" w:themeColor="accent1" w:themeShade="80"/>
                      <w:sz w:val="18"/>
                      <w:szCs w:val="20"/>
                      <w:lang w:eastAsia="es-CL"/>
                    </w:rPr>
                  </w:pPr>
                  <w:r w:rsidRPr="007C2FE0">
                    <w:rPr>
                      <w:rFonts w:ascii="Calibri" w:hAnsi="Calibri"/>
                      <w:b/>
                      <w:bCs/>
                      <w:i/>
                      <w:iCs/>
                      <w:color w:val="1F3864" w:themeColor="accent1" w:themeShade="80"/>
                      <w:sz w:val="17"/>
                    </w:rPr>
                    <w:t>Integrar terreno.</w:t>
                  </w:r>
                </w:p>
              </w:tc>
            </w:tr>
            <w:tr w:rsidR="007F03CB" w:rsidRPr="006E3B0D" w14:paraId="54D6AD8E" w14:textId="77777777" w:rsidTr="007F03CB">
              <w:trPr>
                <w:trHeight w:val="535"/>
              </w:trPr>
              <w:tc>
                <w:tcPr>
                  <w:tcW w:w="1258" w:type="dxa"/>
                </w:tcPr>
                <w:p w14:paraId="7683DB78" w14:textId="4ACCF2C8"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lastRenderedPageBreak/>
                    <w:t>Calidad de software</w:t>
                  </w:r>
                </w:p>
              </w:tc>
              <w:tc>
                <w:tcPr>
                  <w:tcW w:w="1307" w:type="dxa"/>
                </w:tcPr>
                <w:p w14:paraId="3B879450" w14:textId="338AC676"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Integración y regresión.</w:t>
                  </w:r>
                </w:p>
              </w:tc>
              <w:tc>
                <w:tcPr>
                  <w:tcW w:w="1082" w:type="dxa"/>
                </w:tcPr>
                <w:p w14:paraId="5B519581" w14:textId="6DEC749B"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Casos y datos controlados.</w:t>
                  </w:r>
                </w:p>
              </w:tc>
              <w:tc>
                <w:tcPr>
                  <w:tcW w:w="1134" w:type="dxa"/>
                </w:tcPr>
                <w:p w14:paraId="63E16AE6" w14:textId="2342530D" w:rsidR="007F03CB" w:rsidRPr="007C2FE0" w:rsidRDefault="007F03CB" w:rsidP="007F03CB">
                  <w:pPr>
                    <w:jc w:val="both"/>
                    <w:rPr>
                      <w:rFonts w:ascii="Calibri" w:hAnsi="Calibri"/>
                      <w:b/>
                      <w:bCs/>
                      <w:i/>
                      <w:iCs/>
                      <w:color w:val="1F3864" w:themeColor="accent1" w:themeShade="80"/>
                      <w:sz w:val="17"/>
                    </w:rPr>
                  </w:pPr>
                  <w:proofErr w:type="spellStart"/>
                  <w:r w:rsidRPr="007C2FE0">
                    <w:rPr>
                      <w:rFonts w:ascii="Calibri" w:hAnsi="Calibri"/>
                      <w:b/>
                      <w:bCs/>
                      <w:i/>
                      <w:iCs/>
                      <w:color w:val="1F3864" w:themeColor="accent1" w:themeShade="80"/>
                      <w:sz w:val="17"/>
                    </w:rPr>
                    <w:t>S13</w:t>
                  </w:r>
                  <w:proofErr w:type="spellEnd"/>
                  <w:r w:rsidRPr="007C2FE0">
                    <w:rPr>
                      <w:rFonts w:ascii="Calibri" w:hAnsi="Calibri"/>
                      <w:b/>
                      <w:bCs/>
                      <w:i/>
                      <w:iCs/>
                      <w:color w:val="1F3864" w:themeColor="accent1" w:themeShade="80"/>
                      <w:sz w:val="17"/>
                    </w:rPr>
                    <w:br/>
                    <w:t>1 semana</w:t>
                  </w:r>
                </w:p>
              </w:tc>
              <w:tc>
                <w:tcPr>
                  <w:tcW w:w="1201" w:type="dxa"/>
                </w:tcPr>
                <w:p w14:paraId="59CEEF1E" w14:textId="4278CD33" w:rsidR="007F03CB" w:rsidRPr="007C2FE0" w:rsidRDefault="007F03CB" w:rsidP="007F03CB">
                  <w:pPr>
                    <w:jc w:val="both"/>
                    <w:rPr>
                      <w:rFonts w:ascii="Calibri" w:hAnsi="Calibri"/>
                      <w:b/>
                      <w:bCs/>
                      <w:i/>
                      <w:iCs/>
                      <w:color w:val="1F3864" w:themeColor="accent1" w:themeShade="80"/>
                      <w:sz w:val="17"/>
                    </w:rPr>
                  </w:pPr>
                  <w:proofErr w:type="spellStart"/>
                  <w:r w:rsidRPr="007C2FE0">
                    <w:rPr>
                      <w:rFonts w:ascii="Calibri" w:hAnsi="Calibri"/>
                      <w:b/>
                      <w:bCs/>
                      <w:i/>
                      <w:iCs/>
                      <w:color w:val="1F3864" w:themeColor="accent1" w:themeShade="80"/>
                      <w:sz w:val="17"/>
                    </w:rPr>
                    <w:t>Equipo¹</w:t>
                  </w:r>
                  <w:proofErr w:type="spellEnd"/>
                </w:p>
              </w:tc>
              <w:tc>
                <w:tcPr>
                  <w:tcW w:w="1287" w:type="dxa"/>
                </w:tcPr>
                <w:p w14:paraId="72B82B83" w14:textId="2F64EF33"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Revisión parcial disponible.</w:t>
                  </w:r>
                </w:p>
              </w:tc>
              <w:tc>
                <w:tcPr>
                  <w:tcW w:w="1090" w:type="dxa"/>
                </w:tcPr>
                <w:p w14:paraId="1E6A23B9" w14:textId="4E3950EB"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En curso</w:t>
                  </w:r>
                </w:p>
              </w:tc>
              <w:tc>
                <w:tcPr>
                  <w:tcW w:w="1417" w:type="dxa"/>
                </w:tcPr>
                <w:p w14:paraId="68E92FAB" w14:textId="07E2159A"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Registrar resultados.</w:t>
                  </w:r>
                </w:p>
              </w:tc>
            </w:tr>
            <w:tr w:rsidR="007F03CB" w:rsidRPr="006E3B0D" w14:paraId="77258F0D" w14:textId="77777777" w:rsidTr="007F03CB">
              <w:trPr>
                <w:trHeight w:val="399"/>
              </w:trPr>
              <w:tc>
                <w:tcPr>
                  <w:tcW w:w="1258" w:type="dxa"/>
                </w:tcPr>
                <w:p w14:paraId="7100AE39" w14:textId="76EDD450"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Entrega técnica</w:t>
                  </w:r>
                </w:p>
              </w:tc>
              <w:tc>
                <w:tcPr>
                  <w:tcW w:w="1307" w:type="dxa"/>
                </w:tcPr>
                <w:p w14:paraId="4228B1ED" w14:textId="1CF7052A"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Despliegue y manuales.</w:t>
                  </w:r>
                </w:p>
              </w:tc>
              <w:tc>
                <w:tcPr>
                  <w:tcW w:w="1082" w:type="dxa"/>
                </w:tcPr>
                <w:p w14:paraId="2E3E9642" w14:textId="4B8DD8B9"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Entorno destino y guías.</w:t>
                  </w:r>
                </w:p>
              </w:tc>
              <w:tc>
                <w:tcPr>
                  <w:tcW w:w="1134" w:type="dxa"/>
                </w:tcPr>
                <w:p w14:paraId="32172E8E" w14:textId="1BC02174" w:rsidR="007F03CB" w:rsidRPr="007C2FE0" w:rsidRDefault="007F03CB" w:rsidP="007F03CB">
                  <w:pPr>
                    <w:jc w:val="both"/>
                    <w:rPr>
                      <w:rFonts w:ascii="Calibri" w:hAnsi="Calibri"/>
                      <w:b/>
                      <w:bCs/>
                      <w:i/>
                      <w:iCs/>
                      <w:color w:val="1F3864" w:themeColor="accent1" w:themeShade="80"/>
                      <w:sz w:val="17"/>
                    </w:rPr>
                  </w:pPr>
                  <w:proofErr w:type="spellStart"/>
                  <w:r w:rsidRPr="007C2FE0">
                    <w:rPr>
                      <w:rFonts w:ascii="Calibri" w:hAnsi="Calibri"/>
                      <w:b/>
                      <w:bCs/>
                      <w:i/>
                      <w:iCs/>
                      <w:color w:val="1F3864" w:themeColor="accent1" w:themeShade="80"/>
                      <w:sz w:val="17"/>
                    </w:rPr>
                    <w:t>S14</w:t>
                  </w:r>
                  <w:proofErr w:type="spellEnd"/>
                  <w:r w:rsidRPr="007C2FE0">
                    <w:rPr>
                      <w:rFonts w:ascii="Calibri" w:hAnsi="Calibri"/>
                      <w:b/>
                      <w:bCs/>
                      <w:i/>
                      <w:iCs/>
                      <w:color w:val="1F3864" w:themeColor="accent1" w:themeShade="80"/>
                      <w:sz w:val="17"/>
                    </w:rPr>
                    <w:br/>
                    <w:t>1 semana</w:t>
                  </w:r>
                </w:p>
              </w:tc>
              <w:tc>
                <w:tcPr>
                  <w:tcW w:w="1201" w:type="dxa"/>
                </w:tcPr>
                <w:p w14:paraId="3E61C97D" w14:textId="34D0165D" w:rsidR="007F03CB" w:rsidRPr="007C2FE0" w:rsidRDefault="007F03CB" w:rsidP="007F03CB">
                  <w:pPr>
                    <w:jc w:val="both"/>
                    <w:rPr>
                      <w:rFonts w:ascii="Calibri" w:hAnsi="Calibri"/>
                      <w:b/>
                      <w:bCs/>
                      <w:i/>
                      <w:iCs/>
                      <w:color w:val="1F3864" w:themeColor="accent1" w:themeShade="80"/>
                      <w:sz w:val="17"/>
                    </w:rPr>
                  </w:pPr>
                  <w:proofErr w:type="spellStart"/>
                  <w:r w:rsidRPr="007C2FE0">
                    <w:rPr>
                      <w:rFonts w:ascii="Calibri" w:hAnsi="Calibri"/>
                      <w:b/>
                      <w:bCs/>
                      <w:i/>
                      <w:iCs/>
                      <w:color w:val="1F3864" w:themeColor="accent1" w:themeShade="80"/>
                      <w:sz w:val="17"/>
                    </w:rPr>
                    <w:t>Equipo¹</w:t>
                  </w:r>
                  <w:proofErr w:type="spellEnd"/>
                </w:p>
              </w:tc>
              <w:tc>
                <w:tcPr>
                  <w:tcW w:w="1287" w:type="dxa"/>
                </w:tcPr>
                <w:p w14:paraId="487B9A53" w14:textId="2DF6C29B"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Sin despliegue acreditado.</w:t>
                  </w:r>
                </w:p>
              </w:tc>
              <w:tc>
                <w:tcPr>
                  <w:tcW w:w="1090" w:type="dxa"/>
                </w:tcPr>
                <w:p w14:paraId="48DC3ACB" w14:textId="6E947F76"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 xml:space="preserve">No </w:t>
                  </w:r>
                  <w:proofErr w:type="spellStart"/>
                  <w:r w:rsidRPr="007C2FE0">
                    <w:rPr>
                      <w:rFonts w:ascii="Calibri" w:hAnsi="Calibri"/>
                      <w:b/>
                      <w:bCs/>
                      <w:i/>
                      <w:iCs/>
                      <w:color w:val="1F3864" w:themeColor="accent1" w:themeShade="80"/>
                      <w:sz w:val="17"/>
                    </w:rPr>
                    <w:t>iniciado²</w:t>
                  </w:r>
                  <w:proofErr w:type="spellEnd"/>
                </w:p>
              </w:tc>
              <w:tc>
                <w:tcPr>
                  <w:tcW w:w="1417" w:type="dxa"/>
                </w:tcPr>
                <w:p w14:paraId="43C85304" w14:textId="51EAB2D3"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Validar instalación.</w:t>
                  </w:r>
                </w:p>
              </w:tc>
            </w:tr>
            <w:tr w:rsidR="007F03CB" w:rsidRPr="006E3B0D" w14:paraId="540F2C1A" w14:textId="77777777" w:rsidTr="007F03CB">
              <w:trPr>
                <w:trHeight w:val="553"/>
              </w:trPr>
              <w:tc>
                <w:tcPr>
                  <w:tcW w:w="1258" w:type="dxa"/>
                </w:tcPr>
                <w:p w14:paraId="40E55376" w14:textId="651BD176"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Comunicación profesional</w:t>
                  </w:r>
                </w:p>
              </w:tc>
              <w:tc>
                <w:tcPr>
                  <w:tcW w:w="1307" w:type="dxa"/>
                </w:tcPr>
                <w:p w14:paraId="38BFBB8C" w14:textId="773F8AE8"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Entrega y defensa final.</w:t>
                  </w:r>
                </w:p>
              </w:tc>
              <w:tc>
                <w:tcPr>
                  <w:tcW w:w="1082" w:type="dxa"/>
                </w:tcPr>
                <w:p w14:paraId="2E8AAFFE" w14:textId="5BC0EDD3"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Informe y evidencias.</w:t>
                  </w:r>
                </w:p>
              </w:tc>
              <w:tc>
                <w:tcPr>
                  <w:tcW w:w="1134" w:type="dxa"/>
                </w:tcPr>
                <w:p w14:paraId="198E7DB7" w14:textId="1370A81F" w:rsidR="007F03CB" w:rsidRPr="007C2FE0" w:rsidRDefault="007F03CB" w:rsidP="007F03CB">
                  <w:pPr>
                    <w:jc w:val="both"/>
                    <w:rPr>
                      <w:rFonts w:ascii="Calibri" w:hAnsi="Calibri"/>
                      <w:b/>
                      <w:bCs/>
                      <w:i/>
                      <w:iCs/>
                      <w:color w:val="1F3864" w:themeColor="accent1" w:themeShade="80"/>
                      <w:sz w:val="17"/>
                    </w:rPr>
                  </w:pPr>
                  <w:proofErr w:type="spellStart"/>
                  <w:r w:rsidRPr="007C2FE0">
                    <w:rPr>
                      <w:rFonts w:ascii="Calibri" w:hAnsi="Calibri"/>
                      <w:b/>
                      <w:bCs/>
                      <w:i/>
                      <w:iCs/>
                      <w:color w:val="1F3864" w:themeColor="accent1" w:themeShade="80"/>
                      <w:sz w:val="17"/>
                    </w:rPr>
                    <w:t>S15</w:t>
                  </w:r>
                  <w:proofErr w:type="spellEnd"/>
                  <w:r w:rsidRPr="007C2FE0">
                    <w:rPr>
                      <w:rFonts w:ascii="Calibri" w:hAnsi="Calibri"/>
                      <w:b/>
                      <w:bCs/>
                      <w:i/>
                      <w:iCs/>
                      <w:color w:val="1F3864" w:themeColor="accent1" w:themeShade="80"/>
                      <w:sz w:val="17"/>
                    </w:rPr>
                    <w:br/>
                    <w:t>1 semana</w:t>
                  </w:r>
                </w:p>
              </w:tc>
              <w:tc>
                <w:tcPr>
                  <w:tcW w:w="1201" w:type="dxa"/>
                </w:tcPr>
                <w:p w14:paraId="0A79922D" w14:textId="63EE7963" w:rsidR="007F03CB" w:rsidRPr="007C2FE0" w:rsidRDefault="007F03CB" w:rsidP="007F03CB">
                  <w:pPr>
                    <w:jc w:val="both"/>
                    <w:rPr>
                      <w:rFonts w:ascii="Calibri" w:hAnsi="Calibri"/>
                      <w:b/>
                      <w:bCs/>
                      <w:i/>
                      <w:iCs/>
                      <w:color w:val="1F3864" w:themeColor="accent1" w:themeShade="80"/>
                      <w:sz w:val="17"/>
                    </w:rPr>
                  </w:pPr>
                  <w:proofErr w:type="spellStart"/>
                  <w:r w:rsidRPr="007C2FE0">
                    <w:rPr>
                      <w:rFonts w:ascii="Calibri" w:hAnsi="Calibri"/>
                      <w:b/>
                      <w:bCs/>
                      <w:i/>
                      <w:iCs/>
                      <w:color w:val="1F3864" w:themeColor="accent1" w:themeShade="80"/>
                      <w:sz w:val="17"/>
                    </w:rPr>
                    <w:t>Equipo¹</w:t>
                  </w:r>
                  <w:proofErr w:type="spellEnd"/>
                </w:p>
              </w:tc>
              <w:tc>
                <w:tcPr>
                  <w:tcW w:w="1287" w:type="dxa"/>
                </w:tcPr>
                <w:p w14:paraId="74E980C4" w14:textId="4EB3B9C9"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Antecedentes de presentación.</w:t>
                  </w:r>
                </w:p>
              </w:tc>
              <w:tc>
                <w:tcPr>
                  <w:tcW w:w="1090" w:type="dxa"/>
                </w:tcPr>
                <w:p w14:paraId="3CFDD6CA" w14:textId="5FEB204B"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En curso</w:t>
                  </w:r>
                </w:p>
              </w:tc>
              <w:tc>
                <w:tcPr>
                  <w:tcW w:w="1417" w:type="dxa"/>
                </w:tcPr>
                <w:p w14:paraId="7125D953" w14:textId="5A42DA00" w:rsidR="007F03CB" w:rsidRPr="007C2FE0" w:rsidRDefault="007F03CB" w:rsidP="007F03CB">
                  <w:pPr>
                    <w:jc w:val="both"/>
                    <w:rPr>
                      <w:rFonts w:ascii="Calibri" w:hAnsi="Calibri"/>
                      <w:b/>
                      <w:bCs/>
                      <w:i/>
                      <w:iCs/>
                      <w:color w:val="1F3864" w:themeColor="accent1" w:themeShade="80"/>
                      <w:sz w:val="17"/>
                    </w:rPr>
                  </w:pPr>
                  <w:r w:rsidRPr="007C2FE0">
                    <w:rPr>
                      <w:rFonts w:ascii="Calibri" w:hAnsi="Calibri"/>
                      <w:b/>
                      <w:bCs/>
                      <w:i/>
                      <w:iCs/>
                      <w:color w:val="1F3864" w:themeColor="accent1" w:themeShade="80"/>
                      <w:sz w:val="17"/>
                    </w:rPr>
                    <w:t>Actualizar alcance.</w:t>
                  </w:r>
                </w:p>
              </w:tc>
            </w:tr>
          </w:tbl>
          <w:p w14:paraId="17CE44DE" w14:textId="1E623C31"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r w:rsidRPr="00371CBB">
              <w:rPr>
                <w:rFonts w:ascii="Calibri" w:hAnsi="Calibri" w:cs="Arial"/>
                <w:i/>
                <w:iCs/>
                <w:color w:val="548DD4"/>
                <w:sz w:val="20"/>
                <w:szCs w:val="20"/>
                <w:lang w:eastAsia="es-CL"/>
              </w:rPr>
              <w:t>Describe los factores que han facilitado y</w:t>
            </w:r>
            <w:r>
              <w:rPr>
                <w:rFonts w:ascii="Calibri" w:hAnsi="Calibri" w:cs="Arial"/>
                <w:i/>
                <w:iCs/>
                <w:color w:val="548DD4"/>
                <w:sz w:val="20"/>
                <w:szCs w:val="20"/>
                <w:lang w:eastAsia="es-CL"/>
              </w:rPr>
              <w:t>/o</w:t>
            </w:r>
            <w:r w:rsidRPr="00371CBB">
              <w:rPr>
                <w:rFonts w:ascii="Calibri" w:hAnsi="Calibri" w:cs="Arial"/>
                <w:i/>
                <w:iCs/>
                <w:color w:val="548DD4"/>
                <w:sz w:val="20"/>
                <w:szCs w:val="20"/>
                <w:lang w:eastAsia="es-CL"/>
              </w:rPr>
              <w:t xml:space="preserve"> dificultado el desarrollo de tu Proyecto APT hasta ahora. En el caso de las dificultades</w:t>
            </w:r>
            <w:r>
              <w:rPr>
                <w:rFonts w:ascii="Calibri" w:hAnsi="Calibri" w:cs="Arial"/>
                <w:i/>
                <w:iCs/>
                <w:color w:val="548DD4"/>
                <w:sz w:val="20"/>
                <w:szCs w:val="20"/>
                <w:lang w:eastAsia="es-CL"/>
              </w:rPr>
              <w:t xml:space="preserve"> debes describir</w:t>
            </w:r>
            <w:r w:rsidRPr="00371CBB">
              <w:rPr>
                <w:rFonts w:ascii="Calibri" w:hAnsi="Calibri" w:cs="Arial"/>
                <w:i/>
                <w:iCs/>
                <w:color w:val="548DD4"/>
                <w:sz w:val="20"/>
                <w:szCs w:val="20"/>
                <w:lang w:eastAsia="es-CL"/>
              </w:rPr>
              <w:t xml:space="preserve"> qué acciones tomaste y/o tomarás para </w:t>
            </w:r>
            <w:r>
              <w:rPr>
                <w:rFonts w:ascii="Calibri" w:hAnsi="Calibri" w:cs="Arial"/>
                <w:i/>
                <w:iCs/>
                <w:color w:val="548DD4"/>
                <w:sz w:val="20"/>
                <w:szCs w:val="20"/>
                <w:lang w:eastAsia="es-CL"/>
              </w:rPr>
              <w:t xml:space="preserve">solucionarlas. </w:t>
            </w:r>
            <w:r>
              <w:rPr>
                <w:rFonts w:ascii="Calibri" w:hAnsi="Calibri"/>
                <w:b/>
                <w:color w:val="1F3864" w:themeColor="accent1" w:themeShade="80"/>
              </w:rPr>
              <w:t xml:space="preserve"> </w:t>
            </w:r>
          </w:p>
          <w:p w14:paraId="5D59214E"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Facilitadores. La definición del flujo de negocio y la separación entre interfaz, API y base de datos han permitido organizar el desarrollo por módulos y reutilizar información de clientes, pedidos, insumos y unidades. Las relaciones de PostgreSQL proporcionan una base común para mantener vinculados eventos, pedidos, recetas y registros comerciales. La interfaz incorpora navegación, filtros, mensajes de carga y errores que favorecen la revisión funcional.</w:t>
            </w:r>
          </w:p>
          <w:p w14:paraId="3F5F88C0"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También facilitan el avance controles ya presentes en el backend: validación de la relación cliente–evento al guardar pedidos, bloqueo del borrado de eventos con pedidos y movimientos de inventario transaccionales. La revisión técnica permitió identificar defectos concretos y convertirlos en tareas priorizadas.</w:t>
            </w:r>
          </w:p>
          <w:p w14:paraId="4F0DF84E"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Dificultades de entorno. La entrega no incluye un listado reproducible de dependencias Python y parte de la documentación describe otro stack. Los modelos de negocio dependen de un esquema SQL y la creación de pedidos requiere una secuencia ausente. Se propone documentar versiones verificadas, configuración y orden de inicialización, y comprobar el sistema en una base nueva. El script completo elimina tablas, por lo que no debe utilizarse sobre la base de trabajo sin una estrategia de respaldo y recuperación.</w:t>
            </w:r>
          </w:p>
          <w:p w14:paraId="65FB97E8"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Dificultades de datos y costos. La interpretación de decimales puede alterar cantidades o rendimiento al editar; además, los totales de cotización y receta requieren recálculo y validación del servidor. Se abordará separando formato de entrada y formato API, definiendo precisión y redondeo, y probando cantidades y precios con resultados conocidos.</w:t>
            </w:r>
          </w:p>
          <w:p w14:paraId="7FFF9BBC"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Dificultades de seguridad e integración. Los controles de permisos varían por módulo y la cuenta de Django no está unificada completamente con el usuario de negocio. Se propone una matriz común por perfil y una identidad consistente para registrar responsables. También deben controlarse transiciones de pedidos y cambios de cliente en eventos relacionados.</w:t>
            </w:r>
          </w:p>
          <w:p w14:paraId="55313032" w14:textId="54765938" w:rsidR="0003309E" w:rsidRPr="00711C16" w:rsidRDefault="007C2FE0" w:rsidP="007C2FE0">
            <w:pPr>
              <w:rPr>
                <w:rFonts w:ascii="Calibri" w:hAnsi="Calibri" w:cs="Arial"/>
                <w:i/>
                <w:color w:val="548DD4"/>
                <w:sz w:val="20"/>
                <w:szCs w:val="20"/>
                <w:lang w:eastAsia="es-CL"/>
              </w:rPr>
            </w:pPr>
            <w:r w:rsidRPr="007C2FE0">
              <w:rPr>
                <w:rFonts w:ascii="Calibri" w:hAnsi="Calibri"/>
                <w:color w:val="1F3864" w:themeColor="accent1" w:themeShade="80"/>
              </w:rPr>
              <w:t xml:space="preserve">Coordinación y mantenimiento. </w:t>
            </w:r>
            <w:proofErr w:type="spellStart"/>
            <w:r w:rsidRPr="007C2FE0">
              <w:rPr>
                <w:rFonts w:ascii="Calibri" w:hAnsi="Calibri"/>
                <w:color w:val="1F3864" w:themeColor="accent1" w:themeShade="80"/>
              </w:rPr>
              <w:t>App.jsx</w:t>
            </w:r>
            <w:proofErr w:type="spellEnd"/>
            <w:r w:rsidRPr="007C2FE0">
              <w:rPr>
                <w:rFonts w:ascii="Calibri" w:hAnsi="Calibri"/>
                <w:color w:val="1F3864" w:themeColor="accent1" w:themeShade="80"/>
              </w:rPr>
              <w:t xml:space="preserve"> concentra múltiples vistas, lo que dificulta revisar cambios simultáneos. Se propone separar componentes por módulo, realizar revisiones cruzadas y comprobar regresión. El seguimiento debe vincular tareas, responsables y evidencias con el repositorio para acreditar avances individuales y colectivos</w:t>
            </w:r>
            <w:r>
              <w:rPr>
                <w:rFonts w:ascii="Calibri" w:hAnsi="Calibri"/>
                <w:color w:val="1F3864" w:themeColor="accent1" w:themeShade="80"/>
              </w:rPr>
              <w:t>.</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2A8FED79"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 xml:space="preserve">Actividades ajustadas o eliminadas: </w:t>
            </w:r>
            <w:r w:rsidR="00521026">
              <w:rPr>
                <w:rFonts w:ascii="Calibri" w:hAnsi="Calibri" w:cs="Arial"/>
                <w:i/>
                <w:color w:val="548DD4"/>
                <w:sz w:val="20"/>
                <w:szCs w:val="20"/>
                <w:lang w:eastAsia="es-CL"/>
              </w:rPr>
              <w:t>Señalar los ajustes</w:t>
            </w:r>
            <w:r w:rsidRPr="00CD38BD">
              <w:rPr>
                <w:rFonts w:ascii="Calibri" w:hAnsi="Calibri" w:cs="Arial"/>
                <w:i/>
                <w:color w:val="548DD4"/>
                <w:sz w:val="20"/>
                <w:szCs w:val="20"/>
                <w:lang w:eastAsia="es-CL"/>
              </w:rPr>
              <w:t xml:space="preserve"> que realizaste a tu plan de trabajo o </w:t>
            </w:r>
            <w:r w:rsidR="00521026">
              <w:rPr>
                <w:rFonts w:ascii="Calibri" w:hAnsi="Calibri" w:cs="Arial"/>
                <w:i/>
                <w:color w:val="548DD4"/>
                <w:sz w:val="20"/>
                <w:szCs w:val="20"/>
                <w:lang w:eastAsia="es-CL"/>
              </w:rPr>
              <w:t>actividades que</w:t>
            </w:r>
            <w:r w:rsidR="004B75F6">
              <w:rPr>
                <w:rFonts w:ascii="Calibri" w:hAnsi="Calibri" w:cs="Arial"/>
                <w:i/>
                <w:color w:val="548DD4"/>
                <w:sz w:val="20"/>
                <w:szCs w:val="20"/>
                <w:lang w:eastAsia="es-CL"/>
              </w:rPr>
              <w:t xml:space="preserve"> eliminaste</w:t>
            </w:r>
            <w:r w:rsidR="00521026">
              <w:rPr>
                <w:rFonts w:ascii="Calibri" w:hAnsi="Calibri" w:cs="Arial"/>
                <w:i/>
                <w:color w:val="548DD4"/>
                <w:sz w:val="20"/>
                <w:szCs w:val="20"/>
                <w:lang w:eastAsia="es-CL"/>
              </w:rPr>
              <w:t xml:space="preserve"> y</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justifica por</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 xml:space="preserve">qué lo hiciste. </w:t>
            </w:r>
            <w:r w:rsidR="00521026">
              <w:t xml:space="preserve"> </w:t>
            </w:r>
            <w:r w:rsidR="00521026" w:rsidRPr="00521026">
              <w:rPr>
                <w:rFonts w:ascii="Calibri" w:hAnsi="Calibri" w:cs="Arial"/>
                <w:i/>
                <w:color w:val="548DD4"/>
                <w:sz w:val="20"/>
                <w:szCs w:val="20"/>
                <w:lang w:eastAsia="es-CL"/>
              </w:rPr>
              <w:t>En el caso de que tu plan de trabajo no haya requerido ni requiera ajustes, justifica esta decisión a partir de los facilitadores que te han permitido desarrollarlo como fue planeado.</w:t>
            </w:r>
          </w:p>
          <w:p w14:paraId="214AFC9C"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Se observa un ajuste tecnológico respecto del arranque: el backend utiliza Django y Django REST Framework, el frontend JavaScript y la autenticación sesiones. La arquitectura conserva interfaz, API y base relacional centralizada. Se actualizarán diagramas, documentación y guía de instalación para reflejar esa implementación.</w:t>
            </w:r>
          </w:p>
          <w:p w14:paraId="54C9A518"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Se propone priorizar la estabilización de instalación, alta de pedidos, decimales, cálculo de costos y permisos antes de ampliar nuevas integraciones. Esta reorganización responde a defectos que pueden propagarse a varios módulos y no elimina los compromisos originales.</w:t>
            </w:r>
          </w:p>
          <w:p w14:paraId="56CF5AF1"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El seguimiento de ventas se separa en consulta ya implementada y registro transaccional pendiente. Inventario distingue movimientos manuales del lector QR y consumo por evento. El cotizador distingue cálculo por fórmulas de integración con fichas, comensales y eventual IA. Esta separación permite declarar el avance real sin considerar terminado un módulo por disponer de una pantalla.</w:t>
            </w:r>
          </w:p>
          <w:p w14:paraId="6BE0A57E"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Debe acordarse la relación cotización–pedido: el proceso inicial cotiza antes de confirmar, mientras la implementación exige seleccionar un pedido existente. Se propone utilizar un pedido preliminar explícito o permitir una cotización independiente que genere el pedido al aceptarse. La decisión debe evitar duplicidad y conservar trazabilidad.</w:t>
            </w:r>
          </w:p>
          <w:p w14:paraId="2439B9BA"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No se propone eliminar la aplicación móvil, el QR, la auditoría ni el motor de reglas, porque pertenecen al alcance original. Su integración se secuenciará después de estabilizar los servicios necesarios. La IA requiere formalizar una solicitud de cambio, ya que el arranque la excluía: deben definirse función, datos, aceptación e impacto en plazos. La versión actual no incorpora IA.</w:t>
            </w:r>
          </w:p>
          <w:p w14:paraId="3B4EBD17" w14:textId="6305DA35" w:rsidR="0003309E"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Las nuevas prioridades y asignaciones deberán quedar registradas en el backlog y calendario del equipo. Los ajustes propuestos no se presentan como acuerdos ya aprobados ni como correcciones ya ejecutadas.</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C9A0274"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Pr="00CD38BD">
              <w:rPr>
                <w:rFonts w:ascii="Calibri" w:hAnsi="Calibri" w:cs="Arial"/>
                <w:i/>
                <w:color w:val="548DD4"/>
                <w:sz w:val="20"/>
                <w:szCs w:val="20"/>
                <w:lang w:eastAsia="es-CL"/>
              </w:rPr>
              <w:t>En caso</w:t>
            </w:r>
            <w:r>
              <w:rPr>
                <w:rFonts w:ascii="Calibri" w:hAnsi="Calibri" w:cs="Arial"/>
                <w:i/>
                <w:color w:val="548DD4"/>
                <w:sz w:val="20"/>
                <w:szCs w:val="20"/>
                <w:lang w:eastAsia="es-CL"/>
              </w:rPr>
              <w:t xml:space="preserve"> de</w:t>
            </w:r>
            <w:r w:rsidRPr="00CD38BD">
              <w:rPr>
                <w:rFonts w:ascii="Calibri" w:hAnsi="Calibri" w:cs="Arial"/>
                <w:i/>
                <w:color w:val="548DD4"/>
                <w:sz w:val="20"/>
                <w:szCs w:val="20"/>
                <w:lang w:eastAsia="es-CL"/>
              </w:rPr>
              <w:t xml:space="preserve"> que </w:t>
            </w:r>
            <w:r w:rsidRPr="00CD38BD">
              <w:rPr>
                <w:rFonts w:ascii="Calibri" w:hAnsi="Calibri" w:cs="Arial"/>
                <w:b/>
                <w:i/>
                <w:color w:val="548DD4"/>
                <w:sz w:val="20"/>
                <w:szCs w:val="20"/>
                <w:lang w:eastAsia="es-CL"/>
              </w:rPr>
              <w:t>no ha</w:t>
            </w:r>
            <w:r>
              <w:rPr>
                <w:rFonts w:ascii="Calibri" w:hAnsi="Calibri" w:cs="Arial"/>
                <w:b/>
                <w:i/>
                <w:color w:val="548DD4"/>
                <w:sz w:val="20"/>
                <w:szCs w:val="20"/>
                <w:lang w:eastAsia="es-CL"/>
              </w:rPr>
              <w:t>yas</w:t>
            </w:r>
            <w:r w:rsidRPr="00CD38BD">
              <w:rPr>
                <w:rFonts w:ascii="Calibri" w:hAnsi="Calibri" w:cs="Arial"/>
                <w:b/>
                <w:i/>
                <w:color w:val="548DD4"/>
                <w:sz w:val="20"/>
                <w:szCs w:val="20"/>
                <w:lang w:eastAsia="es-CL"/>
              </w:rPr>
              <w:t xml:space="preserve"> iniciado actividades o est</w:t>
            </w:r>
            <w:r>
              <w:rPr>
                <w:rFonts w:ascii="Calibri" w:hAnsi="Calibri" w:cs="Arial"/>
                <w:b/>
                <w:i/>
                <w:color w:val="548DD4"/>
                <w:sz w:val="20"/>
                <w:szCs w:val="20"/>
                <w:lang w:eastAsia="es-CL"/>
              </w:rPr>
              <w:t>é</w:t>
            </w:r>
            <w:r w:rsidRPr="00CD38BD">
              <w:rPr>
                <w:rFonts w:ascii="Calibri" w:hAnsi="Calibri" w:cs="Arial"/>
                <w:b/>
                <w:i/>
                <w:color w:val="548DD4"/>
                <w:sz w:val="20"/>
                <w:szCs w:val="20"/>
                <w:lang w:eastAsia="es-CL"/>
              </w:rPr>
              <w:t>n retrasadas</w:t>
            </w:r>
            <w:r w:rsidRPr="00CD38BD">
              <w:rPr>
                <w:rFonts w:ascii="Calibri" w:hAnsi="Calibri" w:cs="Arial"/>
                <w:i/>
                <w:color w:val="548DD4"/>
                <w:sz w:val="20"/>
                <w:szCs w:val="20"/>
                <w:lang w:eastAsia="es-CL"/>
              </w:rPr>
              <w:t xml:space="preserve"> de acuerdo a tu planificación</w:t>
            </w:r>
            <w:r>
              <w:rPr>
                <w:rFonts w:ascii="Calibri" w:hAnsi="Calibri" w:cs="Arial"/>
                <w:i/>
                <w:color w:val="548DD4"/>
                <w:sz w:val="20"/>
                <w:szCs w:val="20"/>
                <w:lang w:eastAsia="es-CL"/>
              </w:rPr>
              <w:t>,</w:t>
            </w:r>
            <w:r w:rsidRPr="00CD38BD">
              <w:rPr>
                <w:rFonts w:ascii="Calibri" w:hAnsi="Calibri" w:cs="Arial"/>
                <w:i/>
                <w:color w:val="548DD4"/>
                <w:sz w:val="20"/>
                <w:szCs w:val="20"/>
                <w:lang w:eastAsia="es-CL"/>
              </w:rPr>
              <w:t xml:space="preserve"> señala los motivos por lo</w:t>
            </w:r>
            <w:r>
              <w:rPr>
                <w:rFonts w:ascii="Calibri" w:hAnsi="Calibri" w:cs="Arial"/>
                <w:i/>
                <w:color w:val="548DD4"/>
                <w:sz w:val="20"/>
                <w:szCs w:val="20"/>
                <w:lang w:eastAsia="es-CL"/>
              </w:rPr>
              <w:t>s</w:t>
            </w:r>
            <w:r w:rsidRPr="00CD38BD">
              <w:rPr>
                <w:rFonts w:ascii="Calibri" w:hAnsi="Calibri" w:cs="Arial"/>
                <w:i/>
                <w:color w:val="548DD4"/>
                <w:sz w:val="20"/>
                <w:szCs w:val="20"/>
                <w:lang w:eastAsia="es-CL"/>
              </w:rPr>
              <w:t xml:space="preserve"> que no has podido cumplir dichos plazos y qué estrategias utilizarás para avanzar en dichas actividades y no afectar tu proyecto APT. </w:t>
            </w:r>
          </w:p>
          <w:p w14:paraId="79DF6639"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En la última versión entregada no se identifica una aplicación móvil operativa, lector QR ni los flujos completos de checklist e incidencias. Tampoco se acredita un despliegue final. La auditoría automática transversal y el motor de riesgo por evento permanecen pendientes, aunque existan tablas o modelos relacionados.</w:t>
            </w:r>
          </w:p>
          <w:p w14:paraId="0A619B76"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Las actividades iniciadas que requieren cierre son la creación y máquina de estados de pedidos, el tratamiento decimal de fichas y recetas, el cálculo confiable y detalle persistente de cotizaciones, el consumo de inventario por evento, el registro de ventas y pagos, los indicadores financieros y las pruebas integradas. Su estado es En curso y debe actualizarse con resultados verificables.</w:t>
            </w:r>
          </w:p>
          <w:p w14:paraId="5D95AFFE"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 xml:space="preserve">El código no permite establecer por sí solo los motivos históricos de una demora ni confirmar incumplimiento de fechas. Para determinar qué actividades están formalmente retrasadas se debe contrastar el calendario aprobado con los registros del equipo. Las dependencias técnicas identificadas </w:t>
            </w:r>
            <w:r w:rsidRPr="007C2FE0">
              <w:rPr>
                <w:rFonts w:ascii="Calibri" w:hAnsi="Calibri"/>
                <w:color w:val="1F3864" w:themeColor="accent1" w:themeShade="80"/>
              </w:rPr>
              <w:lastRenderedPageBreak/>
              <w:t>son la instalación reproducible, coherencia de datos, reglas económicas y permisos; requieren resolverse para integrar de forma segura los módulos pendientes.</w:t>
            </w:r>
          </w:p>
          <w:p w14:paraId="528D90F8" w14:textId="77777777" w:rsidR="007C2FE0"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La estrategia de continuidad será: primero completar el entorno y la secuencia de pedidos; luego corregir decimales y cálculo en servidor; después unificar permisos y transiciones; posteriormente integrar producción, cotización, inventario y registro comercial; y finalmente completar terreno, indicadores y despliegue. Cada tarea tendrá responsable confirmado, fecha y criterio de aceptación.</w:t>
            </w:r>
          </w:p>
          <w:p w14:paraId="47ABBD27" w14:textId="0B337719" w:rsidR="0003309E" w:rsidRPr="007C2FE0" w:rsidRDefault="007C2FE0" w:rsidP="007C2FE0">
            <w:pPr>
              <w:rPr>
                <w:rFonts w:ascii="Calibri" w:hAnsi="Calibri"/>
                <w:color w:val="1F3864" w:themeColor="accent1" w:themeShade="80"/>
              </w:rPr>
            </w:pPr>
            <w:r w:rsidRPr="007C2FE0">
              <w:rPr>
                <w:rFonts w:ascii="Calibri" w:hAnsi="Calibri"/>
                <w:color w:val="1F3864" w:themeColor="accent1" w:themeShade="80"/>
              </w:rPr>
              <w:t>Para evitar acumulación de pendientes se propone revisar el backlog semanalmente, realizar entregas pequeñas y reservar tiempo para regresión y documentación. Las pruebas deberán comprobar interfaz, API y persistencia con datos controlados. Los resultados y capturas se incorporarán en el apartado separado de evidencias. Si el calendario no permite sostener todos los compromisos, se formalizará una replanificación con el docente, sin omitir actividades del alcance de manera implícita.</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A954F" w14:textId="77777777" w:rsidR="009B6F4E" w:rsidRDefault="009B6F4E" w:rsidP="0003309E">
      <w:pPr>
        <w:spacing w:after="0" w:line="240" w:lineRule="auto"/>
      </w:pPr>
      <w:r>
        <w:separator/>
      </w:r>
    </w:p>
  </w:endnote>
  <w:endnote w:type="continuationSeparator" w:id="0">
    <w:p w14:paraId="355E7601" w14:textId="77777777" w:rsidR="009B6F4E" w:rsidRDefault="009B6F4E"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6CD04" w14:textId="77777777" w:rsidR="009B6F4E" w:rsidRDefault="009B6F4E" w:rsidP="0003309E">
      <w:pPr>
        <w:spacing w:after="0" w:line="240" w:lineRule="auto"/>
      </w:pPr>
      <w:r>
        <w:separator/>
      </w:r>
    </w:p>
  </w:footnote>
  <w:footnote w:type="continuationSeparator" w:id="0">
    <w:p w14:paraId="23F233A4" w14:textId="77777777" w:rsidR="009B6F4E" w:rsidRDefault="009B6F4E" w:rsidP="0003309E">
      <w:pPr>
        <w:spacing w:after="0" w:line="240" w:lineRule="auto"/>
      </w:pPr>
      <w:r>
        <w:continuationSeparator/>
      </w:r>
    </w:p>
  </w:footnote>
  <w:footnote w:id="1">
    <w:p w14:paraId="78245746" w14:textId="77777777" w:rsidR="007F03CB" w:rsidRPr="002819E3" w:rsidRDefault="007F03CB" w:rsidP="007F03CB">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75591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022BE"/>
    <w:rsid w:val="00145B36"/>
    <w:rsid w:val="00147283"/>
    <w:rsid w:val="001541C0"/>
    <w:rsid w:val="00245C73"/>
    <w:rsid w:val="003608EA"/>
    <w:rsid w:val="00470CE4"/>
    <w:rsid w:val="004B75F6"/>
    <w:rsid w:val="004B7F25"/>
    <w:rsid w:val="00521026"/>
    <w:rsid w:val="00545F23"/>
    <w:rsid w:val="00563B43"/>
    <w:rsid w:val="00586C9C"/>
    <w:rsid w:val="005A0A7C"/>
    <w:rsid w:val="005B4D4A"/>
    <w:rsid w:val="00603474"/>
    <w:rsid w:val="00675035"/>
    <w:rsid w:val="00675A73"/>
    <w:rsid w:val="006858A7"/>
    <w:rsid w:val="00695E7C"/>
    <w:rsid w:val="006B242E"/>
    <w:rsid w:val="007C2FE0"/>
    <w:rsid w:val="007F03CB"/>
    <w:rsid w:val="00806DE0"/>
    <w:rsid w:val="0081536B"/>
    <w:rsid w:val="008479F5"/>
    <w:rsid w:val="0085275A"/>
    <w:rsid w:val="00873AE9"/>
    <w:rsid w:val="008F621F"/>
    <w:rsid w:val="009378F7"/>
    <w:rsid w:val="00950BA3"/>
    <w:rsid w:val="009552E5"/>
    <w:rsid w:val="00976ABB"/>
    <w:rsid w:val="00984FDD"/>
    <w:rsid w:val="009B6F4E"/>
    <w:rsid w:val="009E52DF"/>
    <w:rsid w:val="00AB3B79"/>
    <w:rsid w:val="00B31361"/>
    <w:rsid w:val="00B4258F"/>
    <w:rsid w:val="00B8164D"/>
    <w:rsid w:val="00B93ABA"/>
    <w:rsid w:val="00B96242"/>
    <w:rsid w:val="00BE1024"/>
    <w:rsid w:val="00C20F3D"/>
    <w:rsid w:val="00C44557"/>
    <w:rsid w:val="00C5122E"/>
    <w:rsid w:val="00CE0AA8"/>
    <w:rsid w:val="00D67975"/>
    <w:rsid w:val="00D714E2"/>
    <w:rsid w:val="00DF3386"/>
    <w:rsid w:val="00E43361"/>
    <w:rsid w:val="00E50368"/>
    <w:rsid w:val="00EA0C09"/>
    <w:rsid w:val="00EA5D81"/>
    <w:rsid w:val="00F149FD"/>
    <w:rsid w:val="00FA1C59"/>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2">
    <w:name w:val="heading 2"/>
    <w:basedOn w:val="Normal"/>
    <w:next w:val="Normal"/>
    <w:link w:val="Ttulo2Car"/>
    <w:uiPriority w:val="9"/>
    <w:semiHidden/>
    <w:unhideWhenUsed/>
    <w:qFormat/>
    <w:rsid w:val="00EA5D8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customStyle="1" w:styleId="Ttulo2Car">
    <w:name w:val="Título 2 Car"/>
    <w:basedOn w:val="Fuentedeprrafopredeter"/>
    <w:link w:val="Ttulo2"/>
    <w:uiPriority w:val="9"/>
    <w:semiHidden/>
    <w:rsid w:val="00EA5D8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2803</Words>
  <Characters>15422</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MADELAINE . ESCOBAR DURAN</cp:lastModifiedBy>
  <cp:revision>2</cp:revision>
  <dcterms:created xsi:type="dcterms:W3CDTF">2026-10-21T04:00:00Z</dcterms:created>
  <dcterms:modified xsi:type="dcterms:W3CDTF">2026-10-21T04:00:00Z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