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3"/>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start="72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r>
    </w:p>
    <w:p>
      <w:pPr>
        <w:pStyle w:val="BodyText"/>
        <w:numPr>
          <w:ilvl w:val="0"/>
          <w:numId w:val="3"/>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3"/>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3"/>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3"/>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3"/>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3"/>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3"/>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3"/>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904"/>
        <w:gridCol w:w="2578"/>
        <w:gridCol w:w="2577"/>
        <w:gridCol w:w="2569"/>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8"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Use Cases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b/>
          <w:bCs/>
        </w:rPr>
        <w:t>Publication</w:t>
      </w:r>
    </w:p>
    <w:p>
      <w:pPr>
        <w:pStyle w:val="normal1"/>
        <w:rPr>
          <w:b/>
          <w:bCs/>
        </w:rPr>
      </w:pPr>
      <w:r>
        <w:rPr>
          <w:b/>
          <w:bCs/>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 in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1" w:name="__DdeLink__2403_2503287465"/>
      <w:r>
        <w:rPr>
          <w:i/>
        </w:rPr>
        <w:t>Number of EU Countries with National Investments in Open Access to Publications per 1000 FTE Researchers</w:t>
      </w:r>
      <w:bookmarkEnd w:id="1"/>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since Survey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2" w:name="__DdeLink__4078_473164209"/>
      <w:r>
        <w:rPr>
          <w:i/>
          <w:iCs/>
        </w:rPr>
        <w:t>national policy on data management</w:t>
      </w:r>
      <w:bookmarkEnd w:id="2"/>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3" w:name="_Hlk213851171"/>
      <w:r>
        <w:rPr/>
        <w:t>{</w:t>
      </w:r>
      <w:r>
        <w:rPr>
          <w:highlight w:val="yellow"/>
        </w:rPr>
        <w:t>Year}</w:t>
      </w:r>
      <w:r>
        <w:rPr/>
        <w:t xml:space="preserve"> </w:t>
      </w:r>
      <w:bookmarkEnd w:id="3"/>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 in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lYear} in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Question10[3]</w:t>
      </w:r>
      <w:r>
        <w:rPr/>
        <w:t>} since Survey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Question14[3]</w:t>
      </w:r>
      <w:r>
        <w:rPr/>
        <w:t>} since Survey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Question18[3]</w:t>
      </w:r>
      <w:r>
        <w:rPr/>
        <w:t>} since Survey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since Survey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since Survey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since Survey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since Survey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since Survey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since Survey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Question60_trend[0]</w:t>
      </w:r>
      <w:r>
        <w:rPr/>
        <w:t>} in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Question60_trend[1]</w:t>
      </w:r>
      <w:r>
        <w:rPr/>
        <w:t>} since Survey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Question64_trend[0]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Question64_trend[1]</w:t>
      </w:r>
      <w:r>
        <w:rPr/>
        <w:t>} since Survey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since Survey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lYear} in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Question22[3]</w:t>
      </w:r>
      <w:r>
        <w:rPr/>
        <w:t>} since Survey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since Survey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since Survey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since Survey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63: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64: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65 and 66.</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65: Map of EU Countries with a National Policy on Long-Term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66: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shd w:fill="FFFF00" w:val="clear"/>
        </w:rPr>
        <w:t>Question31</w:t>
      </w:r>
      <w:r>
        <w:rPr/>
        <w:t>} of responding EU countries have a financial strategy on connecting repositories to EOSC as shown in Figures 67 and 68.</w:t>
      </w:r>
    </w:p>
    <w:p>
      <w:pPr>
        <w:pStyle w:val="normal2"/>
        <w:widowControl w:val="false"/>
        <w:spacing w:lineRule="auto" w:line="240"/>
        <w:rPr/>
      </w:pPr>
      <w:r>
        <w:rPr/>
      </w:r>
    </w:p>
    <w:p>
      <w:pPr>
        <w:pStyle w:val="normal1"/>
        <w:jc w:val="center"/>
        <w:rPr>
          <w:i/>
          <w:i/>
        </w:rPr>
      </w:pPr>
      <w:r>
        <w:rPr>
          <w:i/>
          <w:highlight w:val="yellow"/>
        </w:rPr>
        <w:t>{%chartImage58}</w:t>
      </w:r>
    </w:p>
    <w:p>
      <w:pPr>
        <w:pStyle w:val="normal2"/>
        <w:jc w:val="center"/>
        <w:rPr/>
      </w:pPr>
      <w:r>
        <w:rPr/>
      </w:r>
    </w:p>
    <w:p>
      <w:pPr>
        <w:pStyle w:val="normal2"/>
        <w:jc w:val="center"/>
        <w:rPr/>
      </w:pPr>
      <w:r>
        <w:rPr>
          <w:i/>
          <w:iCs/>
        </w:rPr>
        <w:t>Figure 67: Map of EU Countries with a Financial Strategy on Connecting Repositories to EOSC</w:t>
      </w:r>
    </w:p>
    <w:p>
      <w:pPr>
        <w:pStyle w:val="normal2"/>
        <w:widowControl w:val="false"/>
        <w:spacing w:lineRule="auto" w:line="240"/>
        <w:rPr/>
      </w:pPr>
      <w:r>
        <w:rPr/>
      </w:r>
    </w:p>
    <w:p>
      <w:pPr>
        <w:pStyle w:val="normal1"/>
        <w:jc w:val="center"/>
        <w:rPr>
          <w:i/>
          <w:i/>
        </w:rPr>
      </w:pPr>
      <w:r>
        <w:rPr>
          <w:i/>
          <w:highlight w:val="yellow"/>
        </w:rPr>
        <w:t>{%pieChartImage_57_0}</w:t>
      </w:r>
    </w:p>
    <w:p>
      <w:pPr>
        <w:pStyle w:val="normal2"/>
        <w:jc w:val="center"/>
        <w:rPr/>
      </w:pPr>
      <w:r>
        <w:rPr/>
      </w:r>
    </w:p>
    <w:p>
      <w:pPr>
        <w:pStyle w:val="normal2"/>
        <w:jc w:val="center"/>
        <w:rPr/>
      </w:pPr>
      <w:r>
        <w:rPr>
          <w:i/>
          <w:iCs/>
        </w:rPr>
        <w:t>Figure 68: Share of EU Countries with a Financial Strategy on Connecting Repositories to EOSC</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69 and 70.</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69: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70: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71 and 72.</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71: Map of EU Countries with a Financial Strategy on Long-Term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72: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73 and 74.</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73: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74: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75 and 76.</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75: Map of EU Countries with a National Monitoring on Long-Term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76: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t>{</w:t>
      </w:r>
      <w:r>
        <w:rPr>
          <w:highlight w:val="yellow"/>
        </w:rPr>
        <w:t>Fisca</w:t>
      </w:r>
      <w:r>
        <w:rPr>
          <w:i/>
          <w:iCs/>
        </w:rPr>
        <w:t>lYear} in millions of Euros?</w:t>
      </w:r>
      <w:r>
        <w:rPr/>
        <w:t xml:space="preserve"> (Q75). {</w:t>
      </w:r>
      <w:r>
        <w:rPr>
          <w:highlight w:val="yellow"/>
        </w:rPr>
        <w:t>Question80[0]}</w:t>
      </w:r>
      <w:r>
        <w:rPr/>
        <w:t xml:space="preserve"> of responding EU countries are not investing or have not stated the number of investments in connecting repositories to EOSC. {</w:t>
      </w:r>
      <w:r>
        <w:rPr>
          <w:highlight w:val="yellow"/>
        </w:rPr>
        <w:t>Question80[1]}</w:t>
      </w:r>
      <w:r>
        <w:rPr/>
        <w:t xml:space="preserve"> of EU countries invested &gt;0 to 50 €K, {</w:t>
      </w:r>
      <w:r>
        <w:rPr>
          <w:highlight w:val="yellow"/>
        </w:rPr>
        <w:t>Question80[2]}</w:t>
      </w:r>
      <w:r>
        <w:rPr/>
        <w:t xml:space="preserve"> &gt;50 to 100 €K, {</w:t>
      </w:r>
      <w:r>
        <w:rPr>
          <w:highlight w:val="yellow"/>
        </w:rPr>
        <w:t>Question80[3]}</w:t>
      </w:r>
      <w:r>
        <w:rPr/>
        <w:t xml:space="preserve"> &gt;100 to 250 €K, {</w:t>
      </w:r>
      <w:r>
        <w:rPr>
          <w:highlight w:val="yellow"/>
        </w:rPr>
        <w:t>Question80[4]}</w:t>
      </w:r>
      <w:r>
        <w:rPr/>
        <w:t xml:space="preserve"> &gt;250 to 500 €K, {</w:t>
      </w:r>
      <w:r>
        <w:rPr>
          <w:highlight w:val="yellow"/>
        </w:rPr>
        <w:t>Question80[5]}</w:t>
      </w:r>
      <w:r>
        <w:rPr/>
        <w:t xml:space="preserve"> &gt;500 to 1000 €K, and {</w:t>
      </w:r>
      <w:r>
        <w:rPr>
          <w:highlight w:val="yellow"/>
        </w:rPr>
        <w:t>Question80[6]}</w:t>
      </w:r>
      <w:r>
        <w:rPr/>
        <w:t xml:space="preserve"> &gt;1000 €K per 1000 FTE researchers as shown in Figure 77.</w:t>
      </w:r>
    </w:p>
    <w:p>
      <w:pPr>
        <w:pStyle w:val="normal2"/>
        <w:widowControl w:val="false"/>
        <w:spacing w:lineRule="auto" w:line="240"/>
        <w:rPr/>
      </w:pPr>
      <w:r>
        <w:rPr/>
      </w:r>
    </w:p>
    <w:p>
      <w:pPr>
        <w:pStyle w:val="normal1"/>
        <w:jc w:val="center"/>
        <w:rPr>
          <w:i/>
          <w:i/>
        </w:rPr>
      </w:pPr>
      <w:r>
        <w:rPr>
          <w:i/>
          <w:highlight w:val="yellow"/>
        </w:rPr>
        <w:t>{%chartImage64}</w:t>
      </w:r>
    </w:p>
    <w:p>
      <w:pPr>
        <w:pStyle w:val="normal2"/>
        <w:jc w:val="center"/>
        <w:rPr/>
      </w:pPr>
      <w:r>
        <w:rPr/>
      </w:r>
    </w:p>
    <w:p>
      <w:pPr>
        <w:pStyle w:val="normal2"/>
        <w:jc w:val="center"/>
        <w:rPr/>
      </w:pPr>
      <w:r>
        <w:rPr>
          <w:i/>
          <w:iCs/>
        </w:rPr>
        <w:t>Figure 77: Number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lYear} in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&gt;250 to 500 €K, {</w:t>
      </w:r>
      <w:r>
        <w:rPr>
          <w:highlight w:val="yellow"/>
        </w:rPr>
        <w:t>Question84[5]}</w:t>
      </w:r>
      <w:r>
        <w:rPr/>
        <w:t xml:space="preserve"> &gt;500 to 1000 €K, and {</w:t>
      </w:r>
      <w:r>
        <w:rPr>
          <w:highlight w:val="yellow"/>
        </w:rPr>
        <w:t>Question84[6]}</w:t>
      </w:r>
      <w:r>
        <w:rPr/>
        <w:t xml:space="preserve"> &gt;1000 €K per 1000 FTE researchers as shown in Figure 78.</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78: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lYear}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79.</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79: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Question34[3]}</w:t>
      </w:r>
      <w:r>
        <w:rPr/>
        <w:t xml:space="preserve"> since Survey 2022 as shown in Figure 80.</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80: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Question38[3]}</w:t>
      </w:r>
      <w:r>
        <w:rPr/>
        <w:t xml:space="preserve"> since Survey 2022 as shown in Figure 81.</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81: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Question31[0]}</w:t>
      </w:r>
      <w:r>
        <w:rPr/>
        <w:t xml:space="preserve"> in financial strategies on connecting repositories to EOSC in {</w:t>
      </w:r>
      <w:r>
        <w:rPr>
          <w:highlight w:val="yellow"/>
        </w:rPr>
        <w:t>Year}</w:t>
      </w:r>
      <w:r>
        <w:rPr/>
        <w:t xml:space="preserve"> from the previous year and {</w:t>
      </w:r>
      <w:r>
        <w:rPr>
          <w:highlight w:val="yellow"/>
        </w:rPr>
        <w:t>Question31[1]}</w:t>
      </w:r>
      <w:r>
        <w:rPr/>
        <w:t xml:space="preserve"> since Survey 2022 as shown in Figure 82.</w:t>
      </w:r>
    </w:p>
    <w:p>
      <w:pPr>
        <w:pStyle w:val="normal2"/>
        <w:widowControl w:val="false"/>
        <w:spacing w:lineRule="auto" w:line="240"/>
        <w:rPr/>
      </w:pPr>
      <w:r>
        <w:rPr/>
      </w:r>
    </w:p>
    <w:p>
      <w:pPr>
        <w:pStyle w:val="normal1"/>
        <w:jc w:val="center"/>
        <w:rPr>
          <w:i/>
          <w:i/>
        </w:rPr>
      </w:pPr>
      <w:r>
        <w:rPr>
          <w:i/>
          <w:highlight w:val="yellow"/>
        </w:rPr>
        <w:t>{%chartImage70}</w:t>
      </w:r>
    </w:p>
    <w:p>
      <w:pPr>
        <w:pStyle w:val="normal2"/>
        <w:jc w:val="center"/>
        <w:rPr/>
      </w:pPr>
      <w:r>
        <w:rPr/>
      </w:r>
    </w:p>
    <w:p>
      <w:pPr>
        <w:pStyle w:val="normal2"/>
        <w:jc w:val="center"/>
        <w:rPr/>
      </w:pPr>
      <w:r>
        <w:rPr>
          <w:i/>
          <w:iCs/>
        </w:rPr>
        <w:t>Figure 82: Progress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83.</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83: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84.</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84: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Question78[0]}</w:t>
      </w:r>
      <w:r>
        <w:rPr/>
        <w:t xml:space="preserve"> in national monitoring on connecting repositories to EOSC in EU countr</w:t>
      </w:r>
      <w:r>
        <w:rPr>
          <w:shd w:fill="auto" w:val="clear"/>
        </w:rPr>
        <w:t>ies in Survey {</w:t>
      </w:r>
      <w:r>
        <w:rPr>
          <w:highlight w:val="yellow"/>
        </w:rPr>
        <w:t>Year}</w:t>
      </w:r>
      <w:r>
        <w:rPr/>
        <w:t xml:space="preserve"> from the previous year and {</w:t>
      </w:r>
      <w:r>
        <w:rPr>
          <w:highlight w:val="yellow"/>
        </w:rPr>
        <w:t>Question78[1]}</w:t>
      </w:r>
      <w:r>
        <w:rPr/>
        <w:t xml:space="preserve"> since Survey 2022 as shown in Figure 85.</w:t>
      </w:r>
    </w:p>
    <w:p>
      <w:pPr>
        <w:pStyle w:val="normal2"/>
        <w:widowControl w:val="false"/>
        <w:spacing w:lineRule="auto" w:line="240"/>
        <w:rPr/>
      </w:pPr>
      <w:r>
        <w:rPr/>
      </w:r>
    </w:p>
    <w:p>
      <w:pPr>
        <w:pStyle w:val="normal1"/>
        <w:jc w:val="center"/>
        <w:rPr>
          <w:i/>
          <w:i/>
        </w:rPr>
      </w:pPr>
      <w:r>
        <w:rPr>
          <w:i/>
          <w:highlight w:val="yellow"/>
        </w:rPr>
        <w:t>{%chartImage73}</w:t>
      </w:r>
    </w:p>
    <w:p>
      <w:pPr>
        <w:pStyle w:val="normal2"/>
        <w:jc w:val="center"/>
        <w:rPr/>
      </w:pPr>
      <w:r>
        <w:rPr/>
      </w:r>
    </w:p>
    <w:p>
      <w:pPr>
        <w:pStyle w:val="normal2"/>
        <w:jc w:val="center"/>
        <w:rPr/>
      </w:pPr>
      <w:r>
        <w:rPr>
          <w:i/>
          <w:iCs/>
        </w:rPr>
        <w:t>Figure 85: Progress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86.</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86: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87.</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87: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Question80_trend[0]</w:t>
      </w:r>
      <w:r>
        <w:rPr/>
        <w:t>} in national investments in connecting repositories to EOSC per 1000 FTE researchers in EU countr</w:t>
      </w:r>
      <w:r>
        <w:rPr>
          <w:shd w:fill="auto" w:val="clear"/>
        </w:rPr>
        <w:t>ies in Survey {</w:t>
      </w:r>
      <w:r>
        <w:rPr>
          <w:highlight w:val="yellow"/>
        </w:rPr>
        <w:t>Year}</w:t>
      </w:r>
      <w:r>
        <w:rPr/>
        <w:t xml:space="preserve"> from the previous year and {</w:t>
      </w:r>
      <w:r>
        <w:rPr>
          <w:highlight w:val="yellow"/>
        </w:rPr>
        <w:t>Question80_trend[1]</w:t>
      </w:r>
      <w:r>
        <w:rPr/>
        <w:t>} since Survey 2022 as shown in Figure 88.</w:t>
      </w:r>
    </w:p>
    <w:p>
      <w:pPr>
        <w:pStyle w:val="normal2"/>
        <w:widowControl w:val="false"/>
        <w:spacing w:lineRule="auto" w:line="240"/>
        <w:rPr/>
      </w:pPr>
      <w:r>
        <w:rPr/>
      </w:r>
    </w:p>
    <w:p>
      <w:pPr>
        <w:pStyle w:val="normal1"/>
        <w:jc w:val="center"/>
        <w:rPr>
          <w:i/>
          <w:i/>
        </w:rPr>
      </w:pPr>
      <w:r>
        <w:rPr>
          <w:i/>
          <w:highlight w:val="yellow"/>
        </w:rPr>
        <w:t>{%chartImage76}</w:t>
      </w:r>
    </w:p>
    <w:p>
      <w:pPr>
        <w:pStyle w:val="normal2"/>
        <w:jc w:val="center"/>
        <w:rPr/>
      </w:pPr>
      <w:r>
        <w:rPr/>
      </w:r>
    </w:p>
    <w:p>
      <w:pPr>
        <w:pStyle w:val="normal2"/>
        <w:jc w:val="center"/>
        <w:rPr/>
      </w:pPr>
      <w:r>
        <w:rPr>
          <w:i/>
          <w:iCs/>
        </w:rPr>
        <w:t>Figure 88: Progress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since Survey 2022 as shown in Figure 89.</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89: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since Survey 2022 as shown in Figure 90.</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90: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91 and 92.</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91: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92: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93 and 94.</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93: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94: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95 and 96.</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95: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96: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lYear} in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97.</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97: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Question42[3]}</w:t>
      </w:r>
      <w:r>
        <w:rPr/>
        <w:t xml:space="preserve"> since Survey 2022 as shown in Figure 98.</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98: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99.</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99: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since Survey 2022 as shown in Figure 100.</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100: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since Survey 2022 as shown in Figure 101.</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101: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102 and 103.</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102: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103: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104 and 105.</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104: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105: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106 and 107.</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106: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107: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alYear} in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108.</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108: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Question46[3]}</w:t>
      </w:r>
      <w:r>
        <w:rPr/>
        <w:t xml:space="preserve"> since Survey 2022 as shown in Figure 109.</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109: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110.</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110: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Question94[1]}</w:t>
      </w:r>
      <w:r>
        <w:rPr/>
        <w:t xml:space="preserve"> since Survey 2022 as shown in Figure 111.</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111: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since Survey 2022 as shown in Figure 112.</w:t>
      </w:r>
    </w:p>
    <w:p>
      <w:pPr>
        <w:pStyle w:val="normal2"/>
        <w:widowControl w:val="false"/>
        <w:spacing w:lineRule="auto" w:line="240"/>
        <w:rPr/>
      </w:pPr>
      <w:r>
        <w:rPr/>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112: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113 and 114.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113: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114: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115 and 116.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115: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116: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117 and 118.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117: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118: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shd w:fill="FFFF00" w:val="clear"/>
        </w:rPr>
        <w:t>Fisca</w:t>
      </w:r>
      <w:r>
        <w:rPr>
          <w:i/>
          <w:iCs/>
          <w:shd w:fill="FFFF00" w:val="clear"/>
          <w:lang w:eastAsia="en-GB" w:bidi="ar-SA"/>
        </w:rPr>
        <w:t>lYear</w:t>
      </w:r>
      <w:r>
        <w:rPr>
          <w:i/>
          <w:iCs/>
          <w:lang w:eastAsia="en-GB" w:bidi="ar-SA"/>
        </w:rPr>
        <w:t>} in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119.</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119: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from the previous year</w:t>
      </w:r>
      <w:r>
        <w:rPr>
          <w:lang w:eastAsia="en-GB" w:bidi="ar-SA"/>
        </w:rPr>
        <w:t xml:space="preserve"> and </w:t>
      </w:r>
      <w:r>
        <w:rPr/>
        <w:t>{</w:t>
      </w:r>
      <w:r>
        <w:rPr>
          <w:highlight w:val="yellow"/>
        </w:rPr>
        <w:t>Question50[3]}</w:t>
      </w:r>
      <w:r>
        <w:rPr>
          <w:lang w:eastAsia="en-GB" w:bidi="ar-SA"/>
        </w:rPr>
        <w:t xml:space="preserve"> since Survey 2022 as shown in Figure 120.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120: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121.</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121: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122.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122: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123.</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123: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124.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124: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can be better compared across countries by being relativised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125.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125: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start"/>
        <w:rPr>
          <w:b/>
          <w:bCs/>
        </w:rPr>
      </w:pPr>
      <w:r>
        <w:rPr>
          <w:b/>
          <w:bCs/>
          <w:lang w:val="en-GB" w:eastAsia="en-GB" w:bidi="ar-SA"/>
        </w:rPr>
        <w:t>References</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[2] Website of the expert group on EOSC Steering Board under the European Commission hosted by the European Commission. Link: </w:t>
      </w:r>
      <w:hyperlink r:id="rId3">
        <w:r>
          <w:rPr>
            <w:rStyle w:val="Hyperlink"/>
          </w:rPr>
          <w:t>https://ec.europa.eu/transparency/ expert-groups-register/screen/expert-groups/consult?lang=en&amp;groupID=3756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[3] EOSC Future and EOSC Steering Board (2021) Survey on National Contributions to EOSC 2021. Link: </w:t>
      </w:r>
      <w:hyperlink r:id="rId4">
        <w:r>
          <w:rPr>
            <w:rStyle w:val="Hyperlink"/>
          </w:rPr>
          <w:t>https://zenodo.org/record/7423953</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[4] EOSC Future and EOSC Steering Board (2023) Survey on National Contributions to EOSC 2022. Link: </w:t>
      </w:r>
      <w:hyperlink r:id="rId5">
        <w:r>
          <w:rPr>
            <w:rStyle w:val="Hyperlink"/>
          </w:rPr>
          <w:t>https://zenodo.org/record/7550798</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[5] Webpage of the EOSC Observatory Zenodo Community hosted by Zenodo. Link: </w:t>
      </w:r>
      <w:hyperlink r:id="rId6">
        <w:r>
          <w:rPr>
            <w:rStyle w:val="Hyperlink"/>
          </w:rPr>
          <w:t>https://zenodo.org/communities/eoscobservatory</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[6] Website of the EOSC Open Science Observatory hosted on the EOSC Portal website by the EOSC Future project. Link: </w:t>
      </w:r>
      <w:hyperlink r:id="rId7">
        <w:r>
          <w:rPr>
            <w:rStyle w:val="Hyperlink"/>
          </w:rPr>
          <w:t>https://eoscobservatory.eosc-portal.eu</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[7] Webpage of the EOSC Track project on CORDIS hosted by the European Commission. Link: </w:t>
      </w:r>
      <w:hyperlink r:id="rId8">
        <w:r>
          <w:rPr>
            <w:rStyle w:val="Hyperlink"/>
          </w:rPr>
          <w:t>https://cordis.europa.eu/project/id/101148217</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[8] O'Neill, Gareth (2025) Monitoring Framework for National Contributions to EOSC and Open Science (V2). Report of the EOSC Track project. Link: </w:t>
      </w:r>
      <w:hyperlink r:id="rId9">
        <w:r>
          <w:rPr>
            <w:rStyle w:val="Hyperlink"/>
          </w:rPr>
          <w:t>https://zenodo.org/record/7410760</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[9] EOSC Track and EOSC Steering Board (2025) Survey on National Contributions to EOSC 2024. Link: </w:t>
      </w:r>
      <w:hyperlink r:id="rId10">
        <w:r>
          <w:rPr>
            <w:rStyle w:val="Hyperlink"/>
          </w:rPr>
          <w:t>https://zenodo.org/records/17704636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[10] O’Neill, Gareth and Stefania Martziou (2023) Data of Survey on National Contributions to EOSC 2024. Data set of the EOSC Track project. Link: </w:t>
      </w:r>
      <w:hyperlink r:id="rId11">
        <w:r>
          <w:rPr>
            <w:rStyle w:val="Hyperlink"/>
          </w:rPr>
          <w:t>https://zenodo.org/records/17704792</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[11] Webpage on the FAIR Principles hosted by the GO FAIR Foundation. Link: </w:t>
      </w:r>
      <w:hyperlink r:id="rId12">
        <w:r>
          <w:rPr>
            <w:rStyle w:val="Hyperlink"/>
          </w:rPr>
          <w:t>https://www.go-fair.org/fair-principles</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[12] Webpage of the EOSC-Exchange hosted by the EOSC Future project. Link: </w:t>
      </w:r>
      <w:hyperlink r:id="rId13">
        <w:r>
          <w:rPr>
            <w:rStyle w:val="Hyperlink"/>
          </w:rPr>
          <w:t>https://eoscfuture.eu/ker/eosc-exchange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[13] Webpage of the EOSC-Core hosted by the EOSC Future project. Link: </w:t>
      </w:r>
      <w:hyperlink r:id="rId14">
        <w:r>
          <w:rPr>
            <w:rStyle w:val="Hyperlink"/>
          </w:rPr>
          <w:t>https://</w:t>
        </w:r>
      </w:hyperlink>
    </w:p>
    <w:p>
      <w:pPr>
        <w:pStyle w:val="Normal"/>
        <w:suppressAutoHyphens w:val="false"/>
        <w:jc w:val="start"/>
        <w:rPr/>
      </w:pPr>
      <w:hyperlink r:id="rId15">
        <w:r>
          <w:rPr>
            <w:rStyle w:val="Hyperlink"/>
          </w:rPr>
          <w:t>eoscfuture.eu/ker/eosc-core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[14] Website of the EOSC EU Node hosted by the European Commission. Link: </w:t>
      </w:r>
      <w:hyperlink r:id="rId16">
        <w:r>
          <w:rPr>
            <w:rStyle w:val="Hyperlink"/>
          </w:rPr>
          <w:t>https://open-science-cloud.ec.europa.eu</w:t>
        </w:r>
      </w:hyperlink>
      <w:r>
        <w:rPr/>
        <w:t>. Accessed 09 February 2026.</w:t>
      </w:r>
    </w:p>
    <w:sectPr>
      <w:footerReference w:type="even" r:id="rId17"/>
      <w:footerReference w:type="default" r:id="rId18"/>
      <w:footerReference w:type="first" r:id="rId19"/>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Arial">
    <w:altName w:val="sans-serif"/>
    <w:charset w:val="01" w:characterSet="utf-8"/>
    <w:family w:val="roman"/>
    <w:pitch w:val="variable"/>
  </w:font>
  <w:font w:name="Open Sans">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26</w:t>
    </w:r>
    <w:r>
      <w:rPr/>
      <w:fldChar w:fldCharType="end"/>
    </w:r>
    <w:r>
      <w:rPr/>
      <w:t xml:space="preserve"> of </w:t>
    </w:r>
    <w:r>
      <w:rPr/>
      <w:fldChar w:fldCharType="begin"/>
    </w:r>
    <w:r>
      <w:rPr/>
      <w:instrText xml:space="preserve"> NUMPAGES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26</w:t>
    </w:r>
    <w:r>
      <w:rPr/>
      <w:fldChar w:fldCharType="end"/>
    </w:r>
    <w:r>
      <w:rPr/>
      <w:t xml:space="preserve"> of </w:t>
    </w:r>
    <w:r>
      <w:rPr/>
      <w:fldChar w:fldCharType="begin"/>
    </w:r>
    <w:r>
      <w:rPr/>
      <w:instrText xml:space="preserve"> NUMPAGES </w:instrText>
    </w:r>
    <w:r>
      <w:rPr/>
      <w:fldChar w:fldCharType="separate"/>
    </w:r>
    <w:r>
      <w:rPr/>
      <w:t>26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9"/>
      <w:numFmt w:val="decimal"/>
      <w:lvlText w:val="%1."/>
      <w:lvlJc w:val="end"/>
      <w:pPr>
        <w:tabs>
          <w:tab w:val="num" w:pos="0"/>
        </w:tabs>
        <w:ind w:start="720" w:hanging="360"/>
      </w:pPr>
      <w:rPr>
        <w:dstrike w:val="false"/>
        <w:strike w:val="false"/>
        <w:u w:val="none"/>
        <w:effect w:val="none"/>
      </w:rPr>
    </w:lvl>
    <w:lvl w:ilvl="1">
      <w:start w:val="1"/>
      <w:numFmt w:val="decimal"/>
      <w:lvlText w:val="%1.%2."/>
      <w:lvlJc w:val="end"/>
      <w:pPr>
        <w:tabs>
          <w:tab w:val="num" w:pos="0"/>
        </w:tabs>
        <w:ind w:start="1440" w:hanging="360"/>
      </w:pPr>
      <w:rPr>
        <w:dstrike w:val="false"/>
        <w:strike w:val="false"/>
        <w:u w:val="none"/>
        <w:effect w:val="none"/>
      </w:rPr>
    </w:lvl>
    <w:lvl w:ilvl="2">
      <w:start w:val="1"/>
      <w:numFmt w:val="decimal"/>
      <w:lvlText w:val="%1.%2.%3."/>
      <w:lvlJc w:val="end"/>
      <w:pPr>
        <w:tabs>
          <w:tab w:val="num" w:pos="0"/>
        </w:tabs>
        <w:ind w:start="2160" w:hanging="360"/>
      </w:pPr>
      <w:rPr>
        <w:dstrike w:val="false"/>
        <w:strike w:val="false"/>
        <w:u w:val="none"/>
        <w:effect w:val="none"/>
      </w:rPr>
    </w:lvl>
    <w:lvl w:ilvl="3">
      <w:start w:val="1"/>
      <w:numFmt w:val="decimal"/>
      <w:lvlText w:val="%1.%2.%3.%4."/>
      <w:lvlJc w:val="end"/>
      <w:pPr>
        <w:tabs>
          <w:tab w:val="num" w:pos="0"/>
        </w:tabs>
        <w:ind w:start="2880" w:hanging="360"/>
      </w:pPr>
      <w:rPr>
        <w:dstrike w:val="false"/>
        <w:strike w:val="false"/>
        <w:u w:val="none"/>
        <w:effect w:val="none"/>
      </w:rPr>
    </w:lvl>
    <w:lvl w:ilvl="4">
      <w:start w:val="1"/>
      <w:numFmt w:val="decimal"/>
      <w:lvlText w:val="%1.%2.%3.%4.%5."/>
      <w:lvlJc w:val="end"/>
      <w:pPr>
        <w:tabs>
          <w:tab w:val="num" w:pos="0"/>
        </w:tabs>
        <w:ind w:start="3600" w:hanging="360"/>
      </w:pPr>
      <w:rPr>
        <w:dstrike w:val="false"/>
        <w:strike w:val="false"/>
        <w:u w:val="none"/>
        <w:effect w:val="none"/>
      </w:rPr>
    </w:lvl>
    <w:lvl w:ilvl="5">
      <w:start w:val="1"/>
      <w:numFmt w:val="decimal"/>
      <w:lvlText w:val="%1.%2.%3.%4.%5.%6."/>
      <w:lvlJc w:val="end"/>
      <w:pPr>
        <w:tabs>
          <w:tab w:val="num" w:pos="0"/>
        </w:tabs>
        <w:ind w:start="4320" w:hanging="360"/>
      </w:pPr>
      <w:rPr>
        <w:dstrike w:val="false"/>
        <w:strike w:val="false"/>
        <w:u w:val="none"/>
        <w:effect w:val="none"/>
      </w:rPr>
    </w:lvl>
    <w:lvl w:ilvl="6">
      <w:start w:val="1"/>
      <w:numFmt w:val="decimal"/>
      <w:lvlText w:val="%1.%2.%3.%4.%5.%6.%7."/>
      <w:lvlJc w:val="end"/>
      <w:pPr>
        <w:tabs>
          <w:tab w:val="num" w:pos="0"/>
        </w:tabs>
        <w:ind w:start="5040" w:hanging="360"/>
      </w:pPr>
      <w:rPr>
        <w:dstrike w:val="false"/>
        <w:strike w:val="false"/>
        <w:u w:val="none"/>
        <w:effect w:val="none"/>
      </w:rPr>
    </w:lvl>
    <w:lvl w:ilvl="7">
      <w:start w:val="1"/>
      <w:numFmt w:val="decimal"/>
      <w:lvlText w:val="%1.%2.%3.%4.%5.%6.%7.%8."/>
      <w:lvlJc w:val="end"/>
      <w:pPr>
        <w:tabs>
          <w:tab w:val="num" w:pos="0"/>
        </w:tabs>
        <w:ind w:start="5760" w:hanging="360"/>
      </w:pPr>
      <w:rPr>
        <w:dstrike w:val="false"/>
        <w:strike w:val="false"/>
        <w:u w:val="none"/>
        <w:effect w:val="none"/>
      </w:rPr>
    </w:lvl>
    <w:lvl w:ilvl="8">
      <w:start w:val="1"/>
      <w:numFmt w:val="decimal"/>
      <w:lvlText w:val="%1.%2.%3.%4.%5.%6.%7.%8.%9."/>
      <w:lvlJc w:val="end"/>
      <w:pPr>
        <w:tabs>
          <w:tab w:val="num" w:pos="0"/>
        </w:tabs>
        <w:ind w:start="6480" w:hanging="360"/>
      </w:pPr>
      <w:rPr>
        <w:dstrike w:val="false"/>
        <w:strike w:val="false"/>
        <w:u w:val="none"/>
        <w:effect w:val="none"/>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isplayBackgroundShape/>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20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hyperlink" Target="https://www.go-fair.org/fair-principles" TargetMode="External"/><Relationship Id="rId13" Type="http://schemas.openxmlformats.org/officeDocument/2006/relationships/hyperlink" Target="https://eoscfuture.eu/ker/eosc-exchange" TargetMode="External"/><Relationship Id="rId14" Type="http://schemas.openxmlformats.org/officeDocument/2006/relationships/hyperlink" Target="https://eoscfuture.eu/ker/eosc-core" TargetMode="External"/><Relationship Id="rId15" Type="http://schemas.openxmlformats.org/officeDocument/2006/relationships/hyperlink" Target="https://eoscfuture.eu/ker/eosc-core" TargetMode="External"/><Relationship Id="rId16" Type="http://schemas.openxmlformats.org/officeDocument/2006/relationships/hyperlink" Target="https://open-science-cloud.ec.europa.eu/"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31043</TotalTime>
  <Application>LibreOffice/24.2.7.2$Linux_X86_64 LibreOffice_project/420$Build-2</Application>
  <AppVersion>15.0000</AppVersion>
  <Pages>26</Pages>
  <Words>8698</Words>
  <Characters>49227</Characters>
  <CharactersWithSpaces>57346</CharactersWithSpaces>
  <Paragraphs>503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2026-10-23T17:02:09Z</dcterms:modified>
  <cp:revision>169</cp:revision>
  <dc:subject/>
  <dc:title/>
</cp:coreProperties>
</file>

<file path=docProps/custom.xml><?xml version="1.0" encoding="utf-8"?>
<Properties xmlns="http://schemas.openxmlformats.org/officeDocument/2006/custom-properties" xmlns:vt="http://schemas.openxmlformats.org/officeDocument/2006/docPropsVTypes"/>
</file>