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EOSC Track | Survey Report 2024 | Text</w:t>
      </w:r>
    </w:p>
    <w:p>
      <w:pPr>
        <w:pStyle w:val="normal1"/>
        <w:jc w:val="start"/>
        <w:rPr/>
      </w:pPr>
      <w:r>
        <w:rPr/>
      </w:r>
    </w:p>
    <w:p>
      <w:pPr>
        <w:pStyle w:val="normal1"/>
        <w:rPr>
          <w:highlight w:val="cyan"/>
        </w:rPr>
      </w:pPr>
      <w:r>
        <w:rPr>
          <w:highlight w:val="cyan"/>
        </w:rPr>
        <w:t>Front Page</w:t>
      </w:r>
    </w:p>
    <w:p>
      <w:pPr>
        <w:pStyle w:val="normal1"/>
        <w:rPr/>
      </w:pPr>
      <w:r>
        <w:rPr/>
      </w:r>
    </w:p>
    <w:p>
      <w:pPr>
        <w:pStyle w:val="normal1"/>
        <w:rPr>
          <w:highlight w:val="cyan"/>
        </w:rPr>
      </w:pPr>
      <w:r>
        <w:rPr>
          <w:highlight w:val="cyan"/>
        </w:rPr>
        <w:t>Table of Contents</w:t>
      </w:r>
    </w:p>
    <w:p>
      <w:pPr>
        <w:pStyle w:val="normal1"/>
        <w:rPr/>
      </w:pPr>
      <w:r>
        <w:rPr/>
      </w:r>
    </w:p>
    <w:p>
      <w:pPr>
        <w:pStyle w:val="normal1"/>
        <w:rPr>
          <w:highlight w:val="cyan"/>
        </w:rPr>
      </w:pPr>
      <w:r>
        <w:rPr>
          <w:highlight w:val="cyan"/>
        </w:rPr>
        <w:t>List of Tables</w:t>
      </w:r>
    </w:p>
    <w:p>
      <w:pPr>
        <w:pStyle w:val="normal1"/>
        <w:rPr/>
      </w:pPr>
      <w:r>
        <w:rPr/>
      </w:r>
    </w:p>
    <w:p>
      <w:pPr>
        <w:pStyle w:val="normal1"/>
        <w:rPr>
          <w:highlight w:val="cyan"/>
        </w:rPr>
      </w:pPr>
      <w:r>
        <w:rPr>
          <w:highlight w:val="cyan"/>
        </w:rPr>
        <w:t>Executive Summary</w:t>
      </w:r>
    </w:p>
    <w:p>
      <w:pPr>
        <w:pStyle w:val="normal1"/>
        <w:rPr/>
      </w:pPr>
      <w:r>
        <w:rPr/>
      </w:r>
    </w:p>
    <w:p>
      <w:pPr>
        <w:pStyle w:val="normal1"/>
        <w:numPr>
          <w:ilvl w:val="0"/>
          <w:numId w:val="1"/>
        </w:numPr>
        <w:ind w:hanging="360" w:start="720"/>
        <w:rPr/>
      </w:pPr>
      <w:r>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1"/>
        <w:tblW w:w="9629" w:type="dxa"/>
        <w:jc w:val="start"/>
        <w:tblInd w:w="0" w:type="dxa"/>
        <w:tblLayout w:type="fixed"/>
        <w:tblCellMar>
          <w:top w:w="0" w:type="dxa"/>
          <w:start w:w="108" w:type="dxa"/>
          <w:bottom w:w="0" w:type="dxa"/>
          <w:end w:w="108" w:type="dxa"/>
        </w:tblCellMar>
        <w:tblLook w:val="0600"/>
      </w:tblPr>
      <w:tblGrid>
        <w:gridCol w:w="1904"/>
        <w:gridCol w:w="2577"/>
        <w:gridCol w:w="2578"/>
        <w:gridCol w:w="2569"/>
      </w:tblGrid>
      <w:tr>
        <w:trPr>
          <w:trHeight w:val="504" w:hRule="atLeast"/>
        </w:trPr>
        <w:tc>
          <w:tcPr>
            <w:tcW w:w="1904" w:type="dxa"/>
            <w:tcBorders/>
            <w:shd w:fill="auto"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7"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Policies</w:t>
            </w:r>
          </w:p>
        </w:tc>
        <w:tc>
          <w:tcPr>
            <w:tcW w:w="2578"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Practices</w:t>
            </w:r>
          </w:p>
        </w:tc>
        <w:tc>
          <w:tcPr>
            <w:tcW w:w="2569"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Impacts</w:t>
            </w:r>
          </w:p>
        </w:tc>
      </w:tr>
      <w:tr>
        <w:trPr>
          <w:trHeight w:val="390" w:hRule="atLeast"/>
        </w:trPr>
        <w:tc>
          <w:tcPr>
            <w:tcW w:w="1904" w:type="dxa"/>
            <w:vMerge w:val="restart"/>
            <w:tcBorders/>
            <w:shd w:fill="31849B" w:val="clear"/>
            <w:vAlign w:val="center"/>
          </w:tcPr>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Publications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Data</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Software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Services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Infrastructure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Skills/Training</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Assessment</w:t>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a National Policy</w:t>
            </w:r>
          </w:p>
        </w:tc>
        <w:tc>
          <w:tcPr>
            <w:tcW w:w="2578"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National Monitoring</w:t>
            </w:r>
          </w:p>
        </w:tc>
        <w:tc>
          <w:tcPr>
            <w:tcW w:w="2569"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Impact Stories</w:t>
            </w:r>
          </w:p>
        </w:tc>
      </w:tr>
      <w:tr>
        <w:trPr>
          <w:trHeight w:val="390" w:hRule="atLeast"/>
        </w:trPr>
        <w:tc>
          <w:tcPr>
            <w:tcW w:w="1904" w:type="dxa"/>
            <w:vMerge w:val="continue"/>
            <w:tcBorders/>
            <w:shd w:fill="31849B" w:val="clear"/>
            <w:vAlign w:val="center"/>
          </w:tcPr>
          <w:p>
            <w:pPr>
              <w:pStyle w:val="normal1"/>
              <w:spacing w:lineRule="auto" w:line="240" w:before="0" w:after="0"/>
              <w:ind w:hanging="0" w:star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star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Countries with a Financial Strategy</w:t>
            </w:r>
          </w:p>
        </w:tc>
        <w:tc>
          <w:tcPr>
            <w:tcW w:w="2578"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County Use Cases</w:t>
            </w:r>
          </w:p>
        </w:tc>
        <w:tc>
          <w:tcPr>
            <w:tcW w:w="2569"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Output Outcomes</w:t>
            </w:r>
          </w:p>
        </w:tc>
      </w:tr>
      <w:tr>
        <w:trPr>
          <w:trHeight w:val="390" w:hRule="atLeast"/>
        </w:trPr>
        <w:tc>
          <w:tcPr>
            <w:tcW w:w="1904" w:type="dxa"/>
            <w:vMerge w:val="continue"/>
            <w:tcBorders/>
            <w:shd w:fill="31849B" w:val="clear"/>
            <w:vAlign w:val="center"/>
          </w:tcPr>
          <w:p>
            <w:pPr>
              <w:pStyle w:val="normal1"/>
              <w:spacing w:lineRule="auto" w:line="240" w:before="0" w:after="0"/>
              <w:ind w:hanging="0" w:star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star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RPOs with a Policy</w:t>
            </w:r>
          </w:p>
        </w:tc>
        <w:tc>
          <w:tcPr>
            <w:tcW w:w="2578"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Investments</w:t>
            </w:r>
          </w:p>
        </w:tc>
        <w:tc>
          <w:tcPr>
            <w:tcW w:w="2569"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Correlation between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star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star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RFOs with a Policy</w:t>
            </w:r>
          </w:p>
        </w:tc>
        <w:tc>
          <w:tcPr>
            <w:tcW w:w="2578"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Outputs</w:t>
            </w:r>
          </w:p>
        </w:tc>
        <w:tc>
          <w:tcPr>
            <w:tcW w:w="2569"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Yearly Progress in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start="0"/>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w:t>
      </w:r>
      <w:r>
        <w:rPr>
          <w:highlight w:val="yellow"/>
        </w:rPr>
        <w:t>[DATE]</w:t>
      </w:r>
      <w:r>
        <w:rPr/>
        <w:t xml:space="preserve"> and ran until </w:t>
      </w:r>
      <w:r>
        <w:rPr>
          <w:highlight w:val="yellow"/>
        </w:rPr>
        <w:t>[DATE]</w:t>
      </w:r>
      <w:r>
        <w:rPr/>
        <w:t xml:space="preserve"> whereby </w:t>
      </w:r>
      <w:r>
        <w:rPr>
          <w:highlight w:val="yellow"/>
        </w:rPr>
        <w:t>[#]</w:t>
      </w:r>
      <w:r>
        <w:rPr/>
        <w:t xml:space="preserve"> countries responded consisting of </w:t>
      </w:r>
      <w:r>
        <w:rPr>
          <w:highlight w:val="yellow"/>
        </w:rPr>
        <w:t>[#]</w:t>
      </w:r>
      <w:r>
        <w:rPr/>
        <w:t xml:space="preserve"> of the </w:t>
      </w:r>
      <w:r>
        <w:rPr>
          <w:highlight w:val="yellow"/>
        </w:rPr>
        <w:t>[#]</w:t>
      </w:r>
      <w:r>
        <w:rPr/>
        <w:t xml:space="preserve"> European Union (EU) countries and </w:t>
      </w:r>
      <w:r>
        <w:rPr>
          <w:highlight w:val="yellow"/>
        </w:rPr>
        <w:t>[#]</w:t>
      </w:r>
      <w:r>
        <w:rPr/>
        <w:t xml:space="preserve"> non-EU countries as shown in </w:t>
      </w:r>
      <w:commentRangeStart w:id="0"/>
      <w:r>
        <w:rPr/>
        <w:t>Tables 2 and 3</w:t>
      </w:r>
      <w:r>
        <w:rPr/>
      </w:r>
      <w:commentRangeEnd w:id="0"/>
      <w:r>
        <w:commentReference w:id="0"/>
      </w:r>
      <w:r>
        <w:rPr/>
        <w:t>. This report is based on the data collected from Survey {</w:t>
      </w:r>
      <w:r>
        <w:rPr>
          <w:highlight w:val="yellow"/>
        </w:rPr>
        <w:t>Year}</w:t>
      </w:r>
      <w:r>
        <w:rPr/>
        <w:t xml:space="preserve"> </w:t>
      </w:r>
      <w:r>
        <w:rPr>
          <w:highlight w:val="yellow"/>
        </w:rPr>
        <w:t>[10]</w:t>
      </w:r>
      <w:r>
        <w:rPr/>
        <w:t xml:space="preserve"> and focuses exclusively on the survey results for the </w:t>
      </w:r>
      <w:r>
        <w:rPr>
          <w:highlight w:val="yellow"/>
        </w:rPr>
        <w:t>[#]</w:t>
      </w:r>
      <w:r>
        <w:rP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commentRangeStart w:id="1"/>
      <w:r>
        <w:rPr>
          <w:highlight w:val="yellow"/>
        </w:rPr>
        <w:t>[TABLE 2]</w:t>
      </w:r>
      <w:commentRangeEnd w:id="1"/>
      <w:r>
        <w:commentReference w:id="1"/>
      </w:r>
      <w:r>
        <w:rPr>
          <w:highlight w:val="yellow"/>
        </w:rPr>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commentRangeStart w:id="2"/>
      <w:r>
        <w:rPr>
          <w:highlight w:val="yellow"/>
        </w:rPr>
        <w:t>[TABLE 3]</w:t>
      </w:r>
      <w:commentRangeEnd w:id="2"/>
      <w:r>
        <w:commentReference w:id="2"/>
      </w:r>
      <w:r>
        <w:rPr>
          <w:highlight w:val="yellow"/>
        </w:rPr>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ind w:hanging="0" w:start="0"/>
        <w:rPr/>
      </w:pPr>
      <w:r>
        <w:rPr/>
      </w:r>
    </w:p>
    <w:p>
      <w:pPr>
        <w:pStyle w:val="normal1"/>
        <w:numPr>
          <w:ilvl w:val="0"/>
          <w:numId w:val="1"/>
        </w:numPr>
        <w:ind w:hanging="360" w:start="720"/>
        <w:rPr/>
      </w:pPr>
      <w:r>
        <w:rPr/>
        <w:t>Publications​​</w:t>
      </w:r>
    </w:p>
    <w:p>
      <w:pPr>
        <w:pStyle w:val="normal1"/>
        <w:rPr/>
      </w:pPr>
      <w:r>
        <w:rPr/>
      </w:r>
    </w:p>
    <w:p>
      <w:pPr>
        <w:pStyle w:val="normal1"/>
        <w:widowControl w:val="false"/>
        <w:numPr>
          <w:ilvl w:val="1"/>
          <w:numId w:val="1"/>
        </w:numPr>
        <w:spacing w:lineRule="auto" w:line="240"/>
        <w:ind w:hanging="360" w:start="1440"/>
        <w:rPr/>
      </w:pPr>
      <w:r>
        <w:rPr/>
        <w:t>Policies</w:t>
      </w:r>
    </w:p>
    <w:p>
      <w:pPr>
        <w:pStyle w:val="normal1"/>
        <w:widowControl w:val="false"/>
        <w:spacing w:lineRule="auto" w:line="240"/>
        <w:rPr/>
      </w:pPr>
      <w:r>
        <w:rPr/>
      </w:r>
    </w:p>
    <w:p>
      <w:pPr>
        <w:pStyle w:val="normal1"/>
        <w:widowControl w:val="false"/>
        <w:numPr>
          <w:ilvl w:val="2"/>
          <w:numId w:val="1"/>
        </w:numPr>
        <w:spacing w:lineRule="auto" w:line="240"/>
        <w:ind w:hanging="360" w:start="216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auto" w:val="clear"/>
        </w:rPr>
        <w:t>{</w:t>
      </w:r>
      <w:r>
        <w:rPr>
          <w:shd w:fill="FFFF00" w:val="clear"/>
        </w:rPr>
        <w:t>Question6</w:t>
      </w:r>
      <w:r>
        <w:rPr>
          <w:shd w:fill="auto" w:val="clear"/>
        </w:rPr>
        <w:t>}</w:t>
      </w:r>
      <w:r>
        <w:rPr/>
        <w:t xml:space="preserve"> of responding EU countries have a national policy on open access to publications whereby </w:t>
      </w:r>
      <w:r>
        <w:rPr>
          <w:shd w:fill="auto" w:val="clear"/>
        </w:rPr>
        <w:t>{</w:t>
      </w:r>
      <w:r>
        <w:rPr>
          <w:shd w:fill="FFFF00" w:val="clear"/>
        </w:rPr>
        <w:t>Question6.1</w:t>
      </w:r>
      <w:r>
        <w:rPr>
          <w:shd w:fill="auto" w:val="clear"/>
        </w:rPr>
        <w:t>}</w:t>
      </w:r>
      <w:r>
        <w:rPr/>
        <w:t xml:space="preserve">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auto" w:val="clear"/>
        </w:rPr>
        <w:t>{</w:t>
      </w:r>
      <w:r>
        <w:rPr>
          <w:shd w:fill="FFFF00" w:val="clear"/>
        </w:rPr>
        <w:t>Question6.3</w:t>
      </w:r>
      <w:r>
        <w:rPr>
          <w:shd w:fill="auto" w:val="clear"/>
        </w:rPr>
        <w:t>}</w:t>
      </w:r>
      <w:r>
        <w:rPr/>
        <w:t xml:space="preserve"> of responding EU countries have a specific policy on immediate open access to publications whereby </w:t>
      </w:r>
      <w:r>
        <w:rPr>
          <w:shd w:fill="auto" w:val="clear"/>
        </w:rPr>
        <w:t>{</w:t>
      </w:r>
      <w:r>
        <w:rPr>
          <w:shd w:fill="FFFF00" w:val="clear"/>
        </w:rPr>
        <w:t>Question6.3.1</w:t>
      </w:r>
      <w:r>
        <w:rPr>
          <w:shd w:fill="auto" w:val="clear"/>
        </w:rPr>
        <w:t>}</w:t>
      </w:r>
      <w:r>
        <w:rPr/>
        <w:t xml:space="preserve">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Is there a specific policy on retention of IPR on publications?</w:t>
      </w:r>
      <w:r>
        <w:rPr/>
        <w:t xml:space="preserve"> (Q1.4) followed by </w:t>
      </w:r>
      <w:r>
        <w:rPr>
          <w:i/>
        </w:rPr>
        <w:t>Is this policy mandatory?</w:t>
      </w:r>
      <w:r>
        <w:rPr/>
        <w:t xml:space="preserve"> (Q1.4.1). </w:t>
      </w:r>
      <w:r>
        <w:rPr>
          <w:shd w:fill="auto" w:val="clear"/>
        </w:rPr>
        <w:t>{</w:t>
      </w:r>
      <w:r>
        <w:rPr>
          <w:shd w:fill="FFFF00" w:val="clear"/>
        </w:rPr>
        <w:t>Question6.4</w:t>
      </w:r>
      <w:r>
        <w:rPr>
          <w:shd w:fill="auto" w:val="clear"/>
        </w:rPr>
        <w:t>}</w:t>
      </w:r>
      <w:r>
        <w:rPr/>
        <w:t xml:space="preserve"> of responding EU countries have a specific policy on retention of IPR on publications whereby </w:t>
      </w:r>
      <w:r>
        <w:rPr>
          <w:shd w:fill="auto" w:val="clear"/>
        </w:rPr>
        <w:t>{</w:t>
      </w:r>
      <w:r>
        <w:rPr>
          <w:shd w:fill="FFFF00" w:val="clear"/>
        </w:rPr>
        <w:t>Question6.4.1</w:t>
      </w:r>
      <w:r>
        <w:rPr>
          <w:shd w:fill="auto" w:val="clear"/>
        </w:rPr>
        <w:t>}</w:t>
      </w:r>
      <w:r>
        <w:rPr/>
        <w:t xml:space="preserve">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auto" w:val="clear"/>
        </w:rPr>
        <w:t>{</w:t>
      </w:r>
      <w:r>
        <w:rPr>
          <w:shd w:fill="FFFF00" w:val="clear"/>
        </w:rPr>
        <w:t>Question6.5</w:t>
      </w:r>
      <w:r>
        <w:rPr>
          <w:shd w:fill="auto" w:val="clear"/>
        </w:rPr>
        <w:t>}</w:t>
      </w:r>
      <w:r>
        <w:rPr/>
        <w:t xml:space="preserve"> of responding EU countries have a specific policy on open licensing of publications whereby </w:t>
      </w:r>
      <w:r>
        <w:rPr>
          <w:shd w:fill="auto" w:val="clear"/>
        </w:rPr>
        <w:t>{</w:t>
      </w:r>
      <w:r>
        <w:rPr>
          <w:shd w:fill="FFFF00" w:val="clear"/>
        </w:rPr>
        <w:t>Question6.5.1</w:t>
      </w:r>
      <w:r>
        <w:rPr>
          <w:shd w:fill="auto" w:val="clear"/>
        </w:rPr>
        <w:t>}</w:t>
      </w:r>
      <w:r>
        <w:rPr/>
        <w:t xml:space="preserve">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ind w:hanging="360" w:start="216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auto" w:val="clear"/>
        </w:rPr>
        <w:t>{</w:t>
      </w:r>
      <w:r>
        <w:rPr>
          <w:shd w:fill="FFFF00" w:val="clear"/>
        </w:rPr>
        <w:t>Question7</w:t>
      </w:r>
      <w:r>
        <w:rPr>
          <w:shd w:fill="auto" w:val="clear"/>
        </w:rPr>
        <w:t>}</w:t>
      </w:r>
      <w:r>
        <w:rPr/>
        <w:t xml:space="preserve">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ind w:hanging="360" w:start="1440"/>
        <w:rPr/>
      </w:pPr>
      <w:r>
        <w:rPr/>
        <w:t>Practices</w:t>
      </w:r>
    </w:p>
    <w:p>
      <w:pPr>
        <w:pStyle w:val="normal1"/>
        <w:widowControl w:val="false"/>
        <w:spacing w:lineRule="auto" w:line="240"/>
        <w:rPr/>
      </w:pPr>
      <w:r>
        <w:rPr/>
      </w:r>
    </w:p>
    <w:p>
      <w:pPr>
        <w:pStyle w:val="normal1"/>
        <w:widowControl w:val="false"/>
        <w:numPr>
          <w:ilvl w:val="2"/>
          <w:numId w:val="1"/>
        </w:numPr>
        <w:spacing w:lineRule="auto" w:line="240"/>
        <w:ind w:hanging="360" w:start="216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start="216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Year}</w:t>
      </w:r>
      <w:r>
        <w:rPr>
          <w:i/>
        </w:rPr>
        <w:t xml:space="preserve"> in millions of Euros?</w:t>
      </w:r>
      <w:r>
        <w:rPr/>
        <w:t xml:space="preserve"> (Q51). {</w:t>
      </w:r>
      <w:r>
        <w:rPr>
          <w:highlight w:val="yellow"/>
        </w:rPr>
        <w:t>Question56[0]}</w:t>
      </w:r>
      <w:r>
        <w:rPr/>
        <w:t xml:space="preserve"> of responding EU countries are not investing or have not stated the amount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auto" w:val="clear"/>
        </w:rPr>
        <w:t>{</w:t>
      </w:r>
      <w:r>
        <w:rPr>
          <w:shd w:fill="FFFF00" w:val="clear"/>
        </w:rPr>
        <w:t>Question56[6]</w:t>
      </w:r>
      <w:r>
        <w:rPr>
          <w:shd w:fill="auto" w:val="clear"/>
        </w:rPr>
        <w:t>}</w:t>
      </w:r>
      <w:r>
        <w:rPr/>
        <w:t xml:space="preserve"> &gt;1000 €K 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0" w:name="__DdeLink__2403_2503287465"/>
      <w:r>
        <w:rPr>
          <w:i/>
        </w:rPr>
        <w:t>Share of EU Countries with National Investments in Open Access to Publications per 1000 FTE Researchers</w:t>
      </w:r>
      <w:bookmarkEnd w:id="0"/>
    </w:p>
    <w:p>
      <w:pPr>
        <w:pStyle w:val="normal1"/>
        <w:widowControl w:val="false"/>
        <w:spacing w:lineRule="auto" w:line="240"/>
        <w:rPr/>
      </w:pPr>
      <w:r>
        <w:rPr/>
      </w:r>
    </w:p>
    <w:p>
      <w:pPr>
        <w:pStyle w:val="normal1"/>
        <w:widowControl w:val="false"/>
        <w:numPr>
          <w:ilvl w:val="1"/>
          <w:numId w:val="1"/>
        </w:numPr>
        <w:spacing w:lineRule="auto" w:line="240"/>
        <w:ind w:hanging="360" w:start="1440"/>
        <w:rPr/>
      </w:pPr>
      <w:r>
        <w:rPr/>
        <w:t>Impact</w:t>
      </w:r>
    </w:p>
    <w:p>
      <w:pPr>
        <w:pStyle w:val="normal1"/>
        <w:widowControl w:val="false"/>
        <w:spacing w:lineRule="auto" w:line="240"/>
        <w:rPr/>
      </w:pPr>
      <w:r>
        <w:rPr/>
      </w:r>
    </w:p>
    <w:p>
      <w:pPr>
        <w:pStyle w:val="normal1"/>
        <w:widowControl w:val="false"/>
        <w:numPr>
          <w:ilvl w:val="2"/>
          <w:numId w:val="1"/>
        </w:numPr>
        <w:spacing w:lineRule="auto" w:line="240"/>
        <w:ind w:hanging="360" w:start="2160"/>
        <w:rPr/>
      </w:pPr>
      <w:r>
        <w:rPr/>
        <w:t>Yearly Trends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highlight w:val="yellow"/>
        </w:rPr>
        <w:t>Year}</w:t>
      </w:r>
      <w:r>
        <w:rPr/>
        <w:t xml:space="preserve"> from the previous year and {</w:t>
      </w:r>
      <w:r>
        <w:rPr>
          <w:highlight w:val="yellow"/>
        </w:rPr>
        <w:t>Question6[1]}</w:t>
      </w:r>
      <w:r>
        <w:rPr/>
        <w:t xml:space="preserve"> since 2022 whereby there is {</w:t>
      </w:r>
      <w:r>
        <w:rPr>
          <w:highlight w:val="yellow"/>
        </w:rPr>
        <w:t>Question6[2]}</w:t>
      </w:r>
      <w:r>
        <w:rPr/>
        <w:t xml:space="preserve"> in mandatory policies in {</w:t>
      </w:r>
      <w:r>
        <w:rPr>
          <w:highlight w:val="yellow"/>
        </w:rPr>
        <w:t>Year}</w:t>
      </w:r>
      <w:r>
        <w:rPr/>
        <w:t xml:space="preserve"> from the previous year and {</w:t>
      </w:r>
      <w:r>
        <w:rPr>
          <w:highlight w:val="yellow"/>
        </w:rPr>
        <w:t>Question6[3]}</w:t>
      </w:r>
      <w:r>
        <w:rPr/>
        <w:t xml:space="preserve"> since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numPr>
          <w:ilvl w:val="0"/>
          <w:numId w:val="2"/>
        </w:numPr>
        <w:jc w:val="center"/>
        <w:rPr/>
      </w:pPr>
      <w:r>
        <w:rPr>
          <w:i/>
        </w:rPr>
        <w:t>Figure 14: Trend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in {</w:t>
      </w:r>
      <w:r>
        <w:rPr>
          <w:highlight w:val="yellow"/>
        </w:rPr>
        <w:t>Year}</w:t>
      </w:r>
      <w:r>
        <w:rPr/>
        <w:t xml:space="preserve"> from the previous year and {</w:t>
      </w:r>
      <w:r>
        <w:rPr>
          <w:highlight w:val="yellow"/>
        </w:rPr>
        <w:t>Question6.3[1]</w:t>
      </w:r>
      <w:r>
        <w:rPr/>
        <w:t>} since 2022 whereby there is  {</w:t>
      </w:r>
      <w:r>
        <w:rPr>
          <w:highlight w:val="yellow"/>
        </w:rPr>
        <w:t>Question6.3[2]</w:t>
      </w:r>
      <w:r>
        <w:rPr/>
        <w:t>} in mandatory policies in {</w:t>
      </w:r>
      <w:r>
        <w:rPr>
          <w:highlight w:val="yellow"/>
        </w:rPr>
        <w:t>Year}</w:t>
      </w:r>
      <w:r>
        <w:rPr/>
        <w:t xml:space="preserve"> from the previous year and {</w:t>
      </w:r>
      <w:r>
        <w:rPr>
          <w:highlight w:val="yellow"/>
        </w:rPr>
        <w:t>Question6.3[3]</w:t>
      </w:r>
      <w:r>
        <w:rPr/>
        <w:t>} since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Trend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in specific policies on retention of IPR on publications in EU countries in {</w:t>
      </w:r>
      <w:r>
        <w:rPr>
          <w:highlight w:val="yellow"/>
        </w:rPr>
        <w:t>Year}</w:t>
      </w:r>
      <w:r>
        <w:rPr/>
        <w:t xml:space="preserve"> from the previous year and {</w:t>
      </w:r>
      <w:r>
        <w:rPr>
          <w:highlight w:val="yellow"/>
        </w:rPr>
        <w:t>Question6.4[1]</w:t>
      </w:r>
      <w:r>
        <w:rPr/>
        <w:t>} since 2022 whereby there is {</w:t>
      </w:r>
      <w:r>
        <w:rPr>
          <w:highlight w:val="yellow"/>
        </w:rPr>
        <w:t>Question6.4[2]</w:t>
      </w:r>
      <w:r>
        <w:rPr/>
        <w:t>} in mandatory policies in {</w:t>
      </w:r>
      <w:r>
        <w:rPr>
          <w:highlight w:val="yellow"/>
        </w:rPr>
        <w:t>Year}</w:t>
      </w:r>
      <w:r>
        <w:rPr/>
        <w:t xml:space="preserve"> from the previous year and {</w:t>
      </w:r>
      <w:r>
        <w:rPr>
          <w:highlight w:val="yellow"/>
        </w:rPr>
        <w:t>Question6.4[3]</w:t>
      </w:r>
      <w:r>
        <w:rPr/>
        <w:t>}  since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Trend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in specific policies on open licensing of publications in EU countries in {</w:t>
      </w:r>
      <w:r>
        <w:rPr>
          <w:highlight w:val="yellow"/>
        </w:rPr>
        <w:t>Year}</w:t>
      </w:r>
      <w:r>
        <w:rPr/>
        <w:t xml:space="preserve"> from the previous year and {</w:t>
      </w:r>
      <w:r>
        <w:rPr>
          <w:highlight w:val="yellow"/>
        </w:rPr>
        <w:t>Question6.5[1]</w:t>
      </w:r>
      <w:r>
        <w:rPr/>
        <w:t>}  since 2022 whereby there is {</w:t>
      </w:r>
      <w:r>
        <w:rPr>
          <w:highlight w:val="yellow"/>
        </w:rPr>
        <w:t>Question6.5[2]</w:t>
      </w:r>
      <w:r>
        <w:rPr/>
        <w:t>} in mandatory policies in {</w:t>
      </w:r>
      <w:r>
        <w:rPr>
          <w:highlight w:val="yellow"/>
        </w:rPr>
        <w:t>Year}</w:t>
      </w:r>
      <w:r>
        <w:rPr/>
        <w:t xml:space="preserve"> from the previous year and {</w:t>
      </w:r>
      <w:r>
        <w:rPr>
          <w:highlight w:val="yellow"/>
        </w:rPr>
        <w:t>Question6.5[3]</w:t>
      </w:r>
      <w:r>
        <w:rPr/>
        <w:t>} since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Trend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lastly {</w:t>
      </w:r>
      <w:r>
        <w:rPr>
          <w:highlight w:val="yellow"/>
        </w:rPr>
        <w:t>Question7[0]</w:t>
      </w:r>
      <w:r>
        <w:rPr/>
        <w:t>} in financial strategies on open access to publications in EU countries in {</w:t>
      </w:r>
      <w:r>
        <w:rPr>
          <w:highlight w:val="yellow"/>
        </w:rPr>
        <w:t>Year}</w:t>
      </w:r>
      <w:r>
        <w:rPr/>
        <w:t xml:space="preserve"> from the previous year and {</w:t>
      </w:r>
      <w:r>
        <w:rPr>
          <w:highlight w:val="yellow"/>
        </w:rPr>
        <w:t>Question7[1]</w:t>
      </w:r>
      <w:r>
        <w:rPr/>
        <w:t>} since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Trend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start="2160"/>
        <w:rPr/>
      </w:pPr>
      <w:r>
        <w:rPr/>
        <w:t>Yearly Trends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countries in {</w:t>
      </w:r>
      <w:r>
        <w:rPr>
          <w:highlight w:val="yellow"/>
        </w:rPr>
        <w:t>Year}</w:t>
      </w:r>
      <w:r>
        <w:rPr/>
        <w:t xml:space="preserve"> from the previous year and {</w:t>
      </w:r>
      <w:r>
        <w:rPr>
          <w:highlight w:val="yellow"/>
        </w:rPr>
        <w:t>Question54[1]</w:t>
      </w:r>
      <w:r>
        <w:rPr/>
        <w:t>} since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Trend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finally {</w:t>
      </w:r>
      <w:r>
        <w:rPr>
          <w:highlight w:val="yellow"/>
        </w:rPr>
        <w:t>Question56_trend[0]</w:t>
      </w:r>
      <w:r>
        <w:rPr/>
        <w:t>} in national investments in open access to publications per 1000 FTE researchers in EU countries in {</w:t>
      </w:r>
      <w:r>
        <w:rPr>
          <w:highlight w:val="yellow"/>
        </w:rPr>
        <w:t>Year}</w:t>
      </w:r>
      <w:r>
        <w:rPr/>
        <w:t xml:space="preserve"> from the previous year and {</w:t>
      </w:r>
      <w:r>
        <w:rPr>
          <w:highlight w:val="yellow"/>
        </w:rPr>
        <w:t>Question56_trend[1]</w:t>
      </w:r>
      <w:r>
        <w:rPr/>
        <w:t>}</w:t>
      </w:r>
    </w:p>
    <w:p>
      <w:pPr>
        <w:pStyle w:val="normal1"/>
        <w:widowControl w:val="false"/>
        <w:spacing w:lineRule="auto" w:line="240"/>
        <w:rPr/>
      </w:pPr>
      <w:r>
        <w:rPr/>
        <w:t>since 2022 as shown in Figure 20.</w:t>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Trend in EU Countries with National Investments in Open Access to Publications per 1000 FTE Researchers</w:t>
      </w:r>
    </w:p>
    <w:p>
      <w:pPr>
        <w:pStyle w:val="normal2"/>
        <w:widowControl w:val="false"/>
        <w:spacing w:lineRule="auto" w:line="240"/>
        <w:ind w:hanging="0" w:start="0"/>
        <w:rPr/>
      </w:pPr>
      <w:r>
        <w:rPr/>
      </w:r>
    </w:p>
    <w:p>
      <w:pPr>
        <w:pStyle w:val="normal2"/>
        <w:widowControl w:val="false"/>
        <w:numPr>
          <w:ilvl w:val="0"/>
          <w:numId w:val="1"/>
        </w:numPr>
        <w:spacing w:lineRule="auto" w:line="240"/>
        <w:ind w:hanging="360" w:start="720"/>
        <w:rPr/>
      </w:pPr>
      <w:r>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Policies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1" w:name="__DdeLink__4078_473164209"/>
      <w:r>
        <w:rPr>
          <w:i/>
          <w:iCs/>
        </w:rPr>
        <w:t>national policy on data management</w:t>
      </w:r>
      <w:bookmarkEnd w:id="1"/>
      <w:r>
        <w:rPr>
          <w:i/>
          <w:iCs/>
        </w:rPr>
        <w:t>?</w:t>
      </w:r>
      <w:r>
        <w:rPr/>
        <w:t xml:space="preserve"> (Q5) followed by </w:t>
      </w:r>
      <w:r>
        <w:rPr>
          <w:i/>
          <w:iCs/>
        </w:rPr>
        <w:t>Is this policy mandatory?</w:t>
      </w:r>
      <w:r>
        <w:rPr/>
        <w:t xml:space="preserve"> (Q5.1). </w:t>
      </w:r>
      <w:r>
        <w:rPr>
          <w:shd w:fill="auto" w:val="clear"/>
        </w:rPr>
        <w:t>{</w:t>
      </w:r>
      <w:r>
        <w:rPr>
          <w:shd w:fill="FFFF00" w:val="clear"/>
        </w:rPr>
        <w:t>Question</w:t>
      </w:r>
      <w:r>
        <w:rPr>
          <w:shd w:fill="FFFF00" w:val="clear"/>
        </w:rPr>
        <w:t>10</w:t>
      </w:r>
      <w:r>
        <w:rPr>
          <w:shd w:fill="auto" w:val="clear"/>
        </w:rPr>
        <w:t>}</w:t>
      </w:r>
      <w:r>
        <w:rPr/>
        <w:t xml:space="preserve"> of responding EU countries have a national policy on data management whereby </w:t>
      </w:r>
      <w:r>
        <w:rPr>
          <w:shd w:fill="auto" w:val="clear"/>
        </w:rPr>
        <w:t>{</w:t>
      </w:r>
      <w:r>
        <w:rPr>
          <w:shd w:fill="FFFF00" w:val="clear"/>
        </w:rPr>
        <w:t>Question</w:t>
      </w:r>
      <w:r>
        <w:rPr>
          <w:shd w:fill="FFFF00" w:val="clear"/>
        </w:rPr>
        <w:t>10.1</w:t>
      </w:r>
      <w:r>
        <w:rPr>
          <w:shd w:fill="auto" w:val="clear"/>
        </w:rPr>
        <w:t>}</w:t>
      </w:r>
      <w:r>
        <w:rPr/>
        <w:t xml:space="preserve"> are mandatory as shown in Figures 21 and 22.</w:t>
      </w:r>
    </w:p>
    <w:p>
      <w:pPr>
        <w:pStyle w:val="normal2"/>
        <w:widowControl w:val="false"/>
        <w:spacing w:lineRule="auto" w:line="240"/>
        <w:rPr/>
      </w:pPr>
      <w:r>
        <w:rPr/>
      </w:r>
    </w:p>
    <w:p>
      <w:pPr>
        <w:pStyle w:val="normal1"/>
        <w:jc w:val="center"/>
        <w:rPr>
          <w:i/>
          <w:i/>
        </w:rPr>
      </w:pPr>
      <w:r>
        <w:rPr>
          <w:i/>
          <w:highlight w:val="yellow"/>
        </w:rPr>
        <w:t>{%chartImage1</w:t>
      </w:r>
      <w:r>
        <w:rPr>
          <w:i/>
          <w:highlight w:val="yellow"/>
        </w:rPr>
        <w:t>5</w:t>
      </w:r>
      <w:r>
        <w:rPr>
          <w:i/>
          <w:highlight w:val="yellow"/>
        </w:rPr>
        <w:t>}</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w:t>
      </w:r>
      <w:r>
        <w:rPr>
          <w:i/>
          <w:highlight w:val="yellow"/>
        </w:rPr>
        <w:t>14</w:t>
      </w:r>
      <w:r>
        <w:rPr>
          <w:i/>
          <w:highlight w:val="yellow"/>
        </w:rPr>
        <w:t>_0}</w:t>
      </w:r>
    </w:p>
    <w:p>
      <w:pPr>
        <w:pStyle w:val="normal1"/>
        <w:jc w:val="center"/>
        <w:rPr>
          <w:i/>
          <w:i/>
        </w:rPr>
      </w:pPr>
      <w:r>
        <w:rPr>
          <w:i/>
          <w:highlight w:val="yellow"/>
        </w:rPr>
        <w:t>{%pieChartImage_</w:t>
      </w:r>
      <w:r>
        <w:rPr>
          <w:i/>
          <w:highlight w:val="yellow"/>
        </w:rPr>
        <w:t>14</w:t>
      </w:r>
      <w:r>
        <w:rPr>
          <w:i/>
          <w:highlight w:val="yellow"/>
        </w:rPr>
        <w:t>_</w:t>
      </w:r>
      <w:r>
        <w:rPr>
          <w:i/>
          <w:highlight w:val="yellow"/>
        </w:rPr>
        <w:t>1</w:t>
      </w:r>
      <w:r>
        <w:rPr>
          <w:i/>
          <w:highlight w:val="yellow"/>
        </w:rPr>
        <w:t>}</w:t>
      </w:r>
    </w:p>
    <w:p>
      <w:pPr>
        <w:pStyle w:val="normal2"/>
        <w:jc w:val="center"/>
        <w:rPr/>
      </w:pPr>
      <w:r>
        <w:rPr/>
      </w:r>
    </w:p>
    <w:p>
      <w:pPr>
        <w:pStyle w:val="normal2"/>
        <w:jc w:val="center"/>
        <w:rPr/>
      </w:pPr>
      <w:r>
        <w:rPr>
          <w:i/>
          <w:iCs/>
        </w:rPr>
        <w:t>Figure 22: Share of EU Countries with a National Policy on Data Management</w:t>
      </w:r>
    </w:p>
    <w:p>
      <w:pPr>
        <w:pStyle w:val="normal2"/>
        <w:jc w:val="start"/>
        <w:rPr/>
      </w:pPr>
      <w:r>
        <w:rPr/>
      </w:r>
    </w:p>
    <w:p>
      <w:pPr>
        <w:pStyle w:val="normal2"/>
        <w:widowControl w:val="false"/>
        <w:spacing w:lineRule="auto" w:line="240"/>
        <w:rPr/>
      </w:pPr>
      <w:r>
        <w:rPr/>
        <w:t xml:space="preserve">The first main policy question on FAIR data in Survey </w:t>
      </w:r>
      <w:r>
        <w:rPr>
          <w:highlight w:val="yellow"/>
        </w:rPr>
        <w:t>[YEAR]</w:t>
      </w:r>
      <w:r>
        <w:rPr/>
        <w:t xml:space="preserve"> is </w:t>
      </w:r>
      <w:r>
        <w:rPr>
          <w:i/>
          <w:iCs/>
        </w:rPr>
        <w:t>Does your country have a national policy on FAIR data?</w:t>
      </w:r>
      <w:r>
        <w:rPr/>
        <w:t xml:space="preserve"> (Q9) followed by </w:t>
      </w:r>
      <w:r>
        <w:rPr>
          <w:i/>
          <w:iCs/>
        </w:rPr>
        <w:t>Is this policy mandatory?</w:t>
      </w:r>
      <w:r>
        <w:rPr/>
        <w:t xml:space="preserve"> (Q9.1). </w:t>
      </w:r>
      <w:r>
        <w:rPr>
          <w:highlight w:val="yellow"/>
        </w:rPr>
        <w:t>[%]</w:t>
      </w:r>
      <w:r>
        <w:rPr/>
        <w:t xml:space="preserve"> (</w:t>
      </w:r>
      <w:r>
        <w:rPr>
          <w:highlight w:val="yellow"/>
        </w:rPr>
        <w:t>[#]</w:t>
      </w:r>
      <w:r>
        <w:rPr/>
        <w:t>/</w:t>
      </w:r>
      <w:r>
        <w:rPr>
          <w:highlight w:val="yellow"/>
        </w:rPr>
        <w:t>[#]</w:t>
      </w:r>
      <w:r>
        <w:rPr/>
        <w:t xml:space="preserve">) of responding EU countries have a national policy on FAIR data whereby </w:t>
      </w:r>
      <w:r>
        <w:rPr>
          <w:highlight w:val="yellow"/>
        </w:rPr>
        <w:t>[%]</w:t>
      </w:r>
      <w:r>
        <w:rPr/>
        <w:t xml:space="preserve"> (</w:t>
      </w:r>
      <w:r>
        <w:rPr>
          <w:highlight w:val="yellow"/>
        </w:rPr>
        <w:t>[#]</w:t>
      </w:r>
      <w:r>
        <w:rPr/>
        <w:t>/</w:t>
      </w:r>
      <w:r>
        <w:rPr>
          <w:highlight w:val="yellow"/>
        </w:rPr>
        <w:t>[#]</w:t>
      </w:r>
      <w:r>
        <w:rPr/>
        <w:t>) are mandatory as shown in Figures 23 and 24.</w:t>
      </w:r>
    </w:p>
    <w:p>
      <w:pPr>
        <w:pStyle w:val="normal2"/>
        <w:widowControl w:val="false"/>
        <w:spacing w:lineRule="auto" w:line="240"/>
        <w:rPr/>
      </w:pPr>
      <w:r>
        <w:rPr/>
      </w:r>
    </w:p>
    <w:p>
      <w:pPr>
        <w:pStyle w:val="normal2"/>
        <w:jc w:val="center"/>
        <w:rPr>
          <w:i/>
          <w:i/>
          <w:iCs/>
        </w:rPr>
      </w:pPr>
      <w:r>
        <w:rPr>
          <w:highlight w:val="yellow"/>
        </w:rPr>
        <w:t>[FIGURE 23]</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2"/>
        <w:jc w:val="center"/>
        <w:rPr>
          <w:i/>
          <w:i/>
          <w:iCs/>
        </w:rPr>
      </w:pPr>
      <w:r>
        <w:rPr>
          <w:highlight w:val="yellow"/>
        </w:rPr>
        <w:t>[FIGURE 24]</w:t>
      </w:r>
    </w:p>
    <w:p>
      <w:pPr>
        <w:pStyle w:val="normal2"/>
        <w:jc w:val="center"/>
        <w:rPr/>
      </w:pPr>
      <w:r>
        <w:rPr/>
      </w:r>
    </w:p>
    <w:p>
      <w:pPr>
        <w:pStyle w:val="normal2"/>
        <w:jc w:val="center"/>
        <w:rPr/>
      </w:pPr>
      <w:r>
        <w:rPr>
          <w:i/>
          <w:iCs/>
        </w:rPr>
        <w:t>Figure 24: Share of EU Countries with a National Policy on FAIR Data</w:t>
      </w:r>
    </w:p>
    <w:p>
      <w:pPr>
        <w:pStyle w:val="normal2"/>
        <w:jc w:val="start"/>
        <w:rPr/>
      </w:pPr>
      <w:r>
        <w:rPr/>
      </w:r>
    </w:p>
    <w:p>
      <w:pPr>
        <w:pStyle w:val="normal2"/>
        <w:widowControl w:val="false"/>
        <w:spacing w:lineRule="auto" w:line="240"/>
        <w:rPr/>
      </w:pPr>
      <w:r>
        <w:rPr/>
        <w:t xml:space="preserve">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highlight w:val="yellow"/>
        </w:rPr>
        <w:t>[%]</w:t>
      </w:r>
      <w:r>
        <w:rPr/>
        <w:t xml:space="preserve"> (</w:t>
      </w:r>
      <w:r>
        <w:rPr>
          <w:highlight w:val="yellow"/>
        </w:rPr>
        <w:t>[#]</w:t>
      </w:r>
      <w:r>
        <w:rPr/>
        <w:t>/</w:t>
      </w:r>
      <w:r>
        <w:rPr>
          <w:highlight w:val="yellow"/>
        </w:rPr>
        <w:t>[#]</w:t>
      </w:r>
      <w:r>
        <w:rPr/>
        <w:t xml:space="preserve">) of responding EU countries have a national policy on open data whereby </w:t>
      </w:r>
      <w:r>
        <w:rPr>
          <w:highlight w:val="yellow"/>
        </w:rPr>
        <w:t>[%]</w:t>
      </w:r>
      <w:r>
        <w:rPr/>
        <w:t xml:space="preserve"> (</w:t>
      </w:r>
      <w:r>
        <w:rPr>
          <w:highlight w:val="yellow"/>
        </w:rPr>
        <w:t>[#]</w:t>
      </w:r>
      <w:r>
        <w:rPr/>
        <w:t>/</w:t>
      </w:r>
      <w:r>
        <w:rPr>
          <w:highlight w:val="yellow"/>
        </w:rPr>
        <w:t>[#]</w:t>
      </w:r>
      <w:r>
        <w:rPr/>
        <w:t>) are mandatory as shown in Figures 25 and 26.</w:t>
      </w:r>
    </w:p>
    <w:p>
      <w:pPr>
        <w:pStyle w:val="normal2"/>
        <w:jc w:val="start"/>
        <w:rPr/>
      </w:pPr>
      <w:r>
        <w:rPr/>
      </w:r>
    </w:p>
    <w:p>
      <w:pPr>
        <w:pStyle w:val="normal2"/>
        <w:jc w:val="center"/>
        <w:rPr>
          <w:i/>
          <w:i/>
          <w:iCs/>
        </w:rPr>
      </w:pPr>
      <w:r>
        <w:rPr>
          <w:highlight w:val="yellow"/>
        </w:rPr>
        <w:t>[FIGURE 25]</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2"/>
        <w:jc w:val="center"/>
        <w:rPr>
          <w:i/>
          <w:i/>
          <w:iCs/>
        </w:rPr>
      </w:pPr>
      <w:r>
        <w:rPr>
          <w:highlight w:val="yellow"/>
        </w:rPr>
        <w:t>[FIGURE 26]</w:t>
      </w:r>
    </w:p>
    <w:p>
      <w:pPr>
        <w:pStyle w:val="normal2"/>
        <w:jc w:val="center"/>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Financial Strategies on Data</w:t>
      </w:r>
    </w:p>
    <w:p>
      <w:pPr>
        <w:pStyle w:val="normal2"/>
        <w:widowControl w:val="false"/>
        <w:spacing w:lineRule="auto" w:line="240"/>
        <w:rPr/>
      </w:pPr>
      <w:r>
        <w:rPr/>
      </w:r>
    </w:p>
    <w:p>
      <w:pPr>
        <w:pStyle w:val="normal2"/>
        <w:widowControl w:val="false"/>
        <w:spacing w:lineRule="auto" w:line="240"/>
        <w:rPr/>
      </w:pPr>
      <w:r>
        <w:rPr/>
        <w:t xml:space="preserve">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highlight w:val="yellow"/>
        </w:rPr>
        <w:t>[%]</w:t>
      </w:r>
      <w:r>
        <w:rPr/>
        <w:t xml:space="preserve"> (</w:t>
      </w:r>
      <w:r>
        <w:rPr>
          <w:highlight w:val="yellow"/>
        </w:rPr>
        <w:t>[#]</w:t>
      </w:r>
      <w:r>
        <w:rPr/>
        <w:t>/</w:t>
      </w:r>
      <w:r>
        <w:rPr>
          <w:highlight w:val="yellow"/>
        </w:rPr>
        <w:t>[#]</w:t>
      </w:r>
      <w:r>
        <w:rPr/>
        <w:t>) of responding EU countries have a financial strategy on data management as shown in Figures 27 and 28.</w:t>
      </w:r>
    </w:p>
    <w:p>
      <w:pPr>
        <w:pStyle w:val="normal2"/>
        <w:widowControl w:val="false"/>
        <w:spacing w:lineRule="auto" w:line="240"/>
        <w:rPr/>
      </w:pPr>
      <w:r>
        <w:rPr/>
      </w:r>
    </w:p>
    <w:p>
      <w:pPr>
        <w:pStyle w:val="normal2"/>
        <w:jc w:val="center"/>
        <w:rPr>
          <w:i/>
          <w:i/>
          <w:iCs/>
        </w:rPr>
      </w:pPr>
      <w:r>
        <w:rPr>
          <w:highlight w:val="yellow"/>
        </w:rPr>
        <w:t>[FIGURE 27]</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2"/>
        <w:jc w:val="center"/>
        <w:rPr>
          <w:i/>
          <w:i/>
          <w:iCs/>
        </w:rPr>
      </w:pPr>
      <w:r>
        <w:rPr>
          <w:highlight w:val="yellow"/>
        </w:rPr>
        <w:t>[FIGURE 28]</w:t>
      </w:r>
    </w:p>
    <w:p>
      <w:pPr>
        <w:pStyle w:val="normal2"/>
        <w:jc w:val="center"/>
        <w:rPr/>
      </w:pPr>
      <w:r>
        <w:rPr/>
      </w:r>
    </w:p>
    <w:p>
      <w:pPr>
        <w:pStyle w:val="normal2"/>
        <w:jc w:val="center"/>
        <w:rPr/>
      </w:pPr>
      <w:r>
        <w:rPr>
          <w:i/>
          <w:iCs/>
        </w:rPr>
        <w:t>Figure 28: Share of EU Countries with a Financial Strategy on Data Management</w:t>
      </w:r>
    </w:p>
    <w:p>
      <w:pPr>
        <w:pStyle w:val="normal2"/>
        <w:jc w:val="start"/>
        <w:rPr/>
      </w:pPr>
      <w:r>
        <w:rPr/>
      </w:r>
    </w:p>
    <w:p>
      <w:pPr>
        <w:pStyle w:val="normal2"/>
        <w:widowControl w:val="false"/>
        <w:spacing w:lineRule="auto" w:line="240"/>
        <w:rPr/>
      </w:pPr>
      <w:r>
        <w:rPr/>
        <w:t xml:space="preserve">The second main policy question on FAIR data in Survey </w:t>
      </w:r>
      <w:r>
        <w:rPr>
          <w:highlight w:val="yellow"/>
        </w:rPr>
        <w:t>[YEAR]</w:t>
      </w:r>
      <w:r>
        <w:rPr/>
        <w:t xml:space="preserve"> is </w:t>
      </w:r>
      <w:r>
        <w:rPr>
          <w:i/>
          <w:iCs/>
        </w:rPr>
        <w:t>Does your country have a financial strategy on FAIR data?</w:t>
      </w:r>
      <w:r>
        <w:rPr/>
        <w:t xml:space="preserve"> (Q10). </w:t>
      </w:r>
      <w:r>
        <w:rPr>
          <w:highlight w:val="yellow"/>
        </w:rPr>
        <w:t>[%]</w:t>
      </w:r>
      <w:r>
        <w:rPr/>
        <w:t xml:space="preserve"> (</w:t>
      </w:r>
      <w:r>
        <w:rPr>
          <w:highlight w:val="yellow"/>
        </w:rPr>
        <w:t>[#]</w:t>
      </w:r>
      <w:r>
        <w:rPr/>
        <w:t>/</w:t>
      </w:r>
      <w:r>
        <w:rPr>
          <w:highlight w:val="yellow"/>
        </w:rPr>
        <w:t>[#]</w:t>
      </w:r>
      <w:r>
        <w:rPr/>
        <w:t>) of responding EU countries have a financial strategy on FAIR data as shown in Figures 29 and 30.</w:t>
      </w:r>
    </w:p>
    <w:p>
      <w:pPr>
        <w:pStyle w:val="normal2"/>
        <w:jc w:val="start"/>
        <w:rPr/>
      </w:pPr>
      <w:r>
        <w:rPr/>
      </w:r>
    </w:p>
    <w:p>
      <w:pPr>
        <w:pStyle w:val="normal2"/>
        <w:jc w:val="center"/>
        <w:rPr>
          <w:i/>
          <w:i/>
          <w:iCs/>
        </w:rPr>
      </w:pPr>
      <w:r>
        <w:rPr>
          <w:highlight w:val="yellow"/>
        </w:rPr>
        <w:t>[FIGURE 29]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2"/>
        <w:jc w:val="center"/>
        <w:rPr>
          <w:i/>
          <w:i/>
          <w:iCs/>
        </w:rPr>
      </w:pPr>
      <w:r>
        <w:rPr>
          <w:highlight w:val="yellow"/>
        </w:rPr>
        <w:t>[FIGURE 30]</w:t>
      </w:r>
    </w:p>
    <w:p>
      <w:pPr>
        <w:pStyle w:val="normal2"/>
        <w:jc w:val="center"/>
        <w:rPr/>
      </w:pPr>
      <w:r>
        <w:rPr/>
      </w:r>
    </w:p>
    <w:p>
      <w:pPr>
        <w:pStyle w:val="normal2"/>
        <w:jc w:val="center"/>
        <w:rPr/>
      </w:pPr>
      <w:r>
        <w:rPr>
          <w:i/>
          <w:iCs/>
        </w:rPr>
        <w:t>Figure 30: Share of EU Countries with a Financial Strategy on FAIR Data</w:t>
      </w:r>
    </w:p>
    <w:p>
      <w:pPr>
        <w:pStyle w:val="normal2"/>
        <w:jc w:val="start"/>
        <w:rPr/>
      </w:pPr>
      <w:r>
        <w:rPr/>
      </w:r>
    </w:p>
    <w:p>
      <w:pPr>
        <w:pStyle w:val="normal2"/>
        <w:widowControl w:val="false"/>
        <w:spacing w:lineRule="auto" w:line="240"/>
        <w:rPr/>
      </w:pPr>
      <w:r>
        <w:rPr/>
        <w:t xml:space="preserve">The second main policy question on open data in Survey </w:t>
      </w:r>
      <w:r>
        <w:rPr>
          <w:highlight w:val="yellow"/>
        </w:rPr>
        <w:t>[YEAR]</w:t>
      </w:r>
      <w:r>
        <w:rPr/>
        <w:t xml:space="preserve"> is </w:t>
      </w:r>
      <w:r>
        <w:rPr>
          <w:i/>
          <w:iCs/>
        </w:rPr>
        <w:t>Does your country have a financial strategy on open data?</w:t>
      </w:r>
      <w:r>
        <w:rPr/>
        <w:t xml:space="preserve"> (Q14). </w:t>
      </w:r>
      <w:r>
        <w:rPr>
          <w:highlight w:val="yellow"/>
        </w:rPr>
        <w:t>[%]</w:t>
      </w:r>
      <w:r>
        <w:rPr/>
        <w:t xml:space="preserve"> (</w:t>
      </w:r>
      <w:r>
        <w:rPr>
          <w:highlight w:val="yellow"/>
        </w:rPr>
        <w:t>[#]</w:t>
      </w:r>
      <w:r>
        <w:rPr/>
        <w:t>/</w:t>
      </w:r>
      <w:r>
        <w:rPr>
          <w:highlight w:val="yellow"/>
        </w:rPr>
        <w:t>[#]</w:t>
      </w:r>
      <w:r>
        <w:rPr/>
        <w:t>) of responding EU countries have a financial strategy on open data as shown in Figures 31 and 32.</w:t>
      </w:r>
    </w:p>
    <w:p>
      <w:pPr>
        <w:pStyle w:val="normal2"/>
        <w:widowControl w:val="false"/>
        <w:spacing w:lineRule="auto" w:line="240"/>
        <w:rPr/>
      </w:pPr>
      <w:r>
        <w:rPr/>
      </w:r>
    </w:p>
    <w:p>
      <w:pPr>
        <w:pStyle w:val="normal2"/>
        <w:jc w:val="center"/>
        <w:rPr>
          <w:i/>
          <w:i/>
          <w:iCs/>
        </w:rPr>
      </w:pPr>
      <w:r>
        <w:rPr>
          <w:highlight w:val="yellow"/>
        </w:rPr>
        <w:t>[FIGURE 31]</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2"/>
        <w:jc w:val="center"/>
        <w:rPr>
          <w:i/>
          <w:i/>
          <w:iCs/>
        </w:rPr>
      </w:pPr>
      <w:r>
        <w:rPr>
          <w:highlight w:val="yellow"/>
        </w:rPr>
        <w:t>[FIGURE 32]</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Practices</w:t>
      </w:r>
    </w:p>
    <w:p>
      <w:pPr>
        <w:pStyle w:val="normal2"/>
        <w:widowControl w:val="false"/>
        <w:spacing w:lineRule="auto" w:line="240"/>
        <w:ind w:hanging="0" w:start="0"/>
        <w:rPr/>
      </w:pPr>
      <w:r>
        <w:rPr/>
      </w:r>
    </w:p>
    <w:p>
      <w:pPr>
        <w:pStyle w:val="normal2"/>
        <w:widowControl w:val="false"/>
        <w:numPr>
          <w:ilvl w:val="2"/>
          <w:numId w:val="1"/>
        </w:numPr>
        <w:spacing w:lineRule="auto" w:line="240"/>
        <w:ind w:hanging="360" w:start="2160"/>
        <w:rPr/>
      </w:pPr>
      <w:r>
        <w:rPr/>
        <w:t>National Monitoring on Data</w:t>
      </w:r>
    </w:p>
    <w:p>
      <w:pPr>
        <w:pStyle w:val="normal2"/>
        <w:widowControl w:val="false"/>
        <w:spacing w:lineRule="auto" w:line="240"/>
        <w:ind w:hanging="0" w:start="0"/>
        <w:rPr/>
      </w:pPr>
      <w:r>
        <w:rPr/>
      </w:r>
    </w:p>
    <w:p>
      <w:pPr>
        <w:pStyle w:val="normal2"/>
        <w:widowControl w:val="false"/>
        <w:spacing w:lineRule="auto" w:line="240"/>
        <w:ind w:hanging="0" w:start="0"/>
        <w:rPr/>
      </w:pPr>
      <w:r>
        <w:rPr/>
        <w:t xml:space="preserve">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highlight w:val="yellow"/>
        </w:rPr>
        <w:t>[%]</w:t>
      </w:r>
      <w:r>
        <w:rPr/>
        <w:t xml:space="preserve"> (</w:t>
      </w:r>
      <w:r>
        <w:rPr>
          <w:highlight w:val="yellow"/>
        </w:rPr>
        <w:t>[#]</w:t>
      </w:r>
      <w:r>
        <w:rPr/>
        <w:t>/</w:t>
      </w:r>
      <w:r>
        <w:rPr>
          <w:highlight w:val="yellow"/>
        </w:rPr>
        <w:t>[#]</w:t>
      </w:r>
      <w:r>
        <w:rPr/>
        <w:t>) of responding EU countries have a national monitoring on data management as shown in Figures 33 and 34.</w:t>
      </w:r>
    </w:p>
    <w:p>
      <w:pPr>
        <w:pStyle w:val="normal2"/>
        <w:widowControl w:val="false"/>
        <w:spacing w:lineRule="auto" w:line="240"/>
        <w:ind w:hanging="0" w:start="0"/>
        <w:rPr/>
      </w:pPr>
      <w:r>
        <w:rPr/>
      </w:r>
    </w:p>
    <w:p>
      <w:pPr>
        <w:pStyle w:val="normal2"/>
        <w:jc w:val="center"/>
        <w:rPr>
          <w:i/>
          <w:i/>
          <w:iCs/>
        </w:rPr>
      </w:pPr>
      <w:r>
        <w:rPr>
          <w:highlight w:val="yellow"/>
        </w:rPr>
        <w:t>[FIGURE 33]</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2"/>
        <w:jc w:val="center"/>
        <w:rPr>
          <w:i/>
          <w:i/>
          <w:iCs/>
        </w:rPr>
      </w:pPr>
      <w:r>
        <w:rPr>
          <w:highlight w:val="yellow"/>
        </w:rPr>
        <w:t>[FIGURE 34]</w:t>
      </w:r>
    </w:p>
    <w:p>
      <w:pPr>
        <w:pStyle w:val="normal2"/>
        <w:jc w:val="center"/>
        <w:rPr/>
      </w:pPr>
      <w:r>
        <w:rPr/>
      </w:r>
    </w:p>
    <w:p>
      <w:pPr>
        <w:pStyle w:val="normal2"/>
        <w:jc w:val="center"/>
        <w:rPr/>
      </w:pPr>
      <w:r>
        <w:rPr>
          <w:i/>
          <w:iCs/>
        </w:rPr>
        <w:t>Figure 34: Share of EU Countries with a National Monitoring on Data Management</w:t>
      </w:r>
    </w:p>
    <w:p>
      <w:pPr>
        <w:pStyle w:val="normal2"/>
        <w:jc w:val="start"/>
        <w:rPr/>
      </w:pPr>
      <w:r>
        <w:rPr/>
      </w:r>
    </w:p>
    <w:p>
      <w:pPr>
        <w:pStyle w:val="normal2"/>
        <w:widowControl w:val="false"/>
        <w:spacing w:lineRule="auto" w:line="240"/>
        <w:rPr/>
      </w:pPr>
      <w:r>
        <w:rPr/>
        <w:t xml:space="preserve">The first main practice question on FAIR data in Survey </w:t>
      </w:r>
      <w:r>
        <w:rPr>
          <w:highlight w:val="yellow"/>
        </w:rPr>
        <w:t>[YEAR]</w:t>
      </w:r>
      <w:r>
        <w:rPr/>
        <w:t xml:space="preserve"> is </w:t>
      </w:r>
      <w:r>
        <w:rPr>
          <w:i/>
          <w:iCs/>
        </w:rPr>
        <w:t>Does your country have a national monitoring on FAIR data?</w:t>
      </w:r>
      <w:r>
        <w:rPr/>
        <w:t xml:space="preserve"> (Q57). </w:t>
      </w:r>
      <w:r>
        <w:rPr>
          <w:highlight w:val="yellow"/>
        </w:rPr>
        <w:t>[%]</w:t>
      </w:r>
      <w:r>
        <w:rPr/>
        <w:t xml:space="preserve"> (</w:t>
      </w:r>
      <w:r>
        <w:rPr>
          <w:highlight w:val="yellow"/>
        </w:rPr>
        <w:t>[#]</w:t>
      </w:r>
      <w:r>
        <w:rPr/>
        <w:t>/</w:t>
      </w:r>
      <w:r>
        <w:rPr>
          <w:highlight w:val="yellow"/>
        </w:rPr>
        <w:t>[#]</w:t>
      </w:r>
      <w:r>
        <w:rPr/>
        <w:t>) of responding EU countries have a national monitoring on FAIR data as shown in Figures 35 and 36.</w:t>
      </w:r>
    </w:p>
    <w:p>
      <w:pPr>
        <w:pStyle w:val="normal2"/>
        <w:widowControl w:val="false"/>
        <w:spacing w:lineRule="auto" w:line="240"/>
        <w:rPr/>
      </w:pPr>
      <w:r>
        <w:rPr/>
      </w:r>
    </w:p>
    <w:p>
      <w:pPr>
        <w:pStyle w:val="normal2"/>
        <w:jc w:val="center"/>
        <w:rPr>
          <w:i/>
          <w:i/>
          <w:iCs/>
        </w:rPr>
      </w:pPr>
      <w:r>
        <w:rPr>
          <w:highlight w:val="yellow"/>
        </w:rPr>
        <w:t>[FIGURE 35]</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2"/>
        <w:jc w:val="center"/>
        <w:rPr>
          <w:i/>
          <w:i/>
          <w:iCs/>
        </w:rPr>
      </w:pPr>
      <w:r>
        <w:rPr>
          <w:highlight w:val="yellow"/>
        </w:rPr>
        <w:t>[FIGURE 36]</w:t>
      </w:r>
    </w:p>
    <w:p>
      <w:pPr>
        <w:pStyle w:val="normal2"/>
        <w:jc w:val="center"/>
        <w:rPr/>
      </w:pPr>
      <w:r>
        <w:rPr/>
      </w:r>
    </w:p>
    <w:p>
      <w:pPr>
        <w:pStyle w:val="normal2"/>
        <w:jc w:val="center"/>
        <w:rPr/>
      </w:pPr>
      <w:r>
        <w:rPr>
          <w:i/>
          <w:iCs/>
        </w:rPr>
        <w:t>Figure 36: Share of EU Countries with a National Monitoring on FAIR Data</w:t>
      </w:r>
    </w:p>
    <w:p>
      <w:pPr>
        <w:pStyle w:val="normal2"/>
        <w:jc w:val="start"/>
        <w:rPr/>
      </w:pPr>
      <w:r>
        <w:rPr/>
      </w:r>
    </w:p>
    <w:p>
      <w:pPr>
        <w:pStyle w:val="normal2"/>
        <w:widowControl w:val="false"/>
        <w:spacing w:lineRule="auto" w:line="240"/>
        <w:rPr/>
      </w:pPr>
      <w:r>
        <w:rPr/>
        <w:t xml:space="preserve">The first main practice question on open data in Survey </w:t>
      </w:r>
      <w:r>
        <w:rPr>
          <w:highlight w:val="yellow"/>
        </w:rPr>
        <w:t>[YEAR]</w:t>
      </w:r>
      <w:r>
        <w:rPr/>
        <w:t xml:space="preserve"> is </w:t>
      </w:r>
      <w:r>
        <w:rPr>
          <w:i/>
          <w:iCs/>
        </w:rPr>
        <w:t>Does your country have a national monitoring on open data?</w:t>
      </w:r>
      <w:r>
        <w:rPr/>
        <w:t xml:space="preserve"> (Q61). </w:t>
      </w:r>
      <w:r>
        <w:rPr>
          <w:highlight w:val="yellow"/>
        </w:rPr>
        <w:t>[%]</w:t>
      </w:r>
      <w:r>
        <w:rPr/>
        <w:t xml:space="preserve"> (</w:t>
      </w:r>
      <w:r>
        <w:rPr>
          <w:highlight w:val="yellow"/>
        </w:rPr>
        <w:t>[#]</w:t>
      </w:r>
      <w:r>
        <w:rPr/>
        <w:t>/</w:t>
      </w:r>
      <w:r>
        <w:rPr>
          <w:highlight w:val="yellow"/>
        </w:rPr>
        <w:t>[#]</w:t>
      </w:r>
      <w:r>
        <w:rPr/>
        <w:t>) of responding EU countries have a national monitoring on open data as shown in Figures 37 and 38.</w:t>
      </w:r>
    </w:p>
    <w:p>
      <w:pPr>
        <w:pStyle w:val="normal2"/>
        <w:widowControl w:val="false"/>
        <w:spacing w:lineRule="auto" w:line="240"/>
        <w:rPr/>
      </w:pPr>
      <w:r>
        <w:rPr/>
      </w:r>
    </w:p>
    <w:p>
      <w:pPr>
        <w:pStyle w:val="normal2"/>
        <w:jc w:val="center"/>
        <w:rPr>
          <w:i/>
          <w:i/>
          <w:iCs/>
        </w:rPr>
      </w:pPr>
      <w:r>
        <w:rPr>
          <w:highlight w:val="yellow"/>
        </w:rPr>
        <w:t>[FIGURE 37]</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2"/>
        <w:jc w:val="center"/>
        <w:rPr>
          <w:i/>
          <w:i/>
          <w:iCs/>
        </w:rPr>
      </w:pPr>
      <w:r>
        <w:rPr>
          <w:highlight w:val="yellow"/>
        </w:rPr>
        <w:t>[FIGURE 38]</w:t>
      </w:r>
    </w:p>
    <w:p>
      <w:pPr>
        <w:pStyle w:val="normal2"/>
        <w:jc w:val="center"/>
        <w:rPr/>
      </w:pPr>
      <w:r>
        <w:rPr/>
      </w:r>
    </w:p>
    <w:p>
      <w:pPr>
        <w:pStyle w:val="normal2"/>
        <w:jc w:val="center"/>
        <w:rPr/>
      </w:pPr>
      <w:r>
        <w:rPr>
          <w:i/>
          <w:iCs/>
        </w:rPr>
        <w:t>Figure 38: Share of EU Countries with a National Monitoring on Open Data</w:t>
      </w:r>
    </w:p>
    <w:p>
      <w:pPr>
        <w:pStyle w:val="normal2"/>
        <w:widowControl w:val="false"/>
        <w:spacing w:lineRule="auto" w:line="240"/>
        <w:ind w:hanging="0" w:start="0"/>
        <w:rPr/>
      </w:pPr>
      <w:r>
        <w:rPr/>
      </w:r>
    </w:p>
    <w:p>
      <w:pPr>
        <w:pStyle w:val="normal2"/>
        <w:widowControl w:val="false"/>
        <w:numPr>
          <w:ilvl w:val="2"/>
          <w:numId w:val="1"/>
        </w:numPr>
        <w:spacing w:lineRule="auto" w:line="240"/>
        <w:ind w:hanging="360" w:start="2160"/>
        <w:rPr/>
      </w:pPr>
      <w:r>
        <w:rPr/>
        <w:t>National Investments in Data</w:t>
      </w:r>
    </w:p>
    <w:p>
      <w:pPr>
        <w:pStyle w:val="normal2"/>
        <w:widowControl w:val="false"/>
        <w:spacing w:lineRule="auto" w:line="240"/>
        <w:rPr/>
      </w:pPr>
      <w:r>
        <w:rPr/>
      </w:r>
    </w:p>
    <w:p>
      <w:pPr>
        <w:pStyle w:val="normal2"/>
        <w:widowControl w:val="false"/>
        <w:spacing w:lineRule="auto" w:line="240"/>
        <w:rPr/>
      </w:pPr>
      <w:r>
        <w:rPr/>
        <w:t xml:space="preserve">The second main practice question on data management in Survey </w:t>
      </w:r>
      <w:r>
        <w:rPr>
          <w:highlight w:val="yellow"/>
        </w:rPr>
        <w:t>[YEAR]</w:t>
      </w:r>
      <w:r>
        <w:rPr/>
        <w:t xml:space="preserve"> is </w:t>
      </w:r>
      <w:r>
        <w:rPr>
          <w:i/>
          <w:iCs/>
        </w:rPr>
        <w:t xml:space="preserve">How much did your country financially invest in data management in </w:t>
      </w:r>
      <w:r>
        <w:rPr>
          <w:i/>
          <w:iCs/>
          <w:highlight w:val="yellow"/>
        </w:rPr>
        <w:t>[YEAR]</w:t>
      </w:r>
      <w:r>
        <w:rPr>
          <w:i/>
          <w:iCs/>
        </w:rPr>
        <w:t xml:space="preserve"> in millions of Euros?</w:t>
      </w:r>
      <w:r>
        <w:rPr/>
        <w:t xml:space="preserve"> (Q55).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data management.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39.</w:t>
      </w:r>
    </w:p>
    <w:p>
      <w:pPr>
        <w:pStyle w:val="normal2"/>
        <w:widowControl w:val="false"/>
        <w:spacing w:lineRule="auto" w:line="240"/>
        <w:rPr/>
      </w:pPr>
      <w:r>
        <w:rPr/>
      </w:r>
    </w:p>
    <w:p>
      <w:pPr>
        <w:pStyle w:val="normal2"/>
        <w:jc w:val="center"/>
        <w:rPr/>
      </w:pPr>
      <w:r>
        <w:rPr>
          <w:highlight w:val="yellow"/>
        </w:rPr>
        <w:t>[FIGURE 39]</w:t>
      </w:r>
    </w:p>
    <w:p>
      <w:pPr>
        <w:pStyle w:val="normal2"/>
        <w:widowControl w:val="false"/>
        <w:spacing w:lineRule="auto" w:line="240"/>
        <w:rPr/>
      </w:pPr>
      <w:r>
        <w:rPr/>
      </w:r>
    </w:p>
    <w:p>
      <w:pPr>
        <w:pStyle w:val="normal2"/>
        <w:jc w:val="center"/>
        <w:rPr/>
      </w:pPr>
      <w:r>
        <w:rPr>
          <w:i/>
          <w:iCs/>
        </w:rPr>
        <w:t>Figure 39: Share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 xml:space="preserve">The second main practice question on FAIR data in Survey </w:t>
      </w:r>
      <w:r>
        <w:rPr>
          <w:highlight w:val="yellow"/>
        </w:rPr>
        <w:t>[YEAR]</w:t>
      </w:r>
      <w:r>
        <w:rPr/>
        <w:t xml:space="preserve"> is </w:t>
      </w:r>
      <w:r>
        <w:rPr>
          <w:i/>
          <w:iCs/>
        </w:rPr>
        <w:t xml:space="preserve">How much did your country financially invest in FAIR data in </w:t>
      </w:r>
      <w:r>
        <w:rPr>
          <w:i/>
          <w:iCs/>
          <w:highlight w:val="yellow"/>
        </w:rPr>
        <w:t>[YEAR]</w:t>
      </w:r>
      <w:r>
        <w:rPr>
          <w:i/>
          <w:iCs/>
        </w:rPr>
        <w:t xml:space="preserve"> in millions of Euros?</w:t>
      </w:r>
      <w:r>
        <w:rPr/>
        <w:t xml:space="preserve"> (Q59).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FAIR data.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40.</w:t>
      </w:r>
    </w:p>
    <w:p>
      <w:pPr>
        <w:pStyle w:val="normal2"/>
        <w:widowControl w:val="false"/>
        <w:spacing w:lineRule="auto" w:line="240"/>
        <w:rPr/>
      </w:pPr>
      <w:r>
        <w:rPr/>
      </w:r>
    </w:p>
    <w:p>
      <w:pPr>
        <w:pStyle w:val="normal2"/>
        <w:jc w:val="center"/>
        <w:rPr/>
      </w:pPr>
      <w:r>
        <w:rPr>
          <w:highlight w:val="yellow"/>
        </w:rPr>
        <w:t>[FIGURE 40]</w:t>
      </w:r>
    </w:p>
    <w:p>
      <w:pPr>
        <w:pStyle w:val="normal2"/>
        <w:widowControl w:val="false"/>
        <w:spacing w:lineRule="auto" w:line="240"/>
        <w:rPr/>
      </w:pPr>
      <w:r>
        <w:rPr/>
      </w:r>
    </w:p>
    <w:p>
      <w:pPr>
        <w:pStyle w:val="normal2"/>
        <w:jc w:val="center"/>
        <w:rPr/>
      </w:pPr>
      <w:r>
        <w:rPr>
          <w:i/>
          <w:iCs/>
        </w:rPr>
        <w:t>Figure 40: Share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 xml:space="preserve">The second main practice question on open data in Survey </w:t>
      </w:r>
      <w:r>
        <w:rPr>
          <w:highlight w:val="yellow"/>
        </w:rPr>
        <w:t>[YEAR]</w:t>
      </w:r>
      <w:r>
        <w:rPr/>
        <w:t xml:space="preserve"> is </w:t>
      </w:r>
      <w:r>
        <w:rPr>
          <w:i/>
          <w:iCs/>
        </w:rPr>
        <w:t xml:space="preserve">How much did your country financially invest in open data in </w:t>
      </w:r>
      <w:r>
        <w:rPr>
          <w:i/>
          <w:iCs/>
          <w:highlight w:val="yellow"/>
        </w:rPr>
        <w:t>[YEAR]</w:t>
      </w:r>
      <w:r>
        <w:rPr>
          <w:i/>
          <w:iCs/>
        </w:rPr>
        <w:t xml:space="preserve"> in millions of Euros?</w:t>
      </w:r>
      <w:r>
        <w:rPr/>
        <w:t xml:space="preserve"> (Q63).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open data.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41.</w:t>
      </w:r>
    </w:p>
    <w:p>
      <w:pPr>
        <w:pStyle w:val="normal2"/>
        <w:widowControl w:val="false"/>
        <w:spacing w:lineRule="auto" w:line="240"/>
        <w:rPr/>
      </w:pPr>
      <w:r>
        <w:rPr/>
      </w:r>
    </w:p>
    <w:p>
      <w:pPr>
        <w:pStyle w:val="normal2"/>
        <w:jc w:val="center"/>
        <w:rPr/>
      </w:pPr>
      <w:r>
        <w:rPr>
          <w:highlight w:val="yellow"/>
        </w:rPr>
        <w:t>[FIGURE 41]</w:t>
      </w:r>
    </w:p>
    <w:p>
      <w:pPr>
        <w:pStyle w:val="normal2"/>
        <w:widowControl w:val="false"/>
        <w:spacing w:lineRule="auto" w:line="240"/>
        <w:rPr/>
      </w:pPr>
      <w:r>
        <w:rPr/>
      </w:r>
    </w:p>
    <w:p>
      <w:pPr>
        <w:pStyle w:val="normal2"/>
        <w:jc w:val="center"/>
        <w:rPr/>
      </w:pPr>
      <w:r>
        <w:rPr>
          <w:i/>
          <w:iCs/>
        </w:rPr>
        <w:t>Figure 41: Share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Impact</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Policies on Data</w:t>
      </w:r>
    </w:p>
    <w:p>
      <w:pPr>
        <w:pStyle w:val="normal2"/>
        <w:widowControl w:val="false"/>
        <w:spacing w:lineRule="auto" w:line="240"/>
        <w:rPr/>
      </w:pPr>
      <w:r>
        <w:rPr/>
      </w:r>
    </w:p>
    <w:p>
      <w:pPr>
        <w:pStyle w:val="normal2"/>
        <w:widowControl w:val="false"/>
        <w:spacing w:lineRule="auto" w:line="240"/>
        <w:rPr/>
      </w:pPr>
      <w:r>
        <w:rPr/>
        <w:t xml:space="preserve">There is </w:t>
      </w:r>
      <w:commentRangeStart w:id="3"/>
      <w:r>
        <w:rPr>
          <w:highlight w:val="yellow"/>
        </w:rPr>
        <w:t>[TREND1]</w:t>
      </w:r>
      <w:r>
        <w:rPr>
          <w:highlight w:val="yellow"/>
        </w:rPr>
      </w:r>
      <w:commentRangeEnd w:id="3"/>
      <w:r>
        <w:commentReference w:id="3"/>
      </w:r>
      <w:r>
        <w:rPr/>
        <w:t xml:space="preserve"> in national policies on data management in EU countries in </w:t>
      </w:r>
      <w:r>
        <w:rPr>
          <w:highlight w:val="yellow"/>
        </w:rPr>
        <w:t>[YEAR]</w:t>
      </w:r>
      <w:r>
        <w:rPr/>
        <w:t xml:space="preserve"> from the previous year and </w:t>
      </w:r>
      <w:commentRangeStart w:id="4"/>
      <w:commentRangeStart w:id="5"/>
      <w:r>
        <w:rPr>
          <w:highlight w:val="yellow"/>
        </w:rPr>
        <w:t>[TREND2]</w:t>
      </w:r>
      <w:r>
        <w:rPr>
          <w:highlight w:val="yellow"/>
        </w:rPr>
      </w:r>
      <w:commentRangeEnd w:id="5"/>
      <w:r>
        <w:commentReference w:id="5"/>
      </w:r>
      <w:r>
        <w:rPr>
          <w:highlight w:val="yellow"/>
        </w:rPr>
      </w:r>
      <w:commentRangeEnd w:id="4"/>
      <w:r>
        <w:commentReference w:id="4"/>
      </w:r>
      <w:r>
        <w:rPr/>
        <w:t xml:space="preserve"> since 2022 whereby there is </w:t>
      </w:r>
      <w:commentRangeStart w:id="6"/>
      <w:r>
        <w:rPr>
          <w:highlight w:val="yellow"/>
        </w:rPr>
        <w:t>[TREND1]</w:t>
      </w:r>
      <w:r>
        <w:rPr>
          <w:highlight w:val="yellow"/>
        </w:rPr>
      </w:r>
      <w:commentRangeEnd w:id="6"/>
      <w:r>
        <w:commentReference w:id="6"/>
      </w:r>
      <w:r>
        <w:rPr/>
        <w:t xml:space="preserve"> in mandatory policies in </w:t>
      </w:r>
      <w:r>
        <w:rPr>
          <w:highlight w:val="yellow"/>
        </w:rPr>
        <w:t>[YEAR]</w:t>
      </w:r>
      <w:r>
        <w:rPr/>
        <w:t xml:space="preserve"> from the previous year and </w:t>
      </w:r>
      <w:commentRangeStart w:id="7"/>
      <w:commentRangeStart w:id="8"/>
      <w:r>
        <w:rPr>
          <w:highlight w:val="yellow"/>
        </w:rPr>
        <w:t>[TREND2]</w:t>
      </w:r>
      <w:r>
        <w:rPr>
          <w:highlight w:val="yellow"/>
        </w:rPr>
      </w:r>
      <w:commentRangeEnd w:id="7"/>
      <w:r>
        <w:commentReference w:id="7"/>
      </w:r>
      <w:r>
        <w:rPr>
          <w:highlight w:val="yellow"/>
        </w:rPr>
      </w:r>
      <w:commentRangeEnd w:id="8"/>
      <w:r>
        <w:commentReference w:id="8"/>
      </w:r>
      <w:r>
        <w:rPr/>
        <w:t xml:space="preserve"> since 2022 as shown in Figure 42.</w:t>
      </w:r>
    </w:p>
    <w:p>
      <w:pPr>
        <w:pStyle w:val="normal2"/>
        <w:widowControl w:val="false"/>
        <w:spacing w:lineRule="auto" w:line="240"/>
        <w:rPr/>
      </w:pPr>
      <w:r>
        <w:rPr/>
      </w:r>
    </w:p>
    <w:p>
      <w:pPr>
        <w:pStyle w:val="normal2"/>
        <w:jc w:val="center"/>
        <w:rPr>
          <w:i/>
          <w:i/>
          <w:iCs/>
        </w:rPr>
      </w:pPr>
      <w:r>
        <w:rPr>
          <w:highlight w:val="yellow"/>
        </w:rPr>
        <w:t>[FIGURE 42]</w:t>
      </w:r>
    </w:p>
    <w:p>
      <w:pPr>
        <w:pStyle w:val="normal2"/>
        <w:jc w:val="center"/>
        <w:rPr/>
      </w:pPr>
      <w:r>
        <w:rPr/>
      </w:r>
    </w:p>
    <w:p>
      <w:pPr>
        <w:pStyle w:val="normal2"/>
        <w:jc w:val="center"/>
        <w:rPr/>
      </w:pPr>
      <w:r>
        <w:rPr>
          <w:i/>
          <w:iCs/>
        </w:rPr>
        <w:t>Figure 42: Trend in EU Countries with a National Policy on Data Management</w:t>
      </w:r>
    </w:p>
    <w:p>
      <w:pPr>
        <w:pStyle w:val="normal2"/>
        <w:jc w:val="start"/>
        <w:rPr/>
      </w:pPr>
      <w:r>
        <w:rPr/>
      </w:r>
    </w:p>
    <w:p>
      <w:pPr>
        <w:pStyle w:val="normal2"/>
        <w:widowControl w:val="false"/>
        <w:spacing w:lineRule="auto" w:line="240"/>
        <w:rPr/>
      </w:pPr>
      <w:r>
        <w:rPr/>
        <w:t xml:space="preserve">There is </w:t>
      </w:r>
      <w:commentRangeStart w:id="9"/>
      <w:r>
        <w:rPr>
          <w:highlight w:val="yellow"/>
        </w:rPr>
        <w:t>[TREND1]</w:t>
      </w:r>
      <w:r>
        <w:rPr>
          <w:highlight w:val="yellow"/>
        </w:rPr>
      </w:r>
      <w:commentRangeEnd w:id="9"/>
      <w:r>
        <w:commentReference w:id="9"/>
      </w:r>
      <w:r>
        <w:rPr/>
        <w:t xml:space="preserve"> in national policies on FAIR data in EU countries in </w:t>
      </w:r>
      <w:r>
        <w:rPr>
          <w:highlight w:val="yellow"/>
        </w:rPr>
        <w:t>[YEAR]</w:t>
      </w:r>
      <w:r>
        <w:rPr/>
        <w:t xml:space="preserve"> from the previous year and </w:t>
      </w:r>
      <w:commentRangeStart w:id="10"/>
      <w:commentRangeStart w:id="11"/>
      <w:r>
        <w:rPr>
          <w:highlight w:val="yellow"/>
        </w:rPr>
        <w:t>[TREND2]</w:t>
      </w:r>
      <w:r>
        <w:rPr>
          <w:highlight w:val="yellow"/>
        </w:rPr>
      </w:r>
      <w:commentRangeEnd w:id="11"/>
      <w:r>
        <w:commentReference w:id="11"/>
      </w:r>
      <w:r>
        <w:rPr>
          <w:highlight w:val="yellow"/>
        </w:rPr>
      </w:r>
      <w:commentRangeEnd w:id="10"/>
      <w:r>
        <w:commentReference w:id="10"/>
      </w:r>
      <w:r>
        <w:rPr/>
        <w:t xml:space="preserve"> since 2022 whereby there is </w:t>
      </w:r>
      <w:commentRangeStart w:id="12"/>
      <w:r>
        <w:rPr>
          <w:highlight w:val="yellow"/>
        </w:rPr>
        <w:t>[TREND1]</w:t>
      </w:r>
      <w:r>
        <w:rPr>
          <w:highlight w:val="yellow"/>
        </w:rPr>
      </w:r>
      <w:commentRangeEnd w:id="12"/>
      <w:r>
        <w:commentReference w:id="12"/>
      </w:r>
      <w:r>
        <w:rPr/>
        <w:t xml:space="preserve"> in mandatory policies in </w:t>
      </w:r>
      <w:r>
        <w:rPr>
          <w:highlight w:val="yellow"/>
        </w:rPr>
        <w:t>[YEAR]</w:t>
      </w:r>
      <w:r>
        <w:rPr/>
        <w:t xml:space="preserve"> from the previous year and </w:t>
      </w:r>
      <w:commentRangeStart w:id="13"/>
      <w:commentRangeStart w:id="14"/>
      <w:r>
        <w:rPr>
          <w:highlight w:val="yellow"/>
        </w:rPr>
        <w:t>[TREND2]</w:t>
      </w:r>
      <w:r>
        <w:rPr>
          <w:highlight w:val="yellow"/>
        </w:rPr>
      </w:r>
      <w:commentRangeEnd w:id="14"/>
      <w:r>
        <w:commentReference w:id="14"/>
      </w:r>
      <w:r>
        <w:rPr>
          <w:highlight w:val="yellow"/>
        </w:rPr>
      </w:r>
      <w:commentRangeEnd w:id="13"/>
      <w:r>
        <w:commentReference w:id="13"/>
      </w:r>
      <w:r>
        <w:rPr/>
        <w:t xml:space="preserve"> since 2022 as shown in Figure 43.</w:t>
      </w:r>
    </w:p>
    <w:p>
      <w:pPr>
        <w:pStyle w:val="normal2"/>
        <w:widowControl w:val="false"/>
        <w:spacing w:lineRule="auto" w:line="240"/>
        <w:rPr/>
      </w:pPr>
      <w:r>
        <w:rPr/>
      </w:r>
    </w:p>
    <w:p>
      <w:pPr>
        <w:pStyle w:val="normal2"/>
        <w:jc w:val="center"/>
        <w:rPr>
          <w:i/>
          <w:i/>
          <w:iCs/>
        </w:rPr>
      </w:pPr>
      <w:r>
        <w:rPr>
          <w:highlight w:val="yellow"/>
        </w:rPr>
        <w:t>[FIGURE 43]</w:t>
      </w:r>
    </w:p>
    <w:p>
      <w:pPr>
        <w:pStyle w:val="normal2"/>
        <w:jc w:val="center"/>
        <w:rPr/>
      </w:pPr>
      <w:r>
        <w:rPr/>
      </w:r>
    </w:p>
    <w:p>
      <w:pPr>
        <w:pStyle w:val="normal2"/>
        <w:jc w:val="center"/>
        <w:rPr/>
      </w:pPr>
      <w:r>
        <w:rPr>
          <w:i/>
          <w:iCs/>
        </w:rPr>
        <w:t>Figure 43: Trend in EU Countries with a National Policy on FAIR Data</w:t>
      </w:r>
    </w:p>
    <w:p>
      <w:pPr>
        <w:pStyle w:val="normal2"/>
        <w:jc w:val="start"/>
        <w:rPr/>
      </w:pPr>
      <w:r>
        <w:rPr/>
      </w:r>
    </w:p>
    <w:p>
      <w:pPr>
        <w:pStyle w:val="normal2"/>
        <w:widowControl w:val="false"/>
        <w:spacing w:lineRule="auto" w:line="240"/>
        <w:rPr/>
      </w:pPr>
      <w:r>
        <w:rPr/>
        <w:t xml:space="preserve">There is </w:t>
      </w:r>
      <w:commentRangeStart w:id="15"/>
      <w:r>
        <w:rPr>
          <w:highlight w:val="yellow"/>
        </w:rPr>
        <w:t>[TREND1]</w:t>
      </w:r>
      <w:r>
        <w:rPr>
          <w:highlight w:val="yellow"/>
        </w:rPr>
      </w:r>
      <w:commentRangeEnd w:id="15"/>
      <w:r>
        <w:commentReference w:id="15"/>
      </w:r>
      <w:r>
        <w:rPr/>
        <w:t xml:space="preserve"> in national policies on open data in EU countries in </w:t>
      </w:r>
      <w:r>
        <w:rPr>
          <w:highlight w:val="yellow"/>
        </w:rPr>
        <w:t>[YEAR]</w:t>
      </w:r>
      <w:r>
        <w:rPr/>
        <w:t xml:space="preserve"> from the previous year and </w:t>
      </w:r>
      <w:commentRangeStart w:id="16"/>
      <w:commentRangeStart w:id="17"/>
      <w:r>
        <w:rPr>
          <w:highlight w:val="yellow"/>
        </w:rPr>
        <w:t>[TREND2]</w:t>
      </w:r>
      <w:r>
        <w:rPr>
          <w:highlight w:val="yellow"/>
        </w:rPr>
      </w:r>
      <w:commentRangeEnd w:id="17"/>
      <w:r>
        <w:commentReference w:id="17"/>
      </w:r>
      <w:r>
        <w:rPr>
          <w:highlight w:val="yellow"/>
        </w:rPr>
      </w:r>
      <w:commentRangeEnd w:id="16"/>
      <w:r>
        <w:commentReference w:id="16"/>
      </w:r>
      <w:r>
        <w:rPr/>
        <w:t xml:space="preserve"> since 2022 whereby there is </w:t>
      </w:r>
      <w:commentRangeStart w:id="18"/>
      <w:r>
        <w:rPr>
          <w:highlight w:val="yellow"/>
        </w:rPr>
        <w:t>[TREND1]</w:t>
      </w:r>
      <w:r>
        <w:rPr>
          <w:highlight w:val="yellow"/>
        </w:rPr>
      </w:r>
      <w:commentRangeEnd w:id="18"/>
      <w:r>
        <w:commentReference w:id="18"/>
      </w:r>
      <w:r>
        <w:rPr/>
        <w:t xml:space="preserve"> in mandatory policies in </w:t>
      </w:r>
      <w:r>
        <w:rPr>
          <w:highlight w:val="yellow"/>
        </w:rPr>
        <w:t>[YEAR]</w:t>
      </w:r>
      <w:r>
        <w:rPr/>
        <w:t xml:space="preserve"> from the previous year and </w:t>
      </w:r>
      <w:commentRangeStart w:id="19"/>
      <w:commentRangeStart w:id="20"/>
      <w:r>
        <w:rPr>
          <w:highlight w:val="yellow"/>
        </w:rPr>
        <w:t>[TREND2]</w:t>
      </w:r>
      <w:r>
        <w:rPr>
          <w:highlight w:val="yellow"/>
        </w:rPr>
      </w:r>
      <w:commentRangeEnd w:id="20"/>
      <w:r>
        <w:commentReference w:id="20"/>
      </w:r>
      <w:r>
        <w:rPr>
          <w:highlight w:val="yellow"/>
        </w:rPr>
      </w:r>
      <w:commentRangeEnd w:id="19"/>
      <w:r>
        <w:commentReference w:id="19"/>
      </w:r>
      <w:r>
        <w:rPr/>
        <w:t xml:space="preserve"> since 2022 as shown in Figure 44.</w:t>
      </w:r>
    </w:p>
    <w:p>
      <w:pPr>
        <w:pStyle w:val="normal2"/>
        <w:widowControl w:val="false"/>
        <w:spacing w:lineRule="auto" w:line="240"/>
        <w:rPr/>
      </w:pPr>
      <w:r>
        <w:rPr/>
      </w:r>
    </w:p>
    <w:p>
      <w:pPr>
        <w:pStyle w:val="normal2"/>
        <w:jc w:val="center"/>
        <w:rPr>
          <w:i/>
          <w:i/>
          <w:iCs/>
        </w:rPr>
      </w:pPr>
      <w:r>
        <w:rPr>
          <w:highlight w:val="yellow"/>
        </w:rPr>
        <w:t>[FIGURE 44]</w:t>
      </w:r>
    </w:p>
    <w:p>
      <w:pPr>
        <w:pStyle w:val="normal2"/>
        <w:jc w:val="center"/>
        <w:rPr/>
      </w:pPr>
      <w:r>
        <w:rPr/>
      </w:r>
    </w:p>
    <w:p>
      <w:pPr>
        <w:pStyle w:val="normal2"/>
        <w:jc w:val="center"/>
        <w:rPr/>
      </w:pPr>
      <w:r>
        <w:rPr>
          <w:i/>
          <w:iCs/>
        </w:rPr>
        <w:t>Figure 44: Trend in EU Countries with a National Policy on Open Data</w:t>
      </w:r>
    </w:p>
    <w:p>
      <w:pPr>
        <w:pStyle w:val="normal2"/>
        <w:jc w:val="start"/>
        <w:rPr/>
      </w:pPr>
      <w:r>
        <w:rPr/>
      </w:r>
    </w:p>
    <w:p>
      <w:pPr>
        <w:pStyle w:val="normal2"/>
        <w:widowControl w:val="false"/>
        <w:spacing w:lineRule="auto" w:line="240"/>
        <w:rPr/>
      </w:pPr>
      <w:r>
        <w:rPr/>
        <w:t xml:space="preserve">There is furthermore </w:t>
      </w:r>
      <w:r>
        <w:rPr>
          <w:highlight w:val="yellow"/>
        </w:rPr>
        <w:t>[TREND1]</w:t>
      </w:r>
      <w:r>
        <w:rPr/>
        <w:t xml:space="preserve"> in financial strategies on data management in EU countries in </w:t>
      </w:r>
      <w:r>
        <w:rPr>
          <w:highlight w:val="yellow"/>
        </w:rPr>
        <w:t>[YEAR]</w:t>
      </w:r>
      <w:r>
        <w:rPr/>
        <w:t xml:space="preserve"> from the previous year and </w:t>
      </w:r>
      <w:r>
        <w:rPr>
          <w:highlight w:val="yellow"/>
        </w:rPr>
        <w:t>[TREND2]</w:t>
      </w:r>
      <w:r>
        <w:rPr/>
        <w:t xml:space="preserve"> since 2022 as shown in Figure 45.</w:t>
      </w:r>
    </w:p>
    <w:p>
      <w:pPr>
        <w:pStyle w:val="normal2"/>
        <w:widowControl w:val="false"/>
        <w:spacing w:lineRule="auto" w:line="240"/>
        <w:rPr/>
      </w:pPr>
      <w:r>
        <w:rPr/>
      </w:r>
    </w:p>
    <w:p>
      <w:pPr>
        <w:pStyle w:val="normal2"/>
        <w:jc w:val="center"/>
        <w:rPr>
          <w:i/>
          <w:i/>
          <w:iCs/>
        </w:rPr>
      </w:pPr>
      <w:r>
        <w:rPr>
          <w:highlight w:val="yellow"/>
        </w:rPr>
        <w:t>[FIGURE 45]</w:t>
      </w:r>
    </w:p>
    <w:p>
      <w:pPr>
        <w:pStyle w:val="normal2"/>
        <w:jc w:val="center"/>
        <w:rPr/>
      </w:pPr>
      <w:r>
        <w:rPr/>
      </w:r>
    </w:p>
    <w:p>
      <w:pPr>
        <w:pStyle w:val="normal2"/>
        <w:jc w:val="center"/>
        <w:rPr/>
      </w:pPr>
      <w:r>
        <w:rPr>
          <w:i/>
          <w:iCs/>
        </w:rPr>
        <w:t>Figure 45: Trend in EU Countries with a Financial Strategy on Data Management</w:t>
      </w:r>
    </w:p>
    <w:p>
      <w:pPr>
        <w:pStyle w:val="normal2"/>
        <w:jc w:val="start"/>
        <w:rPr/>
      </w:pPr>
      <w:r>
        <w:rPr/>
      </w:r>
    </w:p>
    <w:p>
      <w:pPr>
        <w:pStyle w:val="normal2"/>
        <w:widowControl w:val="false"/>
        <w:spacing w:lineRule="auto" w:line="240"/>
        <w:rPr/>
      </w:pPr>
      <w:r>
        <w:rPr/>
        <w:t xml:space="preserve">There is </w:t>
      </w:r>
      <w:r>
        <w:rPr>
          <w:highlight w:val="yellow"/>
        </w:rPr>
        <w:t>[TREND1]</w:t>
      </w:r>
      <w:r>
        <w:rPr/>
        <w:t xml:space="preserve"> in financial strategies on FAIR data in EU countries in </w:t>
      </w:r>
      <w:r>
        <w:rPr>
          <w:highlight w:val="yellow"/>
        </w:rPr>
        <w:t>[YEAR]</w:t>
      </w:r>
      <w:r>
        <w:rPr/>
        <w:t xml:space="preserve"> from the previous year and </w:t>
      </w:r>
      <w:r>
        <w:rPr>
          <w:highlight w:val="yellow"/>
        </w:rPr>
        <w:t>[TREND2]</w:t>
      </w:r>
      <w:r>
        <w:rPr/>
        <w:t xml:space="preserve"> since 2022 as shown in Figure 46.</w:t>
      </w:r>
    </w:p>
    <w:p>
      <w:pPr>
        <w:pStyle w:val="normal2"/>
        <w:widowControl w:val="false"/>
        <w:spacing w:lineRule="auto" w:line="240"/>
        <w:rPr/>
      </w:pPr>
      <w:r>
        <w:rPr/>
      </w:r>
    </w:p>
    <w:p>
      <w:pPr>
        <w:pStyle w:val="normal2"/>
        <w:jc w:val="center"/>
        <w:rPr>
          <w:i/>
          <w:i/>
          <w:iCs/>
        </w:rPr>
      </w:pPr>
      <w:r>
        <w:rPr>
          <w:highlight w:val="yellow"/>
        </w:rPr>
        <w:t>[FIGURE 46]</w:t>
      </w:r>
    </w:p>
    <w:p>
      <w:pPr>
        <w:pStyle w:val="normal2"/>
        <w:jc w:val="center"/>
        <w:rPr/>
      </w:pPr>
      <w:r>
        <w:rPr/>
      </w:r>
    </w:p>
    <w:p>
      <w:pPr>
        <w:pStyle w:val="normal2"/>
        <w:jc w:val="center"/>
        <w:rPr/>
      </w:pPr>
      <w:r>
        <w:rPr>
          <w:i/>
          <w:iCs/>
        </w:rPr>
        <w:t>Figure 46: Trend in EU Countries with a Financial Strategy on FAIR Data</w:t>
      </w:r>
    </w:p>
    <w:p>
      <w:pPr>
        <w:pStyle w:val="normal2"/>
        <w:jc w:val="start"/>
        <w:rPr/>
      </w:pPr>
      <w:r>
        <w:rPr/>
      </w:r>
    </w:p>
    <w:p>
      <w:pPr>
        <w:pStyle w:val="normal2"/>
        <w:widowControl w:val="false"/>
        <w:spacing w:lineRule="auto" w:line="240"/>
        <w:rPr/>
      </w:pPr>
      <w:r>
        <w:rPr/>
        <w:t xml:space="preserve">There is lastly </w:t>
      </w:r>
      <w:r>
        <w:rPr>
          <w:highlight w:val="yellow"/>
        </w:rPr>
        <w:t>[TREND1]</w:t>
      </w:r>
      <w:r>
        <w:rPr/>
        <w:t xml:space="preserve"> in financial strategies on open data in EU countries in </w:t>
      </w:r>
      <w:r>
        <w:rPr>
          <w:highlight w:val="yellow"/>
        </w:rPr>
        <w:t>[YEAR]</w:t>
      </w:r>
      <w:r>
        <w:rPr/>
        <w:t xml:space="preserve"> from the previous year and </w:t>
      </w:r>
      <w:r>
        <w:rPr>
          <w:highlight w:val="yellow"/>
        </w:rPr>
        <w:t>[TREND2]</w:t>
      </w:r>
      <w:r>
        <w:rPr/>
        <w:t xml:space="preserve"> since 2022 as shown in Figure 47.</w:t>
      </w:r>
    </w:p>
    <w:p>
      <w:pPr>
        <w:pStyle w:val="normal2"/>
        <w:widowControl w:val="false"/>
        <w:spacing w:lineRule="auto" w:line="240"/>
        <w:rPr/>
      </w:pPr>
      <w:r>
        <w:rPr/>
      </w:r>
    </w:p>
    <w:p>
      <w:pPr>
        <w:pStyle w:val="normal2"/>
        <w:jc w:val="center"/>
        <w:rPr>
          <w:i/>
          <w:i/>
          <w:iCs/>
        </w:rPr>
      </w:pPr>
      <w:r>
        <w:rPr>
          <w:highlight w:val="yellow"/>
        </w:rPr>
        <w:t>[FIGURE 47]</w:t>
      </w:r>
    </w:p>
    <w:p>
      <w:pPr>
        <w:pStyle w:val="normal2"/>
        <w:jc w:val="center"/>
        <w:rPr/>
      </w:pPr>
      <w:r>
        <w:rPr/>
      </w:r>
    </w:p>
    <w:p>
      <w:pPr>
        <w:pStyle w:val="normal2"/>
        <w:jc w:val="center"/>
        <w:rPr/>
      </w:pPr>
      <w:r>
        <w:rPr>
          <w:i/>
          <w:iCs/>
        </w:rPr>
        <w:t>Figure 47: Trend in EU Countries with a Financial Strategy on Open Data</w:t>
      </w:r>
    </w:p>
    <w:p>
      <w:pPr>
        <w:pStyle w:val="normal2"/>
        <w:jc w:val="start"/>
        <w:rPr/>
      </w:pPr>
      <w:r>
        <w:rPr/>
      </w:r>
    </w:p>
    <w:p>
      <w:pPr>
        <w:pStyle w:val="normal2"/>
        <w:widowControl w:val="false"/>
        <w:numPr>
          <w:ilvl w:val="2"/>
          <w:numId w:val="1"/>
        </w:numPr>
        <w:spacing w:lineRule="auto" w:line="240"/>
        <w:ind w:hanging="360" w:start="2160"/>
        <w:rPr/>
      </w:pPr>
      <w:r>
        <w:rPr/>
        <w:t>Yearly Trends in Practices on Data</w:t>
      </w:r>
    </w:p>
    <w:p>
      <w:pPr>
        <w:pStyle w:val="normal2"/>
        <w:widowControl w:val="false"/>
        <w:spacing w:lineRule="auto" w:line="240"/>
        <w:ind w:hanging="0" w:start="0"/>
        <w:rPr/>
      </w:pPr>
      <w:r>
        <w:rPr/>
      </w:r>
    </w:p>
    <w:p>
      <w:pPr>
        <w:pStyle w:val="normal2"/>
        <w:widowControl w:val="false"/>
        <w:spacing w:lineRule="auto" w:line="240"/>
        <w:rPr/>
      </w:pPr>
      <w:r>
        <w:rPr/>
        <w:t xml:space="preserve">There is </w:t>
      </w:r>
      <w:r>
        <w:rPr>
          <w:highlight w:val="yellow"/>
        </w:rPr>
        <w:t>[TREND1]</w:t>
      </w:r>
      <w:r>
        <w:rPr/>
        <w:t xml:space="preserve"> in national monitoring on data management in EU countries in </w:t>
      </w:r>
      <w:r>
        <w:rPr>
          <w:highlight w:val="yellow"/>
        </w:rPr>
        <w:t>[YEAR]</w:t>
      </w:r>
      <w:r>
        <w:rPr/>
        <w:t xml:space="preserve"> from the previous year and </w:t>
      </w:r>
      <w:r>
        <w:rPr>
          <w:highlight w:val="yellow"/>
        </w:rPr>
        <w:t>[TREND2]</w:t>
      </w:r>
      <w:r>
        <w:rPr/>
        <w:t xml:space="preserve"> since 2022 as shown in Figure 48.</w:t>
      </w:r>
    </w:p>
    <w:p>
      <w:pPr>
        <w:pStyle w:val="normal2"/>
        <w:widowControl w:val="false"/>
        <w:spacing w:lineRule="auto" w:line="240"/>
        <w:rPr/>
      </w:pPr>
      <w:r>
        <w:rPr/>
      </w:r>
    </w:p>
    <w:p>
      <w:pPr>
        <w:pStyle w:val="normal2"/>
        <w:jc w:val="center"/>
        <w:rPr>
          <w:i/>
          <w:i/>
          <w:iCs/>
        </w:rPr>
      </w:pPr>
      <w:r>
        <w:rPr>
          <w:highlight w:val="yellow"/>
        </w:rPr>
        <w:t>[FIGURE 48]</w:t>
      </w:r>
    </w:p>
    <w:p>
      <w:pPr>
        <w:pStyle w:val="normal2"/>
        <w:jc w:val="center"/>
        <w:rPr/>
      </w:pPr>
      <w:r>
        <w:rPr/>
      </w:r>
    </w:p>
    <w:p>
      <w:pPr>
        <w:pStyle w:val="normal2"/>
        <w:jc w:val="center"/>
        <w:rPr/>
      </w:pPr>
      <w:r>
        <w:rPr>
          <w:i/>
          <w:iCs/>
        </w:rPr>
        <w:t>Figure 48: Trend in EU Countries with a National Monitoring on Data Management</w:t>
      </w:r>
    </w:p>
    <w:p>
      <w:pPr>
        <w:pStyle w:val="normal2"/>
        <w:jc w:val="start"/>
        <w:rPr/>
      </w:pPr>
      <w:r>
        <w:rPr/>
      </w:r>
    </w:p>
    <w:p>
      <w:pPr>
        <w:pStyle w:val="normal2"/>
        <w:widowControl w:val="false"/>
        <w:spacing w:lineRule="auto" w:line="240"/>
        <w:rPr/>
      </w:pPr>
      <w:r>
        <w:rPr/>
        <w:t xml:space="preserve">There is </w:t>
      </w:r>
      <w:r>
        <w:rPr>
          <w:highlight w:val="yellow"/>
        </w:rPr>
        <w:t>[TREND1]</w:t>
      </w:r>
      <w:r>
        <w:rPr/>
        <w:t xml:space="preserve"> in national monitoring on FAIR data in EU countries in </w:t>
      </w:r>
      <w:r>
        <w:rPr>
          <w:highlight w:val="yellow"/>
        </w:rPr>
        <w:t>[YEAR]</w:t>
      </w:r>
      <w:r>
        <w:rPr/>
        <w:t xml:space="preserve"> from the previous year and </w:t>
      </w:r>
      <w:r>
        <w:rPr>
          <w:highlight w:val="yellow"/>
        </w:rPr>
        <w:t>[TREND2]</w:t>
      </w:r>
      <w:r>
        <w:rPr/>
        <w:t xml:space="preserve"> since 2022 as shown in Figure 49.</w:t>
      </w:r>
    </w:p>
    <w:p>
      <w:pPr>
        <w:pStyle w:val="normal2"/>
        <w:widowControl w:val="false"/>
        <w:spacing w:lineRule="auto" w:line="240"/>
        <w:rPr/>
      </w:pPr>
      <w:r>
        <w:rPr/>
      </w:r>
    </w:p>
    <w:p>
      <w:pPr>
        <w:pStyle w:val="normal2"/>
        <w:jc w:val="center"/>
        <w:rPr>
          <w:i/>
          <w:i/>
          <w:iCs/>
        </w:rPr>
      </w:pPr>
      <w:r>
        <w:rPr>
          <w:highlight w:val="yellow"/>
        </w:rPr>
        <w:t>[FIGURE 49]</w:t>
      </w:r>
    </w:p>
    <w:p>
      <w:pPr>
        <w:pStyle w:val="normal2"/>
        <w:jc w:val="center"/>
        <w:rPr/>
      </w:pPr>
      <w:r>
        <w:rPr/>
      </w:r>
    </w:p>
    <w:p>
      <w:pPr>
        <w:pStyle w:val="normal2"/>
        <w:jc w:val="center"/>
        <w:rPr/>
      </w:pPr>
      <w:r>
        <w:rPr>
          <w:i/>
          <w:iCs/>
        </w:rPr>
        <w:t>Figure 49: Trend in EU Countries with a National Monitoring on FAIR Data</w:t>
      </w:r>
    </w:p>
    <w:p>
      <w:pPr>
        <w:pStyle w:val="normal2"/>
        <w:widowControl w:val="false"/>
        <w:spacing w:lineRule="auto" w:line="240"/>
        <w:ind w:hanging="0" w:start="0"/>
        <w:rPr/>
      </w:pPr>
      <w:r>
        <w:rPr/>
      </w:r>
    </w:p>
    <w:p>
      <w:pPr>
        <w:pStyle w:val="normal2"/>
        <w:widowControl w:val="false"/>
        <w:spacing w:lineRule="auto" w:line="240"/>
        <w:rPr/>
      </w:pPr>
      <w:r>
        <w:rPr/>
        <w:t xml:space="preserve">There is </w:t>
      </w:r>
      <w:r>
        <w:rPr>
          <w:highlight w:val="yellow"/>
        </w:rPr>
        <w:t>[TREND1]</w:t>
      </w:r>
      <w:r>
        <w:rPr/>
        <w:t xml:space="preserve"> in national monitoring on open data in EU countries in </w:t>
      </w:r>
      <w:r>
        <w:rPr>
          <w:highlight w:val="yellow"/>
        </w:rPr>
        <w:t>[YEAR]</w:t>
      </w:r>
      <w:r>
        <w:rPr/>
        <w:t xml:space="preserve"> from the previous year and </w:t>
      </w:r>
      <w:r>
        <w:rPr>
          <w:highlight w:val="yellow"/>
        </w:rPr>
        <w:t>[TREND2]</w:t>
      </w:r>
      <w:r>
        <w:rPr/>
        <w:t xml:space="preserve"> since 2022 as shown in Figure 50.</w:t>
      </w:r>
    </w:p>
    <w:p>
      <w:pPr>
        <w:pStyle w:val="normal2"/>
        <w:widowControl w:val="false"/>
        <w:spacing w:lineRule="auto" w:line="240"/>
        <w:rPr/>
      </w:pPr>
      <w:r>
        <w:rPr/>
      </w:r>
    </w:p>
    <w:p>
      <w:pPr>
        <w:pStyle w:val="normal2"/>
        <w:jc w:val="center"/>
        <w:rPr>
          <w:i/>
          <w:i/>
          <w:iCs/>
        </w:rPr>
      </w:pPr>
      <w:r>
        <w:rPr>
          <w:highlight w:val="yellow"/>
        </w:rPr>
        <w:t>[FIGURE 50]</w:t>
      </w:r>
    </w:p>
    <w:p>
      <w:pPr>
        <w:pStyle w:val="normal2"/>
        <w:jc w:val="center"/>
        <w:rPr/>
      </w:pPr>
      <w:r>
        <w:rPr/>
      </w:r>
    </w:p>
    <w:p>
      <w:pPr>
        <w:pStyle w:val="normal2"/>
        <w:jc w:val="center"/>
        <w:rPr>
          <w:i/>
          <w:i/>
          <w:iCs/>
        </w:rPr>
      </w:pPr>
      <w:r>
        <w:rPr>
          <w:i/>
          <w:iCs/>
        </w:rPr>
        <w:t>Figure 50: Trend in EU Countries with a National Monitoring on Open Data</w:t>
      </w:r>
    </w:p>
    <w:p>
      <w:pPr>
        <w:pStyle w:val="normal2"/>
        <w:widowControl w:val="false"/>
        <w:spacing w:lineRule="auto" w:line="240"/>
        <w:ind w:hanging="0" w:start="0"/>
        <w:rPr/>
      </w:pPr>
      <w:r>
        <w:rPr/>
      </w:r>
    </w:p>
    <w:p>
      <w:pPr>
        <w:pStyle w:val="normal2"/>
        <w:widowControl w:val="false"/>
        <w:spacing w:lineRule="auto" w:line="240"/>
        <w:ind w:hanging="0" w:start="0"/>
        <w:rPr/>
      </w:pPr>
      <w:r>
        <w:rPr/>
        <w:t xml:space="preserve">There is furthermore </w:t>
      </w:r>
      <w:r>
        <w:rPr>
          <w:highlight w:val="yellow"/>
        </w:rPr>
        <w:t>[TREND1]</w:t>
      </w:r>
      <w:r>
        <w:rPr/>
        <w:t xml:space="preserve"> in national investments in data management per 1000 FTE researchers in EU countries in </w:t>
      </w:r>
      <w:r>
        <w:rPr>
          <w:highlight w:val="yellow"/>
        </w:rPr>
        <w:t>[YEAR]</w:t>
      </w:r>
      <w:r>
        <w:rPr/>
        <w:t xml:space="preserve"> from the previous year and </w:t>
      </w:r>
      <w:r>
        <w:rPr>
          <w:highlight w:val="yellow"/>
        </w:rPr>
        <w:t>[TREND2]</w:t>
      </w:r>
      <w:r>
        <w:rPr/>
        <w:t xml:space="preserve"> since 2022 as shown in Figure 51.</w:t>
      </w:r>
    </w:p>
    <w:p>
      <w:pPr>
        <w:pStyle w:val="normal2"/>
        <w:widowControl w:val="false"/>
        <w:spacing w:lineRule="auto" w:line="240"/>
        <w:ind w:hanging="0" w:start="0"/>
        <w:rPr/>
      </w:pPr>
      <w:r>
        <w:rPr/>
      </w:r>
    </w:p>
    <w:p>
      <w:pPr>
        <w:pStyle w:val="normal2"/>
        <w:jc w:val="center"/>
        <w:rPr>
          <w:i/>
          <w:i/>
          <w:iCs/>
        </w:rPr>
      </w:pPr>
      <w:r>
        <w:rPr>
          <w:highlight w:val="yellow"/>
        </w:rPr>
        <w:t>[FIGURE 51]</w:t>
      </w:r>
    </w:p>
    <w:p>
      <w:pPr>
        <w:pStyle w:val="normal2"/>
        <w:jc w:val="center"/>
        <w:rPr/>
      </w:pPr>
      <w:r>
        <w:rPr/>
      </w:r>
    </w:p>
    <w:p>
      <w:pPr>
        <w:pStyle w:val="normal2"/>
        <w:jc w:val="center"/>
        <w:rPr/>
      </w:pPr>
      <w:r>
        <w:rPr>
          <w:i/>
          <w:iCs/>
        </w:rPr>
        <w:t>Figure 51: Trend in EU Countries with National Investments in Data Management per 1000 FTE Researchers</w:t>
      </w:r>
    </w:p>
    <w:p>
      <w:pPr>
        <w:pStyle w:val="normal2"/>
        <w:jc w:val="start"/>
        <w:rPr/>
      </w:pPr>
      <w:r>
        <w:rPr/>
      </w:r>
    </w:p>
    <w:p>
      <w:pPr>
        <w:pStyle w:val="normal2"/>
        <w:widowControl w:val="false"/>
        <w:spacing w:lineRule="auto" w:line="240"/>
        <w:rPr/>
      </w:pPr>
      <w:r>
        <w:rPr/>
        <w:t xml:space="preserve">There is </w:t>
      </w:r>
      <w:r>
        <w:rPr>
          <w:highlight w:val="yellow"/>
        </w:rPr>
        <w:t>[TREND1]</w:t>
      </w:r>
      <w:r>
        <w:rPr/>
        <w:t xml:space="preserve"> in national investments in FAIR data per 1000 FTE researchers in EU countries in </w:t>
      </w:r>
      <w:r>
        <w:rPr>
          <w:highlight w:val="yellow"/>
        </w:rPr>
        <w:t>[YEAR]</w:t>
      </w:r>
      <w:r>
        <w:rPr/>
        <w:t xml:space="preserve"> from the previous year and </w:t>
      </w:r>
      <w:r>
        <w:rPr>
          <w:highlight w:val="yellow"/>
        </w:rPr>
        <w:t>[TREND2]</w:t>
      </w:r>
      <w:r>
        <w:rPr/>
        <w:t xml:space="preserve"> since 2022 as shown in Figure 52.</w:t>
      </w:r>
    </w:p>
    <w:p>
      <w:pPr>
        <w:pStyle w:val="normal2"/>
        <w:widowControl w:val="false"/>
        <w:spacing w:lineRule="auto" w:line="240"/>
        <w:rPr/>
      </w:pPr>
      <w:r>
        <w:rPr/>
      </w:r>
    </w:p>
    <w:p>
      <w:pPr>
        <w:pStyle w:val="normal2"/>
        <w:jc w:val="center"/>
        <w:rPr>
          <w:i/>
          <w:i/>
          <w:iCs/>
        </w:rPr>
      </w:pPr>
      <w:r>
        <w:rPr>
          <w:highlight w:val="yellow"/>
        </w:rPr>
        <w:t>[FIGURE 52]</w:t>
      </w:r>
    </w:p>
    <w:p>
      <w:pPr>
        <w:pStyle w:val="normal2"/>
        <w:jc w:val="center"/>
        <w:rPr/>
      </w:pPr>
      <w:r>
        <w:rPr/>
      </w:r>
    </w:p>
    <w:p>
      <w:pPr>
        <w:pStyle w:val="normal2"/>
        <w:jc w:val="center"/>
        <w:rPr/>
      </w:pPr>
      <w:r>
        <w:rPr>
          <w:i/>
          <w:iCs/>
        </w:rPr>
        <w:t>Figure 52: Trend in EU Countries with National Investments in FAIR Data per 1000 FTE Researchers</w:t>
      </w:r>
    </w:p>
    <w:p>
      <w:pPr>
        <w:pStyle w:val="normal2"/>
        <w:widowControl w:val="false"/>
        <w:spacing w:lineRule="auto" w:line="240"/>
        <w:ind w:hanging="0" w:start="0"/>
        <w:rPr/>
      </w:pPr>
      <w:r>
        <w:rPr/>
      </w:r>
    </w:p>
    <w:p>
      <w:pPr>
        <w:pStyle w:val="normal2"/>
        <w:widowControl w:val="false"/>
        <w:spacing w:lineRule="auto" w:line="240"/>
        <w:rPr/>
      </w:pPr>
      <w:r>
        <w:rPr/>
        <w:t xml:space="preserve">There is finally </w:t>
      </w:r>
      <w:r>
        <w:rPr>
          <w:highlight w:val="yellow"/>
        </w:rPr>
        <w:t>[TREND1]</w:t>
      </w:r>
      <w:r>
        <w:rPr/>
        <w:t xml:space="preserve"> in national investments in open data per 1000 FTE researchers in EU countries in </w:t>
      </w:r>
      <w:r>
        <w:rPr>
          <w:highlight w:val="yellow"/>
        </w:rPr>
        <w:t>[YEAR]</w:t>
      </w:r>
      <w:r>
        <w:rPr/>
        <w:t xml:space="preserve"> from the previous year and </w:t>
      </w:r>
      <w:r>
        <w:rPr>
          <w:highlight w:val="yellow"/>
        </w:rPr>
        <w:t>[TREND2]</w:t>
      </w:r>
      <w:r>
        <w:rPr/>
        <w:t xml:space="preserve"> since 2022 as shown in Figure 53.</w:t>
      </w:r>
    </w:p>
    <w:p>
      <w:pPr>
        <w:pStyle w:val="normal2"/>
        <w:widowControl w:val="false"/>
        <w:spacing w:lineRule="auto" w:line="240"/>
        <w:rPr/>
      </w:pPr>
      <w:r>
        <w:rPr/>
      </w:r>
    </w:p>
    <w:p>
      <w:pPr>
        <w:pStyle w:val="normal2"/>
        <w:jc w:val="center"/>
        <w:rPr>
          <w:i/>
          <w:i/>
          <w:iCs/>
        </w:rPr>
      </w:pPr>
      <w:r>
        <w:rPr>
          <w:highlight w:val="yellow"/>
        </w:rPr>
        <w:t>[FIGURE 53]</w:t>
      </w:r>
    </w:p>
    <w:p>
      <w:pPr>
        <w:pStyle w:val="normal2"/>
        <w:jc w:val="center"/>
        <w:rPr/>
      </w:pPr>
      <w:r>
        <w:rPr/>
      </w:r>
    </w:p>
    <w:p>
      <w:pPr>
        <w:pStyle w:val="normal2"/>
        <w:jc w:val="center"/>
        <w:rPr/>
      </w:pPr>
      <w:r>
        <w:rPr>
          <w:i/>
          <w:iCs/>
        </w:rPr>
        <w:t>Figure 53: Trend in EU Countries with National Investments in Open Data per 1000 FTE Researchers</w:t>
      </w:r>
    </w:p>
    <w:p>
      <w:pPr>
        <w:pStyle w:val="normal2"/>
        <w:jc w:val="start"/>
        <w:rPr/>
      </w:pPr>
      <w:r>
        <w:rPr/>
      </w:r>
    </w:p>
    <w:p>
      <w:pPr>
        <w:pStyle w:val="normal2"/>
        <w:widowControl w:val="false"/>
        <w:numPr>
          <w:ilvl w:val="0"/>
          <w:numId w:val="1"/>
        </w:numPr>
        <w:spacing w:lineRule="auto" w:line="240"/>
        <w:ind w:hanging="360" w:start="720"/>
        <w:rPr/>
      </w:pPr>
      <w:r>
        <w:rPr/>
        <w:t>Software</w:t>
      </w:r>
    </w:p>
    <w:p>
      <w:pPr>
        <w:pStyle w:val="normal2"/>
        <w:widowControl w:val="false"/>
        <w:spacing w:lineRule="auto" w:line="240"/>
        <w:ind w:hanging="0" w:start="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Policies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Policy on Software</w:t>
      </w:r>
    </w:p>
    <w:p>
      <w:pPr>
        <w:pStyle w:val="normal2"/>
        <w:widowControl w:val="false"/>
        <w:spacing w:lineRule="auto" w:line="240"/>
        <w:ind w:hanging="0" w:start="0"/>
        <w:rPr/>
      </w:pPr>
      <w:r>
        <w:rPr/>
      </w:r>
    </w:p>
    <w:p>
      <w:pPr>
        <w:pStyle w:val="normal2"/>
        <w:widowControl w:val="false"/>
        <w:spacing w:lineRule="auto" w:line="240"/>
        <w:rPr/>
      </w:pPr>
      <w:r>
        <w:rPr/>
        <w:t xml:space="preserve">The first main policy question on open source software in Survey </w:t>
      </w:r>
      <w:r>
        <w:rPr>
          <w:highlight w:val="yellow"/>
        </w:rPr>
        <w:t>[YEAR]</w:t>
      </w:r>
      <w:r>
        <w:rPr/>
        <w:t xml:space="preserve"> is </w:t>
      </w:r>
      <w:r>
        <w:rPr>
          <w:i/>
          <w:iCs/>
        </w:rPr>
        <w:t>Does your country have a national policy on open source software?</w:t>
      </w:r>
      <w:r>
        <w:rPr/>
        <w:t xml:space="preserve"> (Q17) followed by </w:t>
      </w:r>
      <w:r>
        <w:rPr>
          <w:i/>
          <w:iCs/>
        </w:rPr>
        <w:t>Is this policy mandatory?</w:t>
      </w:r>
      <w:r>
        <w:rPr/>
        <w:t xml:space="preserve"> (Q17.1). </w:t>
      </w:r>
      <w:r>
        <w:rPr>
          <w:highlight w:val="yellow"/>
        </w:rPr>
        <w:t>[%]</w:t>
      </w:r>
      <w:r>
        <w:rPr/>
        <w:t xml:space="preserve"> (</w:t>
      </w:r>
      <w:r>
        <w:rPr>
          <w:highlight w:val="yellow"/>
        </w:rPr>
        <w:t>[#]</w:t>
      </w:r>
      <w:r>
        <w:rPr/>
        <w:t>/</w:t>
      </w:r>
      <w:r>
        <w:rPr>
          <w:highlight w:val="yellow"/>
        </w:rPr>
        <w:t>[#]</w:t>
      </w:r>
      <w:r>
        <w:rPr/>
        <w:t xml:space="preserve">) of responding EU countries have a national policy on open source software whereby </w:t>
      </w:r>
      <w:r>
        <w:rPr>
          <w:highlight w:val="yellow"/>
        </w:rPr>
        <w:t>[%]</w:t>
      </w:r>
      <w:r>
        <w:rPr/>
        <w:t xml:space="preserve"> (</w:t>
      </w:r>
      <w:r>
        <w:rPr>
          <w:highlight w:val="yellow"/>
        </w:rPr>
        <w:t>[#]</w:t>
      </w:r>
      <w:r>
        <w:rPr/>
        <w:t>/</w:t>
      </w:r>
      <w:r>
        <w:rPr>
          <w:highlight w:val="yellow"/>
        </w:rPr>
        <w:t>[#]</w:t>
      </w:r>
      <w:r>
        <w:rPr/>
        <w:t>) are mandatory as shown in Figures 54 and 55.</w:t>
      </w:r>
    </w:p>
    <w:p>
      <w:pPr>
        <w:pStyle w:val="normal2"/>
        <w:widowControl w:val="false"/>
        <w:spacing w:lineRule="auto" w:line="240"/>
        <w:rPr/>
      </w:pPr>
      <w:r>
        <w:rPr/>
      </w:r>
    </w:p>
    <w:p>
      <w:pPr>
        <w:pStyle w:val="normal2"/>
        <w:jc w:val="center"/>
        <w:rPr>
          <w:i/>
          <w:i/>
          <w:iCs/>
        </w:rPr>
      </w:pPr>
      <w:r>
        <w:rPr>
          <w:highlight w:val="yellow"/>
        </w:rPr>
        <w:t>[FIGURE 54]</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2"/>
        <w:jc w:val="center"/>
        <w:rPr>
          <w:i/>
          <w:i/>
          <w:iCs/>
        </w:rPr>
      </w:pPr>
      <w:r>
        <w:rPr>
          <w:highlight w:val="yellow"/>
        </w:rPr>
        <w:t>[FIGURE 55]</w:t>
      </w:r>
    </w:p>
    <w:p>
      <w:pPr>
        <w:pStyle w:val="normal2"/>
        <w:jc w:val="center"/>
        <w:rPr/>
      </w:pPr>
      <w:r>
        <w:rPr/>
      </w:r>
    </w:p>
    <w:p>
      <w:pPr>
        <w:pStyle w:val="normal2"/>
        <w:jc w:val="center"/>
        <w:rPr/>
      </w:pPr>
      <w:r>
        <w:rPr>
          <w:i/>
          <w:iCs/>
        </w:rPr>
        <w:t>Figure 55: Share of EU Countries with a National Policy on Open Source Software</w:t>
      </w:r>
    </w:p>
    <w:p>
      <w:pPr>
        <w:pStyle w:val="normal2"/>
        <w:jc w:val="start"/>
        <w:rPr/>
      </w:pPr>
      <w:r>
        <w:rPr/>
      </w:r>
    </w:p>
    <w:p>
      <w:pPr>
        <w:pStyle w:val="normal2"/>
        <w:widowControl w:val="false"/>
        <w:numPr>
          <w:ilvl w:val="2"/>
          <w:numId w:val="1"/>
        </w:numPr>
        <w:spacing w:lineRule="auto" w:line="240"/>
        <w:ind w:hanging="360" w:start="2160"/>
        <w:rPr/>
      </w:pPr>
      <w:r>
        <w:rPr/>
        <w:t>Financial Strategy on Software</w:t>
      </w:r>
    </w:p>
    <w:p>
      <w:pPr>
        <w:pStyle w:val="normal2"/>
        <w:widowControl w:val="false"/>
        <w:spacing w:lineRule="auto" w:line="240"/>
        <w:rPr/>
      </w:pPr>
      <w:r>
        <w:rPr/>
      </w:r>
    </w:p>
    <w:p>
      <w:pPr>
        <w:pStyle w:val="normal2"/>
        <w:widowControl w:val="false"/>
        <w:spacing w:lineRule="auto" w:line="240"/>
        <w:rPr/>
      </w:pPr>
      <w:r>
        <w:rPr/>
        <w:t xml:space="preserve">The second main policy question on open source software in Survey </w:t>
      </w:r>
      <w:r>
        <w:rPr>
          <w:highlight w:val="yellow"/>
        </w:rPr>
        <w:t>[YEAR]</w:t>
      </w:r>
      <w:r>
        <w:rPr/>
        <w:t xml:space="preserve"> is </w:t>
      </w:r>
      <w:r>
        <w:rPr>
          <w:i/>
          <w:iCs/>
        </w:rPr>
        <w:t>Does your country have a financial strategy on open source software?</w:t>
      </w:r>
      <w:r>
        <w:rPr/>
        <w:t xml:space="preserve"> (Q18). </w:t>
      </w:r>
      <w:r>
        <w:rPr>
          <w:highlight w:val="yellow"/>
        </w:rPr>
        <w:t>[%]</w:t>
      </w:r>
      <w:r>
        <w:rPr/>
        <w:t xml:space="preserve"> (</w:t>
      </w:r>
      <w:r>
        <w:rPr>
          <w:highlight w:val="yellow"/>
        </w:rPr>
        <w:t>[#]</w:t>
      </w:r>
      <w:r>
        <w:rPr/>
        <w:t>/</w:t>
      </w:r>
      <w:r>
        <w:rPr>
          <w:highlight w:val="yellow"/>
        </w:rPr>
        <w:t>[#]</w:t>
      </w:r>
      <w:r>
        <w:rPr/>
        <w:t>) of responding EU countries have a financial strategy on open source software as shown in Figures 56 and 57.</w:t>
      </w:r>
    </w:p>
    <w:p>
      <w:pPr>
        <w:pStyle w:val="normal2"/>
        <w:widowControl w:val="false"/>
        <w:spacing w:lineRule="auto" w:line="240"/>
        <w:rPr/>
      </w:pPr>
      <w:r>
        <w:rPr/>
      </w:r>
    </w:p>
    <w:p>
      <w:pPr>
        <w:pStyle w:val="normal2"/>
        <w:jc w:val="center"/>
        <w:rPr>
          <w:i/>
          <w:i/>
          <w:iCs/>
        </w:rPr>
      </w:pPr>
      <w:r>
        <w:rPr>
          <w:highlight w:val="yellow"/>
        </w:rPr>
        <w:t>[FIGURE 56]</w:t>
      </w:r>
    </w:p>
    <w:p>
      <w:pPr>
        <w:pStyle w:val="normal2"/>
        <w:jc w:val="center"/>
        <w:rPr/>
      </w:pPr>
      <w:r>
        <w:rPr/>
      </w:r>
    </w:p>
    <w:p>
      <w:pPr>
        <w:pStyle w:val="normal2"/>
        <w:jc w:val="center"/>
        <w:rPr/>
      </w:pPr>
      <w:r>
        <w:rPr>
          <w:i/>
          <w:iCs/>
        </w:rPr>
        <w:t>Figure 56: Map of EU Countries with a Financial Strategy on Open Source Software</w:t>
      </w:r>
    </w:p>
    <w:p>
      <w:pPr>
        <w:pStyle w:val="normal2"/>
        <w:widowControl w:val="false"/>
        <w:spacing w:lineRule="auto" w:line="240"/>
        <w:rPr/>
      </w:pPr>
      <w:r>
        <w:rPr/>
      </w:r>
    </w:p>
    <w:p>
      <w:pPr>
        <w:pStyle w:val="normal2"/>
        <w:jc w:val="center"/>
        <w:rPr>
          <w:i/>
          <w:i/>
          <w:iCs/>
        </w:rPr>
      </w:pPr>
      <w:r>
        <w:rPr>
          <w:highlight w:val="yellow"/>
        </w:rPr>
        <w:t>[FIGURE 57]</w:t>
      </w:r>
    </w:p>
    <w:p>
      <w:pPr>
        <w:pStyle w:val="normal2"/>
        <w:jc w:val="center"/>
        <w:rPr/>
      </w:pPr>
      <w:r>
        <w:rPr/>
      </w:r>
    </w:p>
    <w:p>
      <w:pPr>
        <w:pStyle w:val="normal2"/>
        <w:jc w:val="center"/>
        <w:rPr/>
      </w:pPr>
      <w:r>
        <w:rPr>
          <w:i/>
          <w:iCs/>
        </w:rPr>
        <w:t>Figure 57: Share of EU Countries with a Financial Strategy on Open Source Software</w:t>
      </w:r>
    </w:p>
    <w:p>
      <w:pPr>
        <w:pStyle w:val="normal2"/>
        <w:widowControl w:val="false"/>
        <w:spacing w:lineRule="auto" w:line="240"/>
        <w:ind w:hanging="0" w:start="0"/>
        <w:rPr/>
      </w:pPr>
      <w:r>
        <w:rPr/>
      </w:r>
    </w:p>
    <w:p>
      <w:pPr>
        <w:pStyle w:val="normal2"/>
        <w:widowControl w:val="false"/>
        <w:numPr>
          <w:ilvl w:val="1"/>
          <w:numId w:val="1"/>
        </w:numPr>
        <w:spacing w:lineRule="auto" w:line="240"/>
        <w:ind w:hanging="360" w:start="1440"/>
        <w:rPr/>
      </w:pPr>
      <w:r>
        <w:rPr/>
        <w:t>Practices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Monitoring on Software</w:t>
      </w:r>
    </w:p>
    <w:p>
      <w:pPr>
        <w:pStyle w:val="normal2"/>
        <w:widowControl w:val="false"/>
        <w:spacing w:lineRule="auto" w:line="240"/>
        <w:rPr/>
      </w:pPr>
      <w:r>
        <w:rPr/>
      </w:r>
    </w:p>
    <w:p>
      <w:pPr>
        <w:pStyle w:val="normal2"/>
        <w:widowControl w:val="false"/>
        <w:spacing w:lineRule="auto" w:line="240"/>
        <w:rPr/>
      </w:pPr>
      <w:r>
        <w:rPr/>
        <w:t xml:space="preserve">The first main practice question on open source software in Survey </w:t>
      </w:r>
      <w:r>
        <w:rPr>
          <w:highlight w:val="yellow"/>
        </w:rPr>
        <w:t>[YEAR]</w:t>
      </w:r>
      <w:r>
        <w:rPr/>
        <w:t xml:space="preserve"> is </w:t>
      </w:r>
      <w:r>
        <w:rPr>
          <w:i/>
          <w:iCs/>
        </w:rPr>
        <w:t>Does your country have a national monitoring on open source software?</w:t>
      </w:r>
      <w:r>
        <w:rPr/>
        <w:t xml:space="preserve"> (Q65). </w:t>
      </w:r>
      <w:r>
        <w:rPr>
          <w:highlight w:val="yellow"/>
        </w:rPr>
        <w:t>[%]</w:t>
      </w:r>
      <w:r>
        <w:rPr/>
        <w:t xml:space="preserve"> (</w:t>
      </w:r>
      <w:r>
        <w:rPr>
          <w:highlight w:val="yellow"/>
        </w:rPr>
        <w:t>[#]</w:t>
      </w:r>
      <w:r>
        <w:rPr/>
        <w:t>/</w:t>
      </w:r>
      <w:r>
        <w:rPr>
          <w:highlight w:val="yellow"/>
        </w:rPr>
        <w:t>[#]</w:t>
      </w:r>
      <w:r>
        <w:rPr/>
        <w:t>) of responding EU countries have a national monitoring on open source software as shown in Figures 58 and 59.</w:t>
      </w:r>
    </w:p>
    <w:p>
      <w:pPr>
        <w:pStyle w:val="normal2"/>
        <w:widowControl w:val="false"/>
        <w:spacing w:lineRule="auto" w:line="240"/>
        <w:rPr/>
      </w:pPr>
      <w:r>
        <w:rPr/>
      </w:r>
    </w:p>
    <w:p>
      <w:pPr>
        <w:pStyle w:val="normal2"/>
        <w:jc w:val="center"/>
        <w:rPr>
          <w:i/>
          <w:i/>
          <w:iCs/>
        </w:rPr>
      </w:pPr>
      <w:r>
        <w:rPr>
          <w:highlight w:val="yellow"/>
        </w:rPr>
        <w:t>[FIGURE 58]</w:t>
      </w:r>
    </w:p>
    <w:p>
      <w:pPr>
        <w:pStyle w:val="normal2"/>
        <w:jc w:val="center"/>
        <w:rPr/>
      </w:pPr>
      <w:r>
        <w:rPr/>
      </w:r>
    </w:p>
    <w:p>
      <w:pPr>
        <w:pStyle w:val="normal2"/>
        <w:jc w:val="center"/>
        <w:rPr/>
      </w:pPr>
      <w:r>
        <w:rPr>
          <w:i/>
          <w:iCs/>
        </w:rPr>
        <w:t>Figure 58: Map of EU Countries with a National Monitoring on Open Source Software</w:t>
      </w:r>
    </w:p>
    <w:p>
      <w:pPr>
        <w:pStyle w:val="normal2"/>
        <w:widowControl w:val="false"/>
        <w:spacing w:lineRule="auto" w:line="240"/>
        <w:rPr/>
      </w:pPr>
      <w:r>
        <w:rPr/>
      </w:r>
    </w:p>
    <w:p>
      <w:pPr>
        <w:pStyle w:val="normal2"/>
        <w:jc w:val="center"/>
        <w:rPr>
          <w:i/>
          <w:i/>
          <w:iCs/>
        </w:rPr>
      </w:pPr>
      <w:r>
        <w:rPr>
          <w:highlight w:val="yellow"/>
        </w:rPr>
        <w:t>[FIGURE 59]</w:t>
      </w:r>
    </w:p>
    <w:p>
      <w:pPr>
        <w:pStyle w:val="normal2"/>
        <w:jc w:val="center"/>
        <w:rPr/>
      </w:pPr>
      <w:r>
        <w:rPr/>
      </w:r>
    </w:p>
    <w:p>
      <w:pPr>
        <w:pStyle w:val="normal2"/>
        <w:jc w:val="center"/>
        <w:rPr/>
      </w:pPr>
      <w:r>
        <w:rPr>
          <w:i/>
          <w:iCs/>
        </w:rPr>
        <w:t>Figure 59: Share of EU Countries with a National Monitoring on Open Source Software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Investments in Software</w:t>
      </w:r>
    </w:p>
    <w:p>
      <w:pPr>
        <w:pStyle w:val="normal2"/>
        <w:widowControl w:val="false"/>
        <w:spacing w:lineRule="auto" w:line="240"/>
        <w:rPr/>
      </w:pPr>
      <w:r>
        <w:rPr/>
      </w:r>
    </w:p>
    <w:p>
      <w:pPr>
        <w:pStyle w:val="normal2"/>
        <w:widowControl w:val="false"/>
        <w:spacing w:lineRule="auto" w:line="240"/>
        <w:rPr/>
      </w:pPr>
      <w:r>
        <w:rPr/>
        <w:t xml:space="preserve">The second main practice question on open source software in Survey </w:t>
      </w:r>
      <w:r>
        <w:rPr>
          <w:highlight w:val="yellow"/>
        </w:rPr>
        <w:t>[YEAR]</w:t>
      </w:r>
      <w:r>
        <w:rPr/>
        <w:t xml:space="preserve"> is </w:t>
      </w:r>
      <w:r>
        <w:rPr>
          <w:i/>
          <w:iCs/>
        </w:rPr>
        <w:t xml:space="preserve">How much did your country financially invest in open source software in </w:t>
      </w:r>
      <w:r>
        <w:rPr>
          <w:i/>
          <w:iCs/>
          <w:highlight w:val="yellow"/>
        </w:rPr>
        <w:t>[YEAR]</w:t>
      </w:r>
      <w:r>
        <w:rPr>
          <w:i/>
          <w:iCs/>
        </w:rPr>
        <w:t xml:space="preserve"> in millions of Euros?</w:t>
      </w:r>
      <w:r>
        <w:rPr/>
        <w:t xml:space="preserve"> (Q67).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open source software.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60.</w:t>
      </w:r>
    </w:p>
    <w:p>
      <w:pPr>
        <w:pStyle w:val="normal2"/>
        <w:widowControl w:val="false"/>
        <w:spacing w:lineRule="auto" w:line="240"/>
        <w:rPr/>
      </w:pPr>
      <w:r>
        <w:rPr/>
      </w:r>
    </w:p>
    <w:p>
      <w:pPr>
        <w:pStyle w:val="normal2"/>
        <w:jc w:val="center"/>
        <w:rPr>
          <w:i/>
          <w:i/>
          <w:iCs/>
        </w:rPr>
      </w:pPr>
      <w:r>
        <w:rPr>
          <w:highlight w:val="yellow"/>
        </w:rPr>
        <w:t>[FIGURE 60]</w:t>
      </w:r>
    </w:p>
    <w:p>
      <w:pPr>
        <w:pStyle w:val="normal2"/>
        <w:jc w:val="center"/>
        <w:rPr/>
      </w:pPr>
      <w:r>
        <w:rPr/>
      </w:r>
    </w:p>
    <w:p>
      <w:pPr>
        <w:pStyle w:val="normal2"/>
        <w:jc w:val="center"/>
        <w:rPr/>
      </w:pPr>
      <w:r>
        <w:rPr>
          <w:i/>
          <w:iCs/>
        </w:rPr>
        <w:t>Figure 60: Share of EU Countries with National Investments in Open 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Impact</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Policies on Software</w:t>
      </w:r>
    </w:p>
    <w:p>
      <w:pPr>
        <w:pStyle w:val="normal2"/>
        <w:widowControl w:val="false"/>
        <w:spacing w:lineRule="auto" w:line="240"/>
        <w:rPr/>
      </w:pPr>
      <w:r>
        <w:rPr/>
      </w:r>
    </w:p>
    <w:p>
      <w:pPr>
        <w:pStyle w:val="normal2"/>
        <w:widowControl w:val="false"/>
        <w:spacing w:lineRule="auto" w:line="240"/>
        <w:rPr/>
      </w:pPr>
      <w:r>
        <w:rPr/>
        <w:t xml:space="preserve">There is </w:t>
      </w:r>
      <w:commentRangeStart w:id="21"/>
      <w:r>
        <w:rPr>
          <w:highlight w:val="yellow"/>
        </w:rPr>
        <w:t>[TREND1]</w:t>
      </w:r>
      <w:r>
        <w:rPr>
          <w:highlight w:val="yellow"/>
        </w:rPr>
      </w:r>
      <w:commentRangeEnd w:id="21"/>
      <w:r>
        <w:commentReference w:id="21"/>
      </w:r>
      <w:r>
        <w:rPr/>
        <w:t xml:space="preserve"> in national policies on open source software in EU countries in </w:t>
      </w:r>
      <w:r>
        <w:rPr>
          <w:highlight w:val="yellow"/>
        </w:rPr>
        <w:t>[YEAR]</w:t>
      </w:r>
      <w:r>
        <w:rPr/>
        <w:t xml:space="preserve"> from the previous year and </w:t>
      </w:r>
      <w:commentRangeStart w:id="22"/>
      <w:commentRangeStart w:id="23"/>
      <w:r>
        <w:rPr>
          <w:highlight w:val="yellow"/>
        </w:rPr>
        <w:t>[TREND2]</w:t>
      </w:r>
      <w:r>
        <w:rPr>
          <w:highlight w:val="yellow"/>
        </w:rPr>
      </w:r>
      <w:commentRangeEnd w:id="23"/>
      <w:r>
        <w:commentReference w:id="23"/>
      </w:r>
      <w:r>
        <w:rPr>
          <w:highlight w:val="yellow"/>
        </w:rPr>
      </w:r>
      <w:commentRangeEnd w:id="22"/>
      <w:r>
        <w:commentReference w:id="22"/>
      </w:r>
      <w:r>
        <w:rPr/>
        <w:t xml:space="preserve"> since 2022 whereby there is </w:t>
      </w:r>
      <w:commentRangeStart w:id="24"/>
      <w:r>
        <w:rPr>
          <w:highlight w:val="yellow"/>
        </w:rPr>
        <w:t>[TREND1]</w:t>
      </w:r>
      <w:r>
        <w:rPr>
          <w:highlight w:val="yellow"/>
        </w:rPr>
      </w:r>
      <w:commentRangeEnd w:id="24"/>
      <w:r>
        <w:commentReference w:id="24"/>
      </w:r>
      <w:r>
        <w:rPr/>
        <w:t xml:space="preserve"> in mandatory policies in </w:t>
      </w:r>
      <w:r>
        <w:rPr>
          <w:highlight w:val="yellow"/>
        </w:rPr>
        <w:t>[YEAR]</w:t>
      </w:r>
      <w:r>
        <w:rPr/>
        <w:t xml:space="preserve"> from the previous year and </w:t>
      </w:r>
      <w:commentRangeStart w:id="25"/>
      <w:commentRangeStart w:id="26"/>
      <w:r>
        <w:rPr>
          <w:highlight w:val="yellow"/>
        </w:rPr>
        <w:t>[TREND2]</w:t>
      </w:r>
      <w:r>
        <w:rPr>
          <w:highlight w:val="yellow"/>
        </w:rPr>
      </w:r>
      <w:commentRangeEnd w:id="26"/>
      <w:r>
        <w:commentReference w:id="26"/>
      </w:r>
      <w:r>
        <w:rPr>
          <w:highlight w:val="yellow"/>
        </w:rPr>
      </w:r>
      <w:commentRangeEnd w:id="25"/>
      <w:r>
        <w:commentReference w:id="25"/>
      </w:r>
      <w:r>
        <w:rPr/>
        <w:t xml:space="preserve"> since 2022 as shown in Figure 61.</w:t>
      </w:r>
    </w:p>
    <w:p>
      <w:pPr>
        <w:pStyle w:val="normal2"/>
        <w:widowControl w:val="false"/>
        <w:spacing w:lineRule="auto" w:line="240"/>
        <w:rPr/>
      </w:pPr>
      <w:r>
        <w:rPr/>
      </w:r>
    </w:p>
    <w:p>
      <w:pPr>
        <w:pStyle w:val="normal2"/>
        <w:jc w:val="center"/>
        <w:rPr>
          <w:i/>
          <w:i/>
          <w:iCs/>
        </w:rPr>
      </w:pPr>
      <w:r>
        <w:rPr>
          <w:highlight w:val="yellow"/>
        </w:rPr>
        <w:t>[FIGURE 61]</w:t>
      </w:r>
    </w:p>
    <w:p>
      <w:pPr>
        <w:pStyle w:val="normal2"/>
        <w:jc w:val="center"/>
        <w:rPr/>
      </w:pPr>
      <w:r>
        <w:rPr/>
      </w:r>
    </w:p>
    <w:p>
      <w:pPr>
        <w:pStyle w:val="normal2"/>
        <w:jc w:val="center"/>
        <w:rPr/>
      </w:pPr>
      <w:r>
        <w:rPr>
          <w:i/>
          <w:iCs/>
        </w:rPr>
        <w:t>Figure 61: Trend in EU Countries with a National Policy on Open Source Software</w:t>
      </w:r>
    </w:p>
    <w:p>
      <w:pPr>
        <w:pStyle w:val="normal2"/>
        <w:jc w:val="start"/>
        <w:rPr/>
      </w:pPr>
      <w:r>
        <w:rPr/>
      </w:r>
    </w:p>
    <w:p>
      <w:pPr>
        <w:pStyle w:val="normal2"/>
        <w:widowControl w:val="false"/>
        <w:spacing w:lineRule="auto" w:line="240"/>
        <w:rPr/>
      </w:pPr>
      <w:r>
        <w:rPr/>
        <w:t xml:space="preserve">There is </w:t>
      </w:r>
      <w:r>
        <w:rPr>
          <w:highlight w:val="yellow"/>
        </w:rPr>
        <w:t>[TREND1]</w:t>
      </w:r>
      <w:r>
        <w:rPr/>
        <w:t xml:space="preserve"> in financial strategies on open source software in EU countries in </w:t>
      </w:r>
      <w:r>
        <w:rPr>
          <w:highlight w:val="yellow"/>
        </w:rPr>
        <w:t>[YEAR]</w:t>
      </w:r>
      <w:r>
        <w:rPr/>
        <w:t xml:space="preserve"> from the previous year and </w:t>
      </w:r>
      <w:r>
        <w:rPr>
          <w:highlight w:val="yellow"/>
        </w:rPr>
        <w:t>[TREND2]</w:t>
      </w:r>
      <w:r>
        <w:rPr/>
        <w:t xml:space="preserve"> since 2022 as shown in Figure 62.</w:t>
      </w:r>
    </w:p>
    <w:p>
      <w:pPr>
        <w:pStyle w:val="normal2"/>
        <w:widowControl w:val="false"/>
        <w:spacing w:lineRule="auto" w:line="240"/>
        <w:rPr/>
      </w:pPr>
      <w:r>
        <w:rPr/>
      </w:r>
    </w:p>
    <w:p>
      <w:pPr>
        <w:pStyle w:val="normal2"/>
        <w:jc w:val="center"/>
        <w:rPr>
          <w:i/>
          <w:i/>
          <w:iCs/>
        </w:rPr>
      </w:pPr>
      <w:r>
        <w:rPr>
          <w:highlight w:val="yellow"/>
        </w:rPr>
        <w:t>[FIGURE 62]</w:t>
      </w:r>
    </w:p>
    <w:p>
      <w:pPr>
        <w:pStyle w:val="normal2"/>
        <w:jc w:val="center"/>
        <w:rPr/>
      </w:pPr>
      <w:r>
        <w:rPr/>
      </w:r>
    </w:p>
    <w:p>
      <w:pPr>
        <w:pStyle w:val="normal2"/>
        <w:jc w:val="center"/>
        <w:rPr/>
      </w:pPr>
      <w:r>
        <w:rPr>
          <w:i/>
          <w:iCs/>
        </w:rPr>
        <w:t>Figure 62: Trend in EU Countries with a Financial Strategy on Open Source Software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Practices on Software</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monitoring on open source software in EU countries in </w:t>
      </w:r>
      <w:r>
        <w:rPr>
          <w:highlight w:val="yellow"/>
        </w:rPr>
        <w:t>[YEAR]</w:t>
      </w:r>
      <w:r>
        <w:rPr/>
        <w:t xml:space="preserve"> from the previous year and </w:t>
      </w:r>
      <w:r>
        <w:rPr>
          <w:highlight w:val="yellow"/>
        </w:rPr>
        <w:t>[TREND2]</w:t>
      </w:r>
      <w:r>
        <w:rPr/>
        <w:t xml:space="preserve"> since 2022 as shown in Figure 63.</w:t>
      </w:r>
    </w:p>
    <w:p>
      <w:pPr>
        <w:pStyle w:val="normal2"/>
        <w:widowControl w:val="false"/>
        <w:spacing w:lineRule="auto" w:line="240"/>
        <w:rPr/>
      </w:pPr>
      <w:r>
        <w:rPr/>
      </w:r>
    </w:p>
    <w:p>
      <w:pPr>
        <w:pStyle w:val="normal2"/>
        <w:jc w:val="center"/>
        <w:rPr>
          <w:i/>
          <w:i/>
          <w:iCs/>
        </w:rPr>
      </w:pPr>
      <w:r>
        <w:rPr>
          <w:highlight w:val="yellow"/>
        </w:rPr>
        <w:t>[FIGURE 63]</w:t>
      </w:r>
    </w:p>
    <w:p>
      <w:pPr>
        <w:pStyle w:val="normal2"/>
        <w:jc w:val="center"/>
        <w:rPr/>
      </w:pPr>
      <w:r>
        <w:rPr/>
      </w:r>
    </w:p>
    <w:p>
      <w:pPr>
        <w:pStyle w:val="normal2"/>
        <w:jc w:val="center"/>
        <w:rPr>
          <w:i/>
          <w:i/>
          <w:iCs/>
        </w:rPr>
      </w:pPr>
      <w:r>
        <w:rPr>
          <w:i/>
          <w:iCs/>
        </w:rPr>
        <w:t>Figure 63: Trend in EU Countries with a National Monitoring on Open Source Software</w:t>
      </w:r>
    </w:p>
    <w:p>
      <w:pPr>
        <w:pStyle w:val="normal2"/>
        <w:widowControl w:val="false"/>
        <w:spacing w:lineRule="auto" w:line="240"/>
        <w:rPr/>
      </w:pPr>
      <w:r>
        <w:rPr/>
      </w:r>
    </w:p>
    <w:p>
      <w:pPr>
        <w:pStyle w:val="normal2"/>
        <w:widowControl w:val="false"/>
        <w:spacing w:lineRule="auto" w:line="240"/>
        <w:rPr/>
      </w:pPr>
      <w:r>
        <w:rPr/>
        <w:t xml:space="preserve">There is finally </w:t>
      </w:r>
      <w:r>
        <w:rPr>
          <w:highlight w:val="yellow"/>
        </w:rPr>
        <w:t>[TREND1]</w:t>
      </w:r>
      <w:r>
        <w:rPr/>
        <w:t xml:space="preserve"> in national investments in open source software per 1000 FTE researchers in EU countries in </w:t>
      </w:r>
      <w:r>
        <w:rPr>
          <w:highlight w:val="yellow"/>
        </w:rPr>
        <w:t>[YEAR]</w:t>
      </w:r>
      <w:r>
        <w:rPr/>
        <w:t xml:space="preserve"> from the previous year and </w:t>
      </w:r>
      <w:r>
        <w:rPr>
          <w:highlight w:val="yellow"/>
        </w:rPr>
        <w:t>[TREND2]</w:t>
      </w:r>
      <w:r>
        <w:rPr/>
        <w:t xml:space="preserve"> since 2022 as shown in Figure 64.</w:t>
      </w:r>
    </w:p>
    <w:p>
      <w:pPr>
        <w:pStyle w:val="normal2"/>
        <w:jc w:val="center"/>
        <w:rPr>
          <w:i/>
          <w:i/>
          <w:iCs/>
        </w:rPr>
      </w:pPr>
      <w:r>
        <w:rPr>
          <w:highlight w:val="yellow"/>
        </w:rPr>
        <w:t>[FIGURE 64]</w:t>
      </w:r>
    </w:p>
    <w:p>
      <w:pPr>
        <w:pStyle w:val="normal2"/>
        <w:jc w:val="center"/>
        <w:rPr/>
      </w:pPr>
      <w:r>
        <w:rPr/>
      </w:r>
    </w:p>
    <w:p>
      <w:pPr>
        <w:pStyle w:val="normal2"/>
        <w:jc w:val="center"/>
        <w:rPr/>
      </w:pPr>
      <w:r>
        <w:rPr>
          <w:i/>
          <w:iCs/>
        </w:rPr>
        <w:t>Figure 64: Trend in EU Countries with National Investments in Open Source Software per 1000 FTE Researchers</w:t>
      </w:r>
    </w:p>
    <w:p>
      <w:pPr>
        <w:pStyle w:val="normal2"/>
        <w:widowControl w:val="false"/>
        <w:spacing w:lineRule="auto" w:line="240"/>
        <w:rPr/>
      </w:pPr>
      <w:r>
        <w:rPr/>
      </w:r>
    </w:p>
    <w:p>
      <w:pPr>
        <w:pStyle w:val="normal2"/>
        <w:widowControl w:val="false"/>
        <w:numPr>
          <w:ilvl w:val="0"/>
          <w:numId w:val="1"/>
        </w:numPr>
        <w:spacing w:lineRule="auto" w:line="240"/>
        <w:ind w:hanging="360" w:start="720"/>
        <w:rPr/>
      </w:pPr>
      <w:r>
        <w:rPr/>
        <w:t>Services</w:t>
      </w:r>
    </w:p>
    <w:p>
      <w:pPr>
        <w:pStyle w:val="normal2"/>
        <w:widowControl w:val="false"/>
        <w:spacing w:lineRule="auto" w:line="240"/>
        <w:rPr/>
      </w:pPr>
      <w:r>
        <w:rPr/>
      </w:r>
    </w:p>
    <w:p>
      <w:pPr>
        <w:pStyle w:val="normal2"/>
        <w:widowControl w:val="false"/>
        <w:spacing w:lineRule="auto" w:line="240"/>
        <w:rPr/>
      </w:pPr>
      <w:r>
        <w:rPr/>
        <w:t>The services category consists of one main topic: offering services through EOSC.</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Policies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Policy on Services</w:t>
      </w:r>
    </w:p>
    <w:p>
      <w:pPr>
        <w:pStyle w:val="normal2"/>
        <w:widowControl w:val="false"/>
        <w:spacing w:lineRule="auto" w:line="240"/>
        <w:rPr/>
      </w:pPr>
      <w:r>
        <w:rPr/>
      </w:r>
    </w:p>
    <w:p>
      <w:pPr>
        <w:pStyle w:val="normal2"/>
        <w:widowControl w:val="false"/>
        <w:spacing w:lineRule="auto" w:line="240"/>
        <w:rPr/>
      </w:pPr>
      <w:r>
        <w:rPr/>
        <w:t xml:space="preserve">The first main policy question on offering services through EOSC in Survey </w:t>
      </w:r>
      <w:r>
        <w:rPr>
          <w:highlight w:val="yellow"/>
        </w:rPr>
        <w:t>[YEAR]</w:t>
      </w:r>
      <w:r>
        <w:rPr/>
        <w:t xml:space="preserve"> is </w:t>
      </w:r>
      <w:r>
        <w:rPr>
          <w:i/>
          <w:iCs/>
        </w:rPr>
        <w:t>Does your country have a national policy on offering services through EOSC?</w:t>
      </w:r>
      <w:r>
        <w:rPr/>
        <w:t xml:space="preserve"> (Q21) followed by </w:t>
      </w:r>
      <w:r>
        <w:rPr>
          <w:i/>
          <w:iCs/>
        </w:rPr>
        <w:t>Is this policy mandatory?</w:t>
      </w:r>
      <w:r>
        <w:rPr/>
        <w:t xml:space="preserve"> (Q21.1). </w:t>
      </w:r>
      <w:commentRangeStart w:id="27"/>
      <w:r>
        <w:rP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r>
        <w:rPr/>
      </w:r>
      <w:commentRangeEnd w:id="27"/>
      <w:r>
        <w:commentReference w:id="27"/>
      </w:r>
      <w:r>
        <w:rPr/>
        <w:t xml:space="preserve"> </w:t>
      </w:r>
      <w:r>
        <w:rPr>
          <w:highlight w:val="yellow"/>
        </w:rPr>
        <w:t>[%]</w:t>
      </w:r>
      <w:r>
        <w:rPr/>
        <w:t xml:space="preserve"> (</w:t>
      </w:r>
      <w:r>
        <w:rPr>
          <w:highlight w:val="yellow"/>
        </w:rPr>
        <w:t>[#]</w:t>
      </w:r>
      <w:r>
        <w:rPr/>
        <w:t>/</w:t>
      </w:r>
      <w:r>
        <w:rPr>
          <w:highlight w:val="yellow"/>
        </w:rPr>
        <w:t>[#]</w:t>
      </w:r>
      <w:r>
        <w:rPr/>
        <w:t xml:space="preserve">) of responding EU countries have a national policy on offering services through EOSC whereby </w:t>
      </w:r>
      <w:r>
        <w:rPr>
          <w:highlight w:val="yellow"/>
        </w:rPr>
        <w:t>[%]</w:t>
      </w:r>
      <w:r>
        <w:rPr/>
        <w:t xml:space="preserve"> (</w:t>
      </w:r>
      <w:r>
        <w:rPr>
          <w:highlight w:val="yellow"/>
        </w:rPr>
        <w:t>[#]</w:t>
      </w:r>
      <w:r>
        <w:rPr/>
        <w:t>/</w:t>
      </w:r>
      <w:r>
        <w:rPr>
          <w:highlight w:val="yellow"/>
        </w:rPr>
        <w:t>[#]</w:t>
      </w:r>
      <w:r>
        <w:rPr/>
        <w:t>) are mandatory as shown in Figures 65 and 66.</w:t>
      </w:r>
    </w:p>
    <w:p>
      <w:pPr>
        <w:pStyle w:val="normal2"/>
        <w:widowControl w:val="false"/>
        <w:spacing w:lineRule="auto" w:line="240"/>
        <w:rPr/>
      </w:pPr>
      <w:r>
        <w:rPr/>
      </w:r>
    </w:p>
    <w:p>
      <w:pPr>
        <w:pStyle w:val="normal2"/>
        <w:jc w:val="center"/>
        <w:rPr>
          <w:i/>
          <w:i/>
          <w:iCs/>
        </w:rPr>
      </w:pPr>
      <w:r>
        <w:rPr>
          <w:highlight w:val="yellow"/>
        </w:rPr>
        <w:t>[FIGURE 65]</w:t>
      </w:r>
    </w:p>
    <w:p>
      <w:pPr>
        <w:pStyle w:val="normal2"/>
        <w:jc w:val="center"/>
        <w:rPr/>
      </w:pPr>
      <w:r>
        <w:rPr/>
      </w:r>
    </w:p>
    <w:p>
      <w:pPr>
        <w:pStyle w:val="normal2"/>
        <w:jc w:val="center"/>
        <w:rPr>
          <w:i/>
          <w:i/>
          <w:iCs/>
        </w:rPr>
      </w:pPr>
      <w:r>
        <w:rPr>
          <w:i/>
          <w:iCs/>
        </w:rPr>
        <w:t>Figure 65: Map of EU Countries with a National Policy on Offering Services through EOSC</w:t>
      </w:r>
    </w:p>
    <w:p>
      <w:pPr>
        <w:pStyle w:val="normal2"/>
        <w:widowControl w:val="false"/>
        <w:spacing w:lineRule="auto" w:line="240"/>
        <w:rPr/>
      </w:pPr>
      <w:r>
        <w:rPr/>
      </w:r>
    </w:p>
    <w:p>
      <w:pPr>
        <w:pStyle w:val="normal2"/>
        <w:jc w:val="center"/>
        <w:rPr>
          <w:i/>
          <w:i/>
          <w:iCs/>
        </w:rPr>
      </w:pPr>
      <w:r>
        <w:rPr>
          <w:highlight w:val="yellow"/>
        </w:rPr>
        <w:t>[FIGURE 66]</w:t>
      </w:r>
    </w:p>
    <w:p>
      <w:pPr>
        <w:pStyle w:val="normal2"/>
        <w:jc w:val="center"/>
        <w:rPr/>
      </w:pPr>
      <w:r>
        <w:rPr/>
      </w:r>
    </w:p>
    <w:p>
      <w:pPr>
        <w:pStyle w:val="normal2"/>
        <w:jc w:val="center"/>
        <w:rPr/>
      </w:pPr>
      <w:r>
        <w:rPr>
          <w:i/>
          <w:iCs/>
        </w:rPr>
        <w:t>Figure 66: Share of EU Countries with a National Policy on Offering Services through EOSC</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Financial Strategy on Services</w:t>
      </w:r>
    </w:p>
    <w:p>
      <w:pPr>
        <w:pStyle w:val="normal2"/>
        <w:widowControl w:val="false"/>
        <w:spacing w:lineRule="auto" w:line="240"/>
        <w:rPr/>
      </w:pPr>
      <w:r>
        <w:rPr/>
      </w:r>
    </w:p>
    <w:p>
      <w:pPr>
        <w:pStyle w:val="normal2"/>
        <w:widowControl w:val="false"/>
        <w:spacing w:lineRule="auto" w:line="240"/>
        <w:rPr/>
      </w:pPr>
      <w:r>
        <w:rPr/>
        <w:t xml:space="preserve">The second main policy question on offering services through EOSC in Survey </w:t>
      </w:r>
      <w:r>
        <w:rPr>
          <w:highlight w:val="yellow"/>
        </w:rPr>
        <w:t>[YEAR]</w:t>
      </w:r>
      <w:r>
        <w:rPr/>
        <w:t xml:space="preserve"> is </w:t>
      </w:r>
      <w:r>
        <w:rPr>
          <w:i/>
          <w:iCs/>
        </w:rPr>
        <w:t>Does your country have a financial strategy on offering services through EOSC?</w:t>
      </w:r>
      <w:r>
        <w:rPr/>
        <w:t xml:space="preserve"> (Q22). </w:t>
      </w:r>
      <w:r>
        <w:rPr>
          <w:highlight w:val="yellow"/>
        </w:rPr>
        <w:t>[%]</w:t>
      </w:r>
      <w:r>
        <w:rPr/>
        <w:t xml:space="preserve"> (</w:t>
      </w:r>
      <w:r>
        <w:rPr>
          <w:highlight w:val="yellow"/>
        </w:rPr>
        <w:t>[#]</w:t>
      </w:r>
      <w:r>
        <w:rPr/>
        <w:t>/</w:t>
      </w:r>
      <w:r>
        <w:rPr>
          <w:highlight w:val="yellow"/>
        </w:rPr>
        <w:t>[#]</w:t>
      </w:r>
      <w:r>
        <w:rPr/>
        <w:t>) of responding EU countries have a financial strategy on offering services through EOSC as shown in Figures 67 and 68.</w:t>
      </w:r>
    </w:p>
    <w:p>
      <w:pPr>
        <w:pStyle w:val="normal2"/>
        <w:widowControl w:val="false"/>
        <w:spacing w:lineRule="auto" w:line="240"/>
        <w:rPr/>
      </w:pPr>
      <w:r>
        <w:rPr/>
      </w:r>
    </w:p>
    <w:p>
      <w:pPr>
        <w:pStyle w:val="normal2"/>
        <w:jc w:val="center"/>
        <w:rPr>
          <w:i/>
          <w:i/>
          <w:iCs/>
        </w:rPr>
      </w:pPr>
      <w:r>
        <w:rPr>
          <w:highlight w:val="yellow"/>
        </w:rPr>
        <w:t>[FIGURE 67]</w:t>
      </w:r>
    </w:p>
    <w:p>
      <w:pPr>
        <w:pStyle w:val="normal2"/>
        <w:jc w:val="center"/>
        <w:rPr/>
      </w:pPr>
      <w:r>
        <w:rPr/>
      </w:r>
    </w:p>
    <w:p>
      <w:pPr>
        <w:pStyle w:val="normal2"/>
        <w:jc w:val="center"/>
        <w:rPr/>
      </w:pPr>
      <w:r>
        <w:rPr>
          <w:i/>
          <w:iCs/>
        </w:rPr>
        <w:t>Figure 67: Map of EU Countries with a Financial Strategy on Offering Services through EOSC</w:t>
      </w:r>
    </w:p>
    <w:p>
      <w:pPr>
        <w:pStyle w:val="normal2"/>
        <w:widowControl w:val="false"/>
        <w:spacing w:lineRule="auto" w:line="240"/>
        <w:rPr/>
      </w:pPr>
      <w:r>
        <w:rPr/>
      </w:r>
    </w:p>
    <w:p>
      <w:pPr>
        <w:pStyle w:val="normal2"/>
        <w:jc w:val="center"/>
        <w:rPr>
          <w:i/>
          <w:i/>
          <w:iCs/>
        </w:rPr>
      </w:pPr>
      <w:r>
        <w:rPr>
          <w:highlight w:val="yellow"/>
        </w:rPr>
        <w:t>[FIGURE 68]</w:t>
      </w:r>
    </w:p>
    <w:p>
      <w:pPr>
        <w:pStyle w:val="normal2"/>
        <w:jc w:val="center"/>
        <w:rPr/>
      </w:pPr>
      <w:r>
        <w:rPr/>
      </w:r>
    </w:p>
    <w:p>
      <w:pPr>
        <w:pStyle w:val="normal2"/>
        <w:jc w:val="center"/>
        <w:rPr/>
      </w:pPr>
      <w:r>
        <w:rPr>
          <w:i/>
          <w:iCs/>
        </w:rPr>
        <w:t>Figure 68: Share of EU Countries with a Financial Strategy on Offering Services through EOSC</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Practices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Monitoring on Services</w:t>
      </w:r>
    </w:p>
    <w:p>
      <w:pPr>
        <w:pStyle w:val="normal2"/>
        <w:widowControl w:val="false"/>
        <w:spacing w:lineRule="auto" w:line="240"/>
        <w:rPr/>
      </w:pPr>
      <w:r>
        <w:rPr/>
      </w:r>
    </w:p>
    <w:p>
      <w:pPr>
        <w:pStyle w:val="normal2"/>
        <w:widowControl w:val="false"/>
        <w:spacing w:lineRule="auto" w:line="240"/>
        <w:rPr/>
      </w:pPr>
      <w:r>
        <w:rPr/>
        <w:t xml:space="preserve">The first main practice question on offering services through EOSC in Survey </w:t>
      </w:r>
      <w:r>
        <w:rPr>
          <w:highlight w:val="yellow"/>
        </w:rPr>
        <w:t>[YEAR]</w:t>
      </w:r>
      <w:r>
        <w:rPr/>
        <w:t xml:space="preserve"> is </w:t>
      </w:r>
      <w:r>
        <w:rPr>
          <w:i/>
          <w:iCs/>
        </w:rPr>
        <w:t>Does your country have a national monitoring on offering services through EOSC?</w:t>
      </w:r>
      <w:r>
        <w:rPr/>
        <w:t xml:space="preserve"> (Q69). </w:t>
      </w:r>
      <w:r>
        <w:rPr>
          <w:highlight w:val="yellow"/>
        </w:rPr>
        <w:t>[%]</w:t>
      </w:r>
      <w:r>
        <w:rPr/>
        <w:t xml:space="preserve"> (</w:t>
      </w:r>
      <w:r>
        <w:rPr>
          <w:highlight w:val="yellow"/>
        </w:rPr>
        <w:t>[#]</w:t>
      </w:r>
      <w:r>
        <w:rPr/>
        <w:t>/</w:t>
      </w:r>
      <w:r>
        <w:rPr>
          <w:highlight w:val="yellow"/>
        </w:rPr>
        <w:t>[#]</w:t>
      </w:r>
      <w:r>
        <w:rPr/>
        <w:t>) of responding EU countries have a national monitoring on offering services through EOSC as shown in Figures 69 and 70.</w:t>
      </w:r>
    </w:p>
    <w:p>
      <w:pPr>
        <w:pStyle w:val="normal2"/>
        <w:widowControl w:val="false"/>
        <w:spacing w:lineRule="auto" w:line="240"/>
        <w:rPr/>
      </w:pPr>
      <w:r>
        <w:rPr/>
      </w:r>
    </w:p>
    <w:p>
      <w:pPr>
        <w:pStyle w:val="normal2"/>
        <w:jc w:val="center"/>
        <w:rPr>
          <w:i/>
          <w:i/>
          <w:iCs/>
        </w:rPr>
      </w:pPr>
      <w:r>
        <w:rPr>
          <w:highlight w:val="yellow"/>
        </w:rPr>
        <w:t>[FIGURE 69]</w:t>
      </w:r>
    </w:p>
    <w:p>
      <w:pPr>
        <w:pStyle w:val="normal2"/>
        <w:jc w:val="center"/>
        <w:rPr/>
      </w:pPr>
      <w:r>
        <w:rPr/>
      </w:r>
    </w:p>
    <w:p>
      <w:pPr>
        <w:pStyle w:val="normal2"/>
        <w:jc w:val="center"/>
        <w:rPr/>
      </w:pPr>
      <w:r>
        <w:rPr>
          <w:i/>
          <w:iCs/>
        </w:rPr>
        <w:t>Figure 69: Map of EU Countries with a National Monitoring on Offering Services through EOSC</w:t>
      </w:r>
    </w:p>
    <w:p>
      <w:pPr>
        <w:pStyle w:val="normal2"/>
        <w:widowControl w:val="false"/>
        <w:spacing w:lineRule="auto" w:line="240"/>
        <w:rPr/>
      </w:pPr>
      <w:r>
        <w:rPr/>
      </w:r>
    </w:p>
    <w:p>
      <w:pPr>
        <w:pStyle w:val="normal2"/>
        <w:jc w:val="center"/>
        <w:rPr>
          <w:i/>
          <w:i/>
          <w:iCs/>
        </w:rPr>
      </w:pPr>
      <w:r>
        <w:rPr>
          <w:highlight w:val="yellow"/>
        </w:rPr>
        <w:t>[FIGURE 70]</w:t>
      </w:r>
    </w:p>
    <w:p>
      <w:pPr>
        <w:pStyle w:val="normal2"/>
        <w:jc w:val="center"/>
        <w:rPr/>
      </w:pPr>
      <w:r>
        <w:rPr/>
      </w:r>
    </w:p>
    <w:p>
      <w:pPr>
        <w:pStyle w:val="normal2"/>
        <w:jc w:val="center"/>
        <w:rPr/>
      </w:pPr>
      <w:r>
        <w:rPr>
          <w:i/>
          <w:iCs/>
        </w:rPr>
        <w:t>Figure 70: Share of EU Countries with a National Monitoring on Offering Services through EOSC</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Investments in Services</w:t>
      </w:r>
    </w:p>
    <w:p>
      <w:pPr>
        <w:pStyle w:val="normal2"/>
        <w:widowControl w:val="false"/>
        <w:spacing w:lineRule="auto" w:line="240"/>
        <w:rPr/>
      </w:pPr>
      <w:r>
        <w:rPr/>
      </w:r>
    </w:p>
    <w:p>
      <w:pPr>
        <w:pStyle w:val="normal2"/>
        <w:widowControl w:val="false"/>
        <w:spacing w:lineRule="auto" w:line="240"/>
        <w:rPr/>
      </w:pPr>
      <w:r>
        <w:rPr/>
        <w:t xml:space="preserve">The second main practice question on offering services through EOSC in Survey </w:t>
      </w:r>
      <w:r>
        <w:rPr>
          <w:highlight w:val="yellow"/>
        </w:rPr>
        <w:t>[YEAR]</w:t>
      </w:r>
      <w:r>
        <w:rPr/>
        <w:t xml:space="preserve"> is </w:t>
      </w:r>
      <w:r>
        <w:rPr>
          <w:i/>
          <w:iCs/>
        </w:rPr>
        <w:t xml:space="preserve">How much did your country financially invest in offering services through EOSC in </w:t>
      </w:r>
      <w:r>
        <w:rPr>
          <w:i/>
          <w:iCs/>
          <w:highlight w:val="yellow"/>
        </w:rPr>
        <w:t>[YEAR]</w:t>
      </w:r>
      <w:r>
        <w:rPr>
          <w:i/>
          <w:iCs/>
        </w:rPr>
        <w:t xml:space="preserve"> in millions of Euros?</w:t>
      </w:r>
      <w:r>
        <w:rPr/>
        <w:t xml:space="preserve"> (Q71).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offering services through EOSC.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71.</w:t>
      </w:r>
    </w:p>
    <w:p>
      <w:pPr>
        <w:pStyle w:val="normal2"/>
        <w:widowControl w:val="false"/>
        <w:spacing w:lineRule="auto" w:line="240"/>
        <w:rPr/>
      </w:pPr>
      <w:r>
        <w:rPr/>
      </w:r>
    </w:p>
    <w:p>
      <w:pPr>
        <w:pStyle w:val="normal2"/>
        <w:jc w:val="center"/>
        <w:rPr>
          <w:i/>
          <w:i/>
          <w:iCs/>
        </w:rPr>
      </w:pPr>
      <w:r>
        <w:rPr>
          <w:highlight w:val="yellow"/>
        </w:rPr>
        <w:t>[FIGURE 71]</w:t>
      </w:r>
    </w:p>
    <w:p>
      <w:pPr>
        <w:pStyle w:val="normal2"/>
        <w:jc w:val="center"/>
        <w:rPr/>
      </w:pPr>
      <w:r>
        <w:rPr/>
      </w:r>
    </w:p>
    <w:p>
      <w:pPr>
        <w:pStyle w:val="normal2"/>
        <w:jc w:val="center"/>
        <w:rPr/>
      </w:pPr>
      <w:r>
        <w:rPr>
          <w:i/>
          <w:iCs/>
        </w:rPr>
        <w:t>Figure 71: Share of EU Countries with National Investments in Offering Services through EOSC per 1000 FTE Researchers</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Impact</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Policies on Services</w:t>
      </w:r>
    </w:p>
    <w:p>
      <w:pPr>
        <w:pStyle w:val="normal2"/>
        <w:widowControl w:val="false"/>
        <w:spacing w:lineRule="auto" w:line="240"/>
        <w:rPr/>
      </w:pPr>
      <w:r>
        <w:rPr/>
      </w:r>
    </w:p>
    <w:p>
      <w:pPr>
        <w:pStyle w:val="normal2"/>
        <w:widowControl w:val="false"/>
        <w:spacing w:lineRule="auto" w:line="240"/>
        <w:rPr/>
      </w:pPr>
      <w:r>
        <w:rPr/>
        <w:t xml:space="preserve">There is </w:t>
      </w:r>
      <w:commentRangeStart w:id="28"/>
      <w:r>
        <w:rPr>
          <w:highlight w:val="yellow"/>
        </w:rPr>
        <w:t>[TREND1]</w:t>
      </w:r>
      <w:r>
        <w:rPr>
          <w:highlight w:val="yellow"/>
        </w:rPr>
      </w:r>
      <w:commentRangeEnd w:id="28"/>
      <w:r>
        <w:commentReference w:id="28"/>
      </w:r>
      <w:r>
        <w:rPr/>
        <w:t xml:space="preserve"> in national policies on offering services through EOSC in EU countries in </w:t>
      </w:r>
      <w:r>
        <w:rPr>
          <w:highlight w:val="yellow"/>
        </w:rPr>
        <w:t>[YEAR]</w:t>
      </w:r>
      <w:r>
        <w:rPr/>
        <w:t xml:space="preserve"> from the previous year and </w:t>
      </w:r>
      <w:commentRangeStart w:id="29"/>
      <w:commentRangeStart w:id="30"/>
      <w:r>
        <w:rPr>
          <w:highlight w:val="yellow"/>
        </w:rPr>
        <w:t>[TREND2]</w:t>
      </w:r>
      <w:r>
        <w:rPr>
          <w:highlight w:val="yellow"/>
        </w:rPr>
      </w:r>
      <w:commentRangeEnd w:id="30"/>
      <w:r>
        <w:commentReference w:id="30"/>
      </w:r>
      <w:r>
        <w:rPr>
          <w:highlight w:val="yellow"/>
        </w:rPr>
      </w:r>
      <w:commentRangeEnd w:id="29"/>
      <w:r>
        <w:commentReference w:id="29"/>
      </w:r>
      <w:r>
        <w:rPr/>
        <w:t xml:space="preserve"> since 2022 whereby there is </w:t>
      </w:r>
      <w:commentRangeStart w:id="31"/>
      <w:r>
        <w:rPr>
          <w:highlight w:val="yellow"/>
        </w:rPr>
        <w:t>[TREND1]</w:t>
      </w:r>
      <w:r>
        <w:rPr>
          <w:highlight w:val="yellow"/>
        </w:rPr>
      </w:r>
      <w:commentRangeEnd w:id="31"/>
      <w:r>
        <w:commentReference w:id="31"/>
      </w:r>
      <w:r>
        <w:rPr/>
        <w:t xml:space="preserve"> in mandatory policies in </w:t>
      </w:r>
      <w:r>
        <w:rPr>
          <w:highlight w:val="yellow"/>
        </w:rPr>
        <w:t>[YEAR]</w:t>
      </w:r>
      <w:r>
        <w:rPr/>
        <w:t xml:space="preserve"> from the previous year and </w:t>
      </w:r>
      <w:commentRangeStart w:id="32"/>
      <w:commentRangeStart w:id="33"/>
      <w:r>
        <w:rPr>
          <w:highlight w:val="yellow"/>
        </w:rPr>
        <w:t>[TREND2]</w:t>
      </w:r>
      <w:r>
        <w:rPr>
          <w:highlight w:val="yellow"/>
        </w:rPr>
      </w:r>
      <w:commentRangeEnd w:id="33"/>
      <w:r>
        <w:commentReference w:id="33"/>
      </w:r>
      <w:r>
        <w:rPr>
          <w:highlight w:val="yellow"/>
        </w:rPr>
      </w:r>
      <w:commentRangeEnd w:id="32"/>
      <w:r>
        <w:commentReference w:id="32"/>
      </w:r>
      <w:r>
        <w:rPr/>
        <w:t xml:space="preserve"> since 2022 as shown in Figure 72.</w:t>
      </w:r>
    </w:p>
    <w:p>
      <w:pPr>
        <w:pStyle w:val="normal2"/>
        <w:widowControl w:val="false"/>
        <w:spacing w:lineRule="auto" w:line="240"/>
        <w:rPr/>
      </w:pPr>
      <w:r>
        <w:rPr/>
      </w:r>
    </w:p>
    <w:p>
      <w:pPr>
        <w:pStyle w:val="normal2"/>
        <w:jc w:val="center"/>
        <w:rPr>
          <w:i/>
          <w:i/>
          <w:iCs/>
        </w:rPr>
      </w:pPr>
      <w:r>
        <w:rPr>
          <w:highlight w:val="yellow"/>
        </w:rPr>
        <w:t>[FIGURE 72]</w:t>
      </w:r>
    </w:p>
    <w:p>
      <w:pPr>
        <w:pStyle w:val="normal2"/>
        <w:jc w:val="center"/>
        <w:rPr/>
      </w:pPr>
      <w:r>
        <w:rPr/>
      </w:r>
    </w:p>
    <w:p>
      <w:pPr>
        <w:pStyle w:val="normal2"/>
        <w:jc w:val="center"/>
        <w:rPr/>
      </w:pPr>
      <w:r>
        <w:rPr>
          <w:i/>
          <w:iCs/>
        </w:rPr>
        <w:t>Figure 72: Trend in EU Countries with a National Policy on Offering Services through EOSC</w:t>
      </w:r>
    </w:p>
    <w:p>
      <w:pPr>
        <w:pStyle w:val="normal2"/>
        <w:rPr/>
      </w:pPr>
      <w:r>
        <w:rPr/>
      </w:r>
    </w:p>
    <w:p>
      <w:pPr>
        <w:pStyle w:val="normal2"/>
        <w:widowControl w:val="false"/>
        <w:spacing w:lineRule="auto" w:line="240"/>
        <w:rPr/>
      </w:pPr>
      <w:r>
        <w:rPr/>
        <w:t xml:space="preserve">There is </w:t>
      </w:r>
      <w:r>
        <w:rPr>
          <w:highlight w:val="yellow"/>
        </w:rPr>
        <w:t>[TREND1]</w:t>
      </w:r>
      <w:r>
        <w:rPr/>
        <w:t xml:space="preserve"> in financial strategies on offering services through EOSC in EU countries in </w:t>
      </w:r>
      <w:r>
        <w:rPr>
          <w:highlight w:val="yellow"/>
        </w:rPr>
        <w:t>[YEAR]</w:t>
      </w:r>
      <w:r>
        <w:rPr/>
        <w:t xml:space="preserve"> from the previous year and </w:t>
      </w:r>
      <w:r>
        <w:rPr>
          <w:highlight w:val="yellow"/>
        </w:rPr>
        <w:t>[TREND2]</w:t>
      </w:r>
      <w:r>
        <w:rPr/>
        <w:t xml:space="preserve"> since 2022 as shown in Figure 73.</w:t>
      </w:r>
    </w:p>
    <w:p>
      <w:pPr>
        <w:pStyle w:val="normal2"/>
        <w:widowControl w:val="false"/>
        <w:spacing w:lineRule="auto" w:line="240"/>
        <w:rPr/>
      </w:pPr>
      <w:r>
        <w:rPr/>
      </w:r>
    </w:p>
    <w:p>
      <w:pPr>
        <w:pStyle w:val="normal2"/>
        <w:jc w:val="center"/>
        <w:rPr>
          <w:i/>
          <w:i/>
          <w:iCs/>
        </w:rPr>
      </w:pPr>
      <w:r>
        <w:rPr>
          <w:highlight w:val="yellow"/>
        </w:rPr>
        <w:t>[FIGURE 73]</w:t>
      </w:r>
    </w:p>
    <w:p>
      <w:pPr>
        <w:pStyle w:val="normal2"/>
        <w:jc w:val="center"/>
        <w:rPr/>
      </w:pPr>
      <w:r>
        <w:rPr/>
      </w:r>
    </w:p>
    <w:p>
      <w:pPr>
        <w:pStyle w:val="normal2"/>
        <w:jc w:val="center"/>
        <w:rPr/>
      </w:pPr>
      <w:r>
        <w:rPr>
          <w:i/>
          <w:iCs/>
        </w:rPr>
        <w:t>Figure 73: Trend in EU Countries with a Financial Strategy on Offering Services through EOSC</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Practices on Services</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monitoring on offering services through EOSC in EU countries in </w:t>
      </w:r>
      <w:r>
        <w:rPr>
          <w:highlight w:val="yellow"/>
        </w:rPr>
        <w:t>[YEAR]</w:t>
      </w:r>
      <w:r>
        <w:rPr/>
        <w:t xml:space="preserve"> from the previous year and </w:t>
      </w:r>
      <w:r>
        <w:rPr>
          <w:highlight w:val="yellow"/>
        </w:rPr>
        <w:t>[TREND2]</w:t>
      </w:r>
      <w:r>
        <w:rPr/>
        <w:t xml:space="preserve"> since 2022 as shown in Figure 74.</w:t>
      </w:r>
    </w:p>
    <w:p>
      <w:pPr>
        <w:pStyle w:val="normal2"/>
        <w:widowControl w:val="false"/>
        <w:spacing w:lineRule="auto" w:line="240"/>
        <w:rPr/>
      </w:pPr>
      <w:r>
        <w:rPr/>
      </w:r>
    </w:p>
    <w:p>
      <w:pPr>
        <w:pStyle w:val="normal2"/>
        <w:jc w:val="center"/>
        <w:rPr>
          <w:i/>
          <w:i/>
          <w:iCs/>
        </w:rPr>
      </w:pPr>
      <w:r>
        <w:rPr>
          <w:highlight w:val="yellow"/>
        </w:rPr>
        <w:t>[FIGURE 74]</w:t>
      </w:r>
    </w:p>
    <w:p>
      <w:pPr>
        <w:pStyle w:val="normal2"/>
        <w:jc w:val="center"/>
        <w:rPr/>
      </w:pPr>
      <w:r>
        <w:rPr/>
      </w:r>
    </w:p>
    <w:p>
      <w:pPr>
        <w:pStyle w:val="normal2"/>
        <w:jc w:val="center"/>
        <w:rPr>
          <w:i/>
          <w:i/>
          <w:iCs/>
        </w:rPr>
      </w:pPr>
      <w:r>
        <w:rPr>
          <w:i/>
          <w:iCs/>
        </w:rPr>
        <w:t>Figure 74: Trend in EU Countries with a National Monitoring on Offering Services through EOSC</w:t>
      </w:r>
    </w:p>
    <w:p>
      <w:pPr>
        <w:pStyle w:val="normal2"/>
        <w:widowControl w:val="false"/>
        <w:spacing w:lineRule="auto" w:line="240"/>
        <w:rPr/>
      </w:pPr>
      <w:r>
        <w:rPr/>
      </w:r>
    </w:p>
    <w:p>
      <w:pPr>
        <w:pStyle w:val="normal2"/>
        <w:widowControl w:val="false"/>
        <w:spacing w:lineRule="auto" w:line="240"/>
        <w:rPr/>
      </w:pPr>
      <w:r>
        <w:rPr/>
        <w:t xml:space="preserve">There is finally </w:t>
      </w:r>
      <w:r>
        <w:rPr>
          <w:highlight w:val="yellow"/>
        </w:rPr>
        <w:t>[TREND1]</w:t>
      </w:r>
      <w:r>
        <w:rPr/>
        <w:t xml:space="preserve"> in national investments in offering services through EOSC per 1000 FTE researchers in EU countries in </w:t>
      </w:r>
      <w:r>
        <w:rPr>
          <w:highlight w:val="yellow"/>
        </w:rPr>
        <w:t>[YEAR]</w:t>
      </w:r>
      <w:r>
        <w:rPr/>
        <w:t xml:space="preserve"> from the previous year and </w:t>
      </w:r>
      <w:r>
        <w:rPr>
          <w:highlight w:val="yellow"/>
        </w:rPr>
        <w:t>[TREND2]</w:t>
      </w:r>
      <w:r>
        <w:rPr/>
        <w:t xml:space="preserve"> since 2022 as shown in Figure 75.</w:t>
      </w:r>
    </w:p>
    <w:p>
      <w:pPr>
        <w:pStyle w:val="normal2"/>
        <w:jc w:val="center"/>
        <w:rPr>
          <w:i/>
          <w:i/>
          <w:iCs/>
        </w:rPr>
      </w:pPr>
      <w:r>
        <w:rPr>
          <w:highlight w:val="yellow"/>
        </w:rPr>
        <w:t>[FIGURE 75]</w:t>
      </w:r>
    </w:p>
    <w:p>
      <w:pPr>
        <w:pStyle w:val="normal2"/>
        <w:jc w:val="center"/>
        <w:rPr/>
      </w:pPr>
      <w:r>
        <w:rPr/>
      </w:r>
    </w:p>
    <w:p>
      <w:pPr>
        <w:pStyle w:val="normal2"/>
        <w:jc w:val="center"/>
        <w:rPr/>
      </w:pPr>
      <w:r>
        <w:rPr>
          <w:i/>
          <w:iCs/>
        </w:rPr>
        <w:t>Figure 75: Trend in EU Countries with National Investments in Offering Services through EOSC per 1000 FTE Researchers</w:t>
      </w:r>
    </w:p>
    <w:p>
      <w:pPr>
        <w:pStyle w:val="normal2"/>
        <w:numPr>
          <w:ilvl w:val="0"/>
          <w:numId w:val="1"/>
        </w:numPr>
        <w:ind w:hanging="360" w:start="720"/>
        <w:jc w:val="start"/>
        <w:rPr>
          <w:u w:val="none"/>
        </w:rPr>
      </w:pPr>
      <w:r>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Policies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Policies on Infrastructure</w:t>
      </w:r>
    </w:p>
    <w:p>
      <w:pPr>
        <w:pStyle w:val="normal2"/>
        <w:widowControl w:val="false"/>
        <w:spacing w:lineRule="auto" w:line="240"/>
        <w:rPr/>
      </w:pPr>
      <w:r>
        <w:rPr/>
      </w:r>
    </w:p>
    <w:p>
      <w:pPr>
        <w:pStyle w:val="normal2"/>
        <w:widowControl w:val="false"/>
        <w:spacing w:lineRule="auto" w:line="240"/>
        <w:rPr/>
      </w:pPr>
      <w:r>
        <w:rPr/>
        <w:t xml:space="preserve">The first main policy question on connecting repositories to EOSC in Survey </w:t>
      </w:r>
      <w:r>
        <w:rPr>
          <w:highlight w:val="yellow"/>
        </w:rPr>
        <w:t>[YEAR]</w:t>
      </w:r>
      <w:r>
        <w:rPr/>
        <w:t xml:space="preserve"> is </w:t>
      </w:r>
      <w:r>
        <w:rPr>
          <w:i/>
          <w:iCs/>
        </w:rPr>
        <w:t>Does your country have a national policy on connecting repositories to EOSC?</w:t>
      </w:r>
      <w:r>
        <w:rPr/>
        <w:t xml:space="preserve"> (Q25) followed by </w:t>
      </w:r>
      <w:r>
        <w:rPr>
          <w:i/>
          <w:iCs/>
        </w:rPr>
        <w:t>Is this policy mandatory?</w:t>
      </w:r>
      <w:r>
        <w:rPr/>
        <w:t xml:space="preserve"> (Q25.1). </w:t>
      </w:r>
      <w:commentRangeStart w:id="34"/>
      <w:r>
        <w:rP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r>
        <w:rPr/>
      </w:r>
      <w:commentRangeEnd w:id="34"/>
      <w:r>
        <w:commentReference w:id="34"/>
      </w:r>
      <w:r>
        <w:rPr/>
        <w:t xml:space="preserve"> </w:t>
      </w:r>
      <w:r>
        <w:rPr>
          <w:highlight w:val="yellow"/>
        </w:rPr>
        <w:t>[%]</w:t>
      </w:r>
      <w:r>
        <w:rPr/>
        <w:t xml:space="preserve"> (</w:t>
      </w:r>
      <w:r>
        <w:rPr>
          <w:highlight w:val="yellow"/>
        </w:rPr>
        <w:t>[#]</w:t>
      </w:r>
      <w:r>
        <w:rPr/>
        <w:t>/</w:t>
      </w:r>
      <w:r>
        <w:rPr>
          <w:highlight w:val="yellow"/>
        </w:rPr>
        <w:t>[#]</w:t>
      </w:r>
      <w:r>
        <w:rPr/>
        <w:t xml:space="preserve">) of responding EU countries have a national policy on connecting repositories to EOSC whereby </w:t>
      </w:r>
      <w:r>
        <w:rPr>
          <w:highlight w:val="yellow"/>
        </w:rPr>
        <w:t>[%]</w:t>
      </w:r>
      <w:r>
        <w:rPr/>
        <w:t xml:space="preserve"> (</w:t>
      </w:r>
      <w:r>
        <w:rPr>
          <w:highlight w:val="yellow"/>
        </w:rPr>
        <w:t>[#]</w:t>
      </w:r>
      <w:r>
        <w:rPr/>
        <w:t>/</w:t>
      </w:r>
      <w:r>
        <w:rPr>
          <w:highlight w:val="yellow"/>
        </w:rPr>
        <w:t>[#]</w:t>
      </w:r>
      <w:r>
        <w:rPr/>
        <w:t>) are mandatory as shown in Figures 76 and 77.</w:t>
      </w:r>
    </w:p>
    <w:p>
      <w:pPr>
        <w:pStyle w:val="normal2"/>
        <w:widowControl w:val="false"/>
        <w:spacing w:lineRule="auto" w:line="240"/>
        <w:rPr/>
      </w:pPr>
      <w:r>
        <w:rPr/>
      </w:r>
    </w:p>
    <w:p>
      <w:pPr>
        <w:pStyle w:val="normal2"/>
        <w:jc w:val="center"/>
        <w:rPr>
          <w:i/>
          <w:i/>
          <w:iCs/>
        </w:rPr>
      </w:pPr>
      <w:r>
        <w:rPr>
          <w:highlight w:val="yellow"/>
        </w:rPr>
        <w:t>[FIGURE 76]</w:t>
      </w:r>
    </w:p>
    <w:p>
      <w:pPr>
        <w:pStyle w:val="normal2"/>
        <w:jc w:val="center"/>
        <w:rPr/>
      </w:pPr>
      <w:r>
        <w:rPr/>
      </w:r>
    </w:p>
    <w:p>
      <w:pPr>
        <w:pStyle w:val="normal2"/>
        <w:jc w:val="center"/>
        <w:rPr>
          <w:i/>
          <w:i/>
          <w:iCs/>
        </w:rPr>
      </w:pPr>
      <w:r>
        <w:rPr>
          <w:i/>
          <w:iCs/>
        </w:rPr>
        <w:t>Figure 76: Map of EU Countries with a National Policy on Connecting Repositories to EOSC</w:t>
      </w:r>
    </w:p>
    <w:p>
      <w:pPr>
        <w:pStyle w:val="normal2"/>
        <w:widowControl w:val="false"/>
        <w:spacing w:lineRule="auto" w:line="240"/>
        <w:rPr/>
      </w:pPr>
      <w:r>
        <w:rPr/>
      </w:r>
    </w:p>
    <w:p>
      <w:pPr>
        <w:pStyle w:val="normal2"/>
        <w:jc w:val="center"/>
        <w:rPr>
          <w:i/>
          <w:i/>
          <w:iCs/>
        </w:rPr>
      </w:pPr>
      <w:r>
        <w:rPr>
          <w:highlight w:val="yellow"/>
        </w:rPr>
        <w:t>[FIGURE 77]</w:t>
      </w:r>
    </w:p>
    <w:p>
      <w:pPr>
        <w:pStyle w:val="normal2"/>
        <w:jc w:val="center"/>
        <w:rPr/>
      </w:pPr>
      <w:r>
        <w:rPr/>
      </w:r>
    </w:p>
    <w:p>
      <w:pPr>
        <w:pStyle w:val="normal2"/>
        <w:jc w:val="center"/>
        <w:rPr/>
      </w:pPr>
      <w:r>
        <w:rPr>
          <w:i/>
          <w:iCs/>
        </w:rPr>
        <w:t>Figure 77: Share of EU Countries with a National Policy on Connecting Repositories to EOSC</w:t>
      </w:r>
    </w:p>
    <w:p>
      <w:pPr>
        <w:pStyle w:val="normal2"/>
        <w:jc w:val="start"/>
        <w:rPr/>
      </w:pPr>
      <w:r>
        <w:rPr/>
      </w:r>
    </w:p>
    <w:p>
      <w:pPr>
        <w:pStyle w:val="normal2"/>
        <w:widowControl w:val="false"/>
        <w:spacing w:lineRule="auto" w:line="240"/>
        <w:rPr/>
      </w:pPr>
      <w:r>
        <w:rPr/>
        <w:t xml:space="preserve">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w:t>
      </w:r>
      <w:commentRangeStart w:id="35"/>
      <w:r>
        <w:rPr/>
        <w:t>A data steward hereby refers to a professional data steward who supports researchers in their research data management.</w:t>
      </w:r>
      <w:r>
        <w:rPr/>
      </w:r>
      <w:commentRangeEnd w:id="35"/>
      <w:r>
        <w:commentReference w:id="35"/>
      </w:r>
      <w:r>
        <w:rPr/>
        <w:t xml:space="preserve"> </w:t>
      </w:r>
      <w:r>
        <w:rPr>
          <w:highlight w:val="yellow"/>
        </w:rPr>
        <w:t>[%]</w:t>
      </w:r>
      <w:r>
        <w:rPr/>
        <w:t xml:space="preserve"> (</w:t>
      </w:r>
      <w:r>
        <w:rPr>
          <w:highlight w:val="yellow"/>
        </w:rPr>
        <w:t>[#]</w:t>
      </w:r>
      <w:r>
        <w:rPr/>
        <w:t>/</w:t>
      </w:r>
      <w:r>
        <w:rPr>
          <w:highlight w:val="yellow"/>
        </w:rPr>
        <w:t>[#]</w:t>
      </w:r>
      <w:r>
        <w:rPr/>
        <w:t xml:space="preserve">) of responding EU countries have a national policy on data stewardship whereby </w:t>
      </w:r>
      <w:r>
        <w:rPr>
          <w:highlight w:val="yellow"/>
        </w:rPr>
        <w:t>[%]</w:t>
      </w:r>
      <w:r>
        <w:rPr/>
        <w:t xml:space="preserve"> (</w:t>
      </w:r>
      <w:r>
        <w:rPr>
          <w:highlight w:val="yellow"/>
        </w:rPr>
        <w:t>[#]</w:t>
      </w:r>
      <w:r>
        <w:rPr/>
        <w:t>/</w:t>
      </w:r>
      <w:r>
        <w:rPr>
          <w:highlight w:val="yellow"/>
        </w:rPr>
        <w:t>[#]</w:t>
      </w:r>
      <w:r>
        <w:rPr/>
        <w:t>) are mandatory as shown in Figures 78 and 79.</w:t>
      </w:r>
    </w:p>
    <w:p>
      <w:pPr>
        <w:pStyle w:val="normal2"/>
        <w:widowControl w:val="false"/>
        <w:spacing w:lineRule="auto" w:line="240"/>
        <w:rPr/>
      </w:pPr>
      <w:r>
        <w:rPr/>
      </w:r>
    </w:p>
    <w:p>
      <w:pPr>
        <w:pStyle w:val="normal2"/>
        <w:jc w:val="center"/>
        <w:rPr>
          <w:i/>
          <w:i/>
          <w:iCs/>
        </w:rPr>
      </w:pPr>
      <w:r>
        <w:rPr>
          <w:highlight w:val="yellow"/>
        </w:rPr>
        <w:t>[FIGURE 78]</w:t>
      </w:r>
    </w:p>
    <w:p>
      <w:pPr>
        <w:pStyle w:val="normal2"/>
        <w:jc w:val="center"/>
        <w:rPr/>
      </w:pPr>
      <w:r>
        <w:rPr/>
      </w:r>
    </w:p>
    <w:p>
      <w:pPr>
        <w:pStyle w:val="normal2"/>
        <w:jc w:val="center"/>
        <w:rPr>
          <w:i/>
          <w:i/>
          <w:iCs/>
        </w:rPr>
      </w:pPr>
      <w:r>
        <w:rPr>
          <w:i/>
          <w:iCs/>
        </w:rPr>
        <w:t>Figure 78: Map of EU Countries with a National Policy on Data Stewardship</w:t>
      </w:r>
    </w:p>
    <w:p>
      <w:pPr>
        <w:pStyle w:val="normal2"/>
        <w:widowControl w:val="false"/>
        <w:spacing w:lineRule="auto" w:line="240"/>
        <w:rPr/>
      </w:pPr>
      <w:r>
        <w:rPr/>
      </w:r>
    </w:p>
    <w:p>
      <w:pPr>
        <w:pStyle w:val="normal2"/>
        <w:jc w:val="center"/>
        <w:rPr>
          <w:i/>
          <w:i/>
          <w:iCs/>
        </w:rPr>
      </w:pPr>
      <w:r>
        <w:rPr>
          <w:highlight w:val="yellow"/>
        </w:rPr>
        <w:t>[FIGURE 79]</w:t>
      </w:r>
    </w:p>
    <w:p>
      <w:pPr>
        <w:pStyle w:val="normal2"/>
        <w:jc w:val="center"/>
        <w:rPr/>
      </w:pPr>
      <w:r>
        <w:rPr/>
      </w:r>
    </w:p>
    <w:p>
      <w:pPr>
        <w:pStyle w:val="normal2"/>
        <w:jc w:val="center"/>
        <w:rPr/>
      </w:pPr>
      <w:r>
        <w:rPr>
          <w:i/>
          <w:iCs/>
        </w:rPr>
        <w:t>Figure 79: Share of EU Countries with a National Policy on Data Stewardship</w:t>
      </w:r>
    </w:p>
    <w:p>
      <w:pPr>
        <w:pStyle w:val="normal2"/>
        <w:jc w:val="start"/>
        <w:rPr/>
      </w:pPr>
      <w:r>
        <w:rPr/>
      </w:r>
    </w:p>
    <w:p>
      <w:pPr>
        <w:pStyle w:val="normal2"/>
        <w:jc w:val="start"/>
        <w:rPr/>
      </w:pPr>
      <w:r>
        <w:rPr/>
        <w:t xml:space="preserve">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w:t>
      </w:r>
      <w:commentRangeStart w:id="36"/>
      <w:r>
        <w:rP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r>
        <w:rPr/>
      </w:r>
      <w:commentRangeEnd w:id="36"/>
      <w:r>
        <w:commentReference w:id="36"/>
      </w:r>
      <w:r>
        <w:rPr/>
        <w:t xml:space="preserve"> </w:t>
      </w:r>
      <w:r>
        <w:rPr>
          <w:highlight w:val="yellow"/>
        </w:rPr>
        <w:t>[%]</w:t>
      </w:r>
      <w:r>
        <w:rPr/>
        <w:t xml:space="preserve"> (</w:t>
      </w:r>
      <w:r>
        <w:rPr>
          <w:highlight w:val="yellow"/>
        </w:rPr>
        <w:t>[#]</w:t>
      </w:r>
      <w:r>
        <w:rPr/>
        <w:t>/</w:t>
      </w:r>
      <w:r>
        <w:rPr>
          <w:highlight w:val="yellow"/>
        </w:rPr>
        <w:t>[#]</w:t>
      </w:r>
      <w:r>
        <w:rPr/>
        <w:t xml:space="preserve">) of responding EU countries have a national policy on long-term data preservation whereby </w:t>
      </w:r>
      <w:r>
        <w:rPr>
          <w:highlight w:val="yellow"/>
        </w:rPr>
        <w:t>[%]</w:t>
      </w:r>
      <w:r>
        <w:rPr/>
        <w:t xml:space="preserve"> (</w:t>
      </w:r>
      <w:r>
        <w:rPr>
          <w:highlight w:val="yellow"/>
        </w:rPr>
        <w:t>[#]</w:t>
      </w:r>
      <w:r>
        <w:rPr/>
        <w:t>/</w:t>
      </w:r>
      <w:r>
        <w:rPr>
          <w:highlight w:val="yellow"/>
        </w:rPr>
        <w:t>[#]</w:t>
      </w:r>
      <w:r>
        <w:rPr/>
        <w:t>) are mandatory as shown in Figures 80 and 81.</w:t>
      </w:r>
    </w:p>
    <w:p>
      <w:pPr>
        <w:pStyle w:val="normal2"/>
        <w:widowControl w:val="false"/>
        <w:spacing w:lineRule="auto" w:line="240"/>
        <w:rPr/>
      </w:pPr>
      <w:r>
        <w:rPr/>
      </w:r>
    </w:p>
    <w:p>
      <w:pPr>
        <w:pStyle w:val="normal2"/>
        <w:jc w:val="center"/>
        <w:rPr>
          <w:i/>
          <w:i/>
          <w:iCs/>
        </w:rPr>
      </w:pPr>
      <w:r>
        <w:rPr>
          <w:highlight w:val="yellow"/>
        </w:rPr>
        <w:t>[FIGURE 80]</w:t>
      </w:r>
    </w:p>
    <w:p>
      <w:pPr>
        <w:pStyle w:val="normal2"/>
        <w:jc w:val="center"/>
        <w:rPr/>
      </w:pPr>
      <w:r>
        <w:rPr/>
      </w:r>
    </w:p>
    <w:p>
      <w:pPr>
        <w:pStyle w:val="normal2"/>
        <w:jc w:val="center"/>
        <w:rPr>
          <w:i/>
          <w:i/>
          <w:iCs/>
        </w:rPr>
      </w:pPr>
      <w:r>
        <w:rPr>
          <w:i/>
          <w:iCs/>
        </w:rPr>
        <w:t>Figure 80: Map of EU Countries with a National Policy on Long-term Data Preservation</w:t>
      </w:r>
    </w:p>
    <w:p>
      <w:pPr>
        <w:pStyle w:val="normal2"/>
        <w:widowControl w:val="false"/>
        <w:spacing w:lineRule="auto" w:line="240"/>
        <w:rPr/>
      </w:pPr>
      <w:r>
        <w:rPr/>
      </w:r>
    </w:p>
    <w:p>
      <w:pPr>
        <w:pStyle w:val="normal2"/>
        <w:jc w:val="center"/>
        <w:rPr>
          <w:i/>
          <w:i/>
          <w:iCs/>
        </w:rPr>
      </w:pPr>
      <w:r>
        <w:rPr>
          <w:highlight w:val="yellow"/>
        </w:rPr>
        <w:t>[FIGURE 81]</w:t>
      </w:r>
    </w:p>
    <w:p>
      <w:pPr>
        <w:pStyle w:val="normal2"/>
        <w:jc w:val="center"/>
        <w:rPr/>
      </w:pPr>
      <w:r>
        <w:rPr/>
      </w:r>
    </w:p>
    <w:p>
      <w:pPr>
        <w:pStyle w:val="normal2"/>
        <w:jc w:val="center"/>
        <w:rPr/>
      </w:pPr>
      <w:r>
        <w:rPr>
          <w:i/>
          <w:iCs/>
        </w:rPr>
        <w:t>Figure 81: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Financial Strategies on Infrastructure</w:t>
      </w:r>
    </w:p>
    <w:p>
      <w:pPr>
        <w:pStyle w:val="normal2"/>
        <w:widowControl w:val="false"/>
        <w:spacing w:lineRule="auto" w:line="240"/>
        <w:rPr/>
      </w:pPr>
      <w:r>
        <w:rPr/>
      </w:r>
    </w:p>
    <w:p>
      <w:pPr>
        <w:pStyle w:val="normal2"/>
        <w:widowControl w:val="false"/>
        <w:spacing w:lineRule="auto" w:line="240"/>
        <w:rPr/>
      </w:pPr>
      <w:r>
        <w:rPr/>
        <w:t xml:space="preserve">The second main policy question on connecting repositories to EOSC in Survey </w:t>
      </w:r>
      <w:r>
        <w:rPr>
          <w:highlight w:val="yellow"/>
        </w:rPr>
        <w:t>[YEAR]</w:t>
      </w:r>
      <w:r>
        <w:rPr/>
        <w:t xml:space="preserve"> is </w:t>
      </w:r>
      <w:r>
        <w:rPr>
          <w:i/>
          <w:iCs/>
        </w:rPr>
        <w:t>Does your country have a financial strategy on connecting repositories to EOSC?</w:t>
      </w:r>
      <w:r>
        <w:rPr/>
        <w:t xml:space="preserve"> (Q26). </w:t>
      </w:r>
      <w:r>
        <w:rPr>
          <w:highlight w:val="yellow"/>
        </w:rPr>
        <w:t>[%]</w:t>
      </w:r>
      <w:r>
        <w:rPr/>
        <w:t xml:space="preserve"> (</w:t>
      </w:r>
      <w:r>
        <w:rPr>
          <w:highlight w:val="yellow"/>
        </w:rPr>
        <w:t>[#]</w:t>
      </w:r>
      <w:r>
        <w:rPr/>
        <w:t>/</w:t>
      </w:r>
      <w:r>
        <w:rPr>
          <w:highlight w:val="yellow"/>
        </w:rPr>
        <w:t>[#]</w:t>
      </w:r>
      <w:r>
        <w:rPr/>
        <w:t>) of responding EU countries have a financial strategy on connecting repositories to EOSC as shown in Figures 82 and 83.</w:t>
      </w:r>
    </w:p>
    <w:p>
      <w:pPr>
        <w:pStyle w:val="normal2"/>
        <w:widowControl w:val="false"/>
        <w:spacing w:lineRule="auto" w:line="240"/>
        <w:rPr/>
      </w:pPr>
      <w:r>
        <w:rPr/>
      </w:r>
    </w:p>
    <w:p>
      <w:pPr>
        <w:pStyle w:val="normal2"/>
        <w:jc w:val="center"/>
        <w:rPr>
          <w:i/>
          <w:i/>
          <w:iCs/>
        </w:rPr>
      </w:pPr>
      <w:r>
        <w:rPr>
          <w:highlight w:val="yellow"/>
        </w:rPr>
        <w:t>[FIGURE 82]</w:t>
      </w:r>
    </w:p>
    <w:p>
      <w:pPr>
        <w:pStyle w:val="normal2"/>
        <w:jc w:val="center"/>
        <w:rPr/>
      </w:pPr>
      <w:r>
        <w:rPr/>
      </w:r>
    </w:p>
    <w:p>
      <w:pPr>
        <w:pStyle w:val="normal2"/>
        <w:jc w:val="center"/>
        <w:rPr/>
      </w:pPr>
      <w:r>
        <w:rPr>
          <w:i/>
          <w:iCs/>
        </w:rPr>
        <w:t>Figure 82: Map of EU Countries with a Financial Strategy on Connecting Repositories to EOSC</w:t>
      </w:r>
    </w:p>
    <w:p>
      <w:pPr>
        <w:pStyle w:val="normal2"/>
        <w:widowControl w:val="false"/>
        <w:spacing w:lineRule="auto" w:line="240"/>
        <w:rPr/>
      </w:pPr>
      <w:r>
        <w:rPr/>
      </w:r>
    </w:p>
    <w:p>
      <w:pPr>
        <w:pStyle w:val="normal2"/>
        <w:jc w:val="center"/>
        <w:rPr>
          <w:i/>
          <w:i/>
          <w:iCs/>
        </w:rPr>
      </w:pPr>
      <w:r>
        <w:rPr>
          <w:highlight w:val="yellow"/>
        </w:rPr>
        <w:t>[FIGURE 83]</w:t>
      </w:r>
    </w:p>
    <w:p>
      <w:pPr>
        <w:pStyle w:val="normal2"/>
        <w:jc w:val="center"/>
        <w:rPr/>
      </w:pPr>
      <w:r>
        <w:rPr/>
      </w:r>
    </w:p>
    <w:p>
      <w:pPr>
        <w:pStyle w:val="normal2"/>
        <w:jc w:val="center"/>
        <w:rPr/>
      </w:pPr>
      <w:r>
        <w:rPr>
          <w:i/>
          <w:iCs/>
        </w:rPr>
        <w:t>Figure 83: Share of EU Countries with a Financial Strategy on Connecting Repositories to EOSC</w:t>
      </w:r>
    </w:p>
    <w:p>
      <w:pPr>
        <w:pStyle w:val="normal2"/>
        <w:jc w:val="start"/>
        <w:rPr/>
      </w:pPr>
      <w:r>
        <w:rPr/>
      </w:r>
    </w:p>
    <w:p>
      <w:pPr>
        <w:pStyle w:val="normal2"/>
        <w:widowControl w:val="false"/>
        <w:spacing w:lineRule="auto" w:line="240"/>
        <w:rPr/>
      </w:pPr>
      <w:r>
        <w:rPr/>
        <w:t xml:space="preserve">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highlight w:val="yellow"/>
        </w:rPr>
        <w:t>[%]</w:t>
      </w:r>
      <w:r>
        <w:rPr/>
        <w:t xml:space="preserve"> (</w:t>
      </w:r>
      <w:r>
        <w:rPr>
          <w:highlight w:val="yellow"/>
        </w:rPr>
        <w:t>[#]</w:t>
      </w:r>
      <w:r>
        <w:rPr/>
        <w:t>/</w:t>
      </w:r>
      <w:r>
        <w:rPr>
          <w:highlight w:val="yellow"/>
        </w:rPr>
        <w:t>[#]</w:t>
      </w:r>
      <w:r>
        <w:rPr/>
        <w:t>) of responding EU countries have a financial strategy on data stewardship as shown in Figures 84 and 85.</w:t>
      </w:r>
    </w:p>
    <w:p>
      <w:pPr>
        <w:pStyle w:val="normal2"/>
        <w:widowControl w:val="false"/>
        <w:spacing w:lineRule="auto" w:line="240"/>
        <w:rPr/>
      </w:pPr>
      <w:r>
        <w:rPr/>
      </w:r>
    </w:p>
    <w:p>
      <w:pPr>
        <w:pStyle w:val="normal2"/>
        <w:jc w:val="center"/>
        <w:rPr>
          <w:i/>
          <w:i/>
          <w:iCs/>
        </w:rPr>
      </w:pPr>
      <w:r>
        <w:rPr>
          <w:highlight w:val="yellow"/>
        </w:rPr>
        <w:t>[FIGURE 84]</w:t>
      </w:r>
    </w:p>
    <w:p>
      <w:pPr>
        <w:pStyle w:val="normal2"/>
        <w:jc w:val="center"/>
        <w:rPr/>
      </w:pPr>
      <w:r>
        <w:rPr/>
      </w:r>
    </w:p>
    <w:p>
      <w:pPr>
        <w:pStyle w:val="normal2"/>
        <w:jc w:val="center"/>
        <w:rPr>
          <w:i/>
          <w:i/>
          <w:iCs/>
        </w:rPr>
      </w:pPr>
      <w:r>
        <w:rPr>
          <w:i/>
          <w:iCs/>
        </w:rPr>
        <w:t>Figure 84: Map of EU Countries with a Financial Strategy on Data Stewardship</w:t>
      </w:r>
    </w:p>
    <w:p>
      <w:pPr>
        <w:pStyle w:val="normal2"/>
        <w:widowControl w:val="false"/>
        <w:spacing w:lineRule="auto" w:line="240"/>
        <w:rPr/>
      </w:pPr>
      <w:r>
        <w:rPr/>
      </w:r>
    </w:p>
    <w:p>
      <w:pPr>
        <w:pStyle w:val="normal2"/>
        <w:jc w:val="center"/>
        <w:rPr>
          <w:i/>
          <w:i/>
          <w:iCs/>
        </w:rPr>
      </w:pPr>
      <w:r>
        <w:rPr>
          <w:highlight w:val="yellow"/>
        </w:rPr>
        <w:t>[FIGURE 85]</w:t>
      </w:r>
    </w:p>
    <w:p>
      <w:pPr>
        <w:pStyle w:val="normal2"/>
        <w:jc w:val="center"/>
        <w:rPr/>
      </w:pPr>
      <w:r>
        <w:rPr/>
      </w:r>
    </w:p>
    <w:p>
      <w:pPr>
        <w:pStyle w:val="normal2"/>
        <w:jc w:val="center"/>
        <w:rPr/>
      </w:pPr>
      <w:r>
        <w:rPr>
          <w:i/>
          <w:iCs/>
        </w:rPr>
        <w:t>Figure 85: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 xml:space="preserve">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highlight w:val="yellow"/>
        </w:rPr>
        <w:t>[%]</w:t>
      </w:r>
      <w:r>
        <w:rPr/>
        <w:t xml:space="preserve"> (</w:t>
      </w:r>
      <w:r>
        <w:rPr>
          <w:highlight w:val="yellow"/>
        </w:rPr>
        <w:t>[#]</w:t>
      </w:r>
      <w:r>
        <w:rPr/>
        <w:t>/</w:t>
      </w:r>
      <w:r>
        <w:rPr>
          <w:highlight w:val="yellow"/>
        </w:rPr>
        <w:t>[#]</w:t>
      </w:r>
      <w:r>
        <w:rPr/>
        <w:t>) of responding EU countries have a financial strategy on long-term data preservation as shown in Figures 86 and 87.</w:t>
      </w:r>
    </w:p>
    <w:p>
      <w:pPr>
        <w:pStyle w:val="normal2"/>
        <w:widowControl w:val="false"/>
        <w:spacing w:lineRule="auto" w:line="240"/>
        <w:rPr/>
      </w:pPr>
      <w:r>
        <w:rPr/>
      </w:r>
    </w:p>
    <w:p>
      <w:pPr>
        <w:pStyle w:val="normal2"/>
        <w:jc w:val="center"/>
        <w:rPr>
          <w:i/>
          <w:i/>
          <w:iCs/>
        </w:rPr>
      </w:pPr>
      <w:r>
        <w:rPr>
          <w:highlight w:val="yellow"/>
        </w:rPr>
        <w:t>[FIGURE 86]</w:t>
      </w:r>
    </w:p>
    <w:p>
      <w:pPr>
        <w:pStyle w:val="normal2"/>
        <w:jc w:val="center"/>
        <w:rPr/>
      </w:pPr>
      <w:r>
        <w:rPr/>
      </w:r>
    </w:p>
    <w:p>
      <w:pPr>
        <w:pStyle w:val="normal2"/>
        <w:jc w:val="center"/>
        <w:rPr>
          <w:i/>
          <w:i/>
          <w:iCs/>
        </w:rPr>
      </w:pPr>
      <w:r>
        <w:rPr>
          <w:i/>
          <w:iCs/>
        </w:rPr>
        <w:t>Figure 86: Map of EU Countries with a Financial Strategy on Long-term Data Preservation</w:t>
      </w:r>
    </w:p>
    <w:p>
      <w:pPr>
        <w:pStyle w:val="normal2"/>
        <w:widowControl w:val="false"/>
        <w:spacing w:lineRule="auto" w:line="240"/>
        <w:rPr/>
      </w:pPr>
      <w:r>
        <w:rPr/>
      </w:r>
    </w:p>
    <w:p>
      <w:pPr>
        <w:pStyle w:val="normal2"/>
        <w:jc w:val="center"/>
        <w:rPr>
          <w:i/>
          <w:i/>
          <w:iCs/>
        </w:rPr>
      </w:pPr>
      <w:r>
        <w:rPr>
          <w:highlight w:val="yellow"/>
        </w:rPr>
        <w:t>[FIGURE 87]</w:t>
      </w:r>
    </w:p>
    <w:p>
      <w:pPr>
        <w:pStyle w:val="normal2"/>
        <w:jc w:val="center"/>
        <w:rPr/>
      </w:pPr>
      <w:r>
        <w:rPr/>
      </w:r>
    </w:p>
    <w:p>
      <w:pPr>
        <w:pStyle w:val="normal2"/>
        <w:jc w:val="center"/>
        <w:rPr/>
      </w:pPr>
      <w:r>
        <w:rPr>
          <w:i/>
          <w:iCs/>
        </w:rPr>
        <w:t>Figure 87: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Practices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 xml:space="preserve">The first main practice question on connecting repositories to EOSC in Survey </w:t>
      </w:r>
      <w:r>
        <w:rPr>
          <w:highlight w:val="yellow"/>
        </w:rPr>
        <w:t>[YEAR]</w:t>
      </w:r>
      <w:r>
        <w:rPr/>
        <w:t xml:space="preserve"> is </w:t>
      </w:r>
      <w:r>
        <w:rPr>
          <w:i/>
          <w:iCs/>
        </w:rPr>
        <w:t>Does your country have a national monitoring on connecting repositories to EOSC?</w:t>
      </w:r>
      <w:r>
        <w:rPr/>
        <w:t xml:space="preserve"> (Q73). </w:t>
      </w:r>
      <w:r>
        <w:rPr>
          <w:highlight w:val="yellow"/>
        </w:rPr>
        <w:t>[%]</w:t>
      </w:r>
      <w:r>
        <w:rPr/>
        <w:t xml:space="preserve"> (</w:t>
      </w:r>
      <w:r>
        <w:rPr>
          <w:highlight w:val="yellow"/>
        </w:rPr>
        <w:t>[#]</w:t>
      </w:r>
      <w:r>
        <w:rPr/>
        <w:t>/</w:t>
      </w:r>
      <w:r>
        <w:rPr>
          <w:highlight w:val="yellow"/>
        </w:rPr>
        <w:t>[#]</w:t>
      </w:r>
      <w:r>
        <w:rPr/>
        <w:t>) of responding EU countries have a national monitoring on connecting repositories to EOSC as shown in Figures 88 and 89.</w:t>
      </w:r>
    </w:p>
    <w:p>
      <w:pPr>
        <w:pStyle w:val="normal2"/>
        <w:widowControl w:val="false"/>
        <w:spacing w:lineRule="auto" w:line="240"/>
        <w:rPr/>
      </w:pPr>
      <w:r>
        <w:rPr/>
      </w:r>
    </w:p>
    <w:p>
      <w:pPr>
        <w:pStyle w:val="normal2"/>
        <w:jc w:val="center"/>
        <w:rPr>
          <w:i/>
          <w:i/>
          <w:iCs/>
        </w:rPr>
      </w:pPr>
      <w:r>
        <w:rPr>
          <w:highlight w:val="yellow"/>
        </w:rPr>
        <w:t>[FIGURE 88]</w:t>
      </w:r>
    </w:p>
    <w:p>
      <w:pPr>
        <w:pStyle w:val="normal2"/>
        <w:jc w:val="center"/>
        <w:rPr/>
      </w:pPr>
      <w:r>
        <w:rPr/>
      </w:r>
    </w:p>
    <w:p>
      <w:pPr>
        <w:pStyle w:val="normal2"/>
        <w:jc w:val="center"/>
        <w:rPr/>
      </w:pPr>
      <w:r>
        <w:rPr>
          <w:i/>
          <w:iCs/>
        </w:rPr>
        <w:t>Figure 88: Map of EU Countries with a National Monitoring on Connecting Repositories to EOSC</w:t>
      </w:r>
    </w:p>
    <w:p>
      <w:pPr>
        <w:pStyle w:val="normal2"/>
        <w:widowControl w:val="false"/>
        <w:spacing w:lineRule="auto" w:line="240"/>
        <w:rPr/>
      </w:pPr>
      <w:r>
        <w:rPr/>
      </w:r>
    </w:p>
    <w:p>
      <w:pPr>
        <w:pStyle w:val="normal2"/>
        <w:jc w:val="center"/>
        <w:rPr>
          <w:i/>
          <w:i/>
          <w:iCs/>
        </w:rPr>
      </w:pPr>
      <w:r>
        <w:rPr>
          <w:highlight w:val="yellow"/>
        </w:rPr>
        <w:t>[FIGURE 89]</w:t>
      </w:r>
    </w:p>
    <w:p>
      <w:pPr>
        <w:pStyle w:val="normal2"/>
        <w:jc w:val="center"/>
        <w:rPr/>
      </w:pPr>
      <w:r>
        <w:rPr/>
      </w:r>
    </w:p>
    <w:p>
      <w:pPr>
        <w:pStyle w:val="normal2"/>
        <w:jc w:val="center"/>
        <w:rPr/>
      </w:pPr>
      <w:r>
        <w:rPr>
          <w:i/>
          <w:iCs/>
        </w:rPr>
        <w:t>Figure 89: Share of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 xml:space="preserve">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highlight w:val="yellow"/>
        </w:rPr>
        <w:t>[%]</w:t>
      </w:r>
      <w:r>
        <w:rPr/>
        <w:t xml:space="preserve"> (</w:t>
      </w:r>
      <w:r>
        <w:rPr>
          <w:highlight w:val="yellow"/>
        </w:rPr>
        <w:t>[#]</w:t>
      </w:r>
      <w:r>
        <w:rPr/>
        <w:t>/</w:t>
      </w:r>
      <w:r>
        <w:rPr>
          <w:highlight w:val="yellow"/>
        </w:rPr>
        <w:t>[#]</w:t>
      </w:r>
      <w:r>
        <w:rPr/>
        <w:t>) of responding EU countries have a national monitoring on data stewardship as shown in Figures 90 and 91.</w:t>
      </w:r>
    </w:p>
    <w:p>
      <w:pPr>
        <w:pStyle w:val="normal2"/>
        <w:widowControl w:val="false"/>
        <w:spacing w:lineRule="auto" w:line="240"/>
        <w:rPr/>
      </w:pPr>
      <w:r>
        <w:rPr/>
      </w:r>
    </w:p>
    <w:p>
      <w:pPr>
        <w:pStyle w:val="normal2"/>
        <w:jc w:val="center"/>
        <w:rPr>
          <w:i/>
          <w:i/>
          <w:iCs/>
        </w:rPr>
      </w:pPr>
      <w:r>
        <w:rPr>
          <w:highlight w:val="yellow"/>
        </w:rPr>
        <w:t>[FIGURE 90]</w:t>
      </w:r>
    </w:p>
    <w:p>
      <w:pPr>
        <w:pStyle w:val="normal2"/>
        <w:jc w:val="center"/>
        <w:rPr/>
      </w:pPr>
      <w:r>
        <w:rPr/>
      </w:r>
    </w:p>
    <w:p>
      <w:pPr>
        <w:pStyle w:val="normal2"/>
        <w:jc w:val="center"/>
        <w:rPr/>
      </w:pPr>
      <w:r>
        <w:rPr>
          <w:i/>
          <w:iCs/>
        </w:rPr>
        <w:t>Figure 90: Map of EU Countries with a National Monitoring on Data Stewardship</w:t>
      </w:r>
    </w:p>
    <w:p>
      <w:pPr>
        <w:pStyle w:val="normal2"/>
        <w:widowControl w:val="false"/>
        <w:spacing w:lineRule="auto" w:line="240"/>
        <w:rPr/>
      </w:pPr>
      <w:r>
        <w:rPr/>
      </w:r>
    </w:p>
    <w:p>
      <w:pPr>
        <w:pStyle w:val="normal2"/>
        <w:jc w:val="center"/>
        <w:rPr>
          <w:i/>
          <w:i/>
          <w:iCs/>
        </w:rPr>
      </w:pPr>
      <w:r>
        <w:rPr>
          <w:highlight w:val="yellow"/>
        </w:rPr>
        <w:t>[FIGURE 91]</w:t>
      </w:r>
    </w:p>
    <w:p>
      <w:pPr>
        <w:pStyle w:val="normal2"/>
        <w:jc w:val="center"/>
        <w:rPr/>
      </w:pPr>
      <w:r>
        <w:rPr/>
      </w:r>
    </w:p>
    <w:p>
      <w:pPr>
        <w:pStyle w:val="normal2"/>
        <w:jc w:val="center"/>
        <w:rPr/>
      </w:pPr>
      <w:r>
        <w:rPr>
          <w:i/>
          <w:iCs/>
        </w:rPr>
        <w:t>Figure 91: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 xml:space="preserve">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highlight w:val="yellow"/>
        </w:rPr>
        <w:t>[%]</w:t>
      </w:r>
      <w:r>
        <w:rPr/>
        <w:t xml:space="preserve"> (</w:t>
      </w:r>
      <w:r>
        <w:rPr>
          <w:highlight w:val="yellow"/>
        </w:rPr>
        <w:t>[#]</w:t>
      </w:r>
      <w:r>
        <w:rPr/>
        <w:t>/</w:t>
      </w:r>
      <w:r>
        <w:rPr>
          <w:highlight w:val="yellow"/>
        </w:rPr>
        <w:t>[#]</w:t>
      </w:r>
      <w:r>
        <w:rPr/>
        <w:t>) of responding EU countries have a national monitoring on long-term data preservation as shown in Figures 92 and 93.</w:t>
      </w:r>
    </w:p>
    <w:p>
      <w:pPr>
        <w:pStyle w:val="normal2"/>
        <w:widowControl w:val="false"/>
        <w:spacing w:lineRule="auto" w:line="240"/>
        <w:rPr/>
      </w:pPr>
      <w:r>
        <w:rPr/>
      </w:r>
    </w:p>
    <w:p>
      <w:pPr>
        <w:pStyle w:val="normal2"/>
        <w:jc w:val="center"/>
        <w:rPr>
          <w:i/>
          <w:i/>
          <w:iCs/>
        </w:rPr>
      </w:pPr>
      <w:r>
        <w:rPr>
          <w:highlight w:val="yellow"/>
        </w:rPr>
        <w:t>[FIGURE 92]</w:t>
      </w:r>
    </w:p>
    <w:p>
      <w:pPr>
        <w:pStyle w:val="normal2"/>
        <w:jc w:val="center"/>
        <w:rPr/>
      </w:pPr>
      <w:r>
        <w:rPr/>
      </w:r>
    </w:p>
    <w:p>
      <w:pPr>
        <w:pStyle w:val="normal2"/>
        <w:jc w:val="center"/>
        <w:rPr/>
      </w:pPr>
      <w:r>
        <w:rPr>
          <w:i/>
          <w:iCs/>
        </w:rPr>
        <w:t>Figure 92: Map of EU Countries with a National Monitoring on Long-term Data Preservation</w:t>
      </w:r>
    </w:p>
    <w:p>
      <w:pPr>
        <w:pStyle w:val="normal2"/>
        <w:widowControl w:val="false"/>
        <w:spacing w:lineRule="auto" w:line="240"/>
        <w:rPr/>
      </w:pPr>
      <w:r>
        <w:rPr/>
      </w:r>
    </w:p>
    <w:p>
      <w:pPr>
        <w:pStyle w:val="normal2"/>
        <w:jc w:val="center"/>
        <w:rPr>
          <w:i/>
          <w:i/>
          <w:iCs/>
        </w:rPr>
      </w:pPr>
      <w:r>
        <w:rPr>
          <w:highlight w:val="yellow"/>
        </w:rPr>
        <w:t>[FIGURE 93]</w:t>
      </w:r>
    </w:p>
    <w:p>
      <w:pPr>
        <w:pStyle w:val="normal2"/>
        <w:jc w:val="center"/>
        <w:rPr/>
      </w:pPr>
      <w:r>
        <w:rPr/>
      </w:r>
    </w:p>
    <w:p>
      <w:pPr>
        <w:pStyle w:val="normal2"/>
        <w:jc w:val="center"/>
        <w:rPr/>
      </w:pPr>
      <w:r>
        <w:rPr>
          <w:i/>
          <w:iCs/>
        </w:rPr>
        <w:t>Figure 93: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 xml:space="preserve">The second main practice question on connecting repositories to EOSC in Survey </w:t>
      </w:r>
      <w:r>
        <w:rPr>
          <w:highlight w:val="yellow"/>
        </w:rPr>
        <w:t>[YEAR]</w:t>
      </w:r>
      <w:r>
        <w:rPr/>
        <w:t xml:space="preserve"> is </w:t>
      </w:r>
      <w:r>
        <w:rPr>
          <w:i/>
          <w:iCs/>
        </w:rPr>
        <w:t xml:space="preserve">How much did your country financially invest in connecting repositories to EOSC in </w:t>
      </w:r>
      <w:r>
        <w:rPr>
          <w:i/>
          <w:iCs/>
          <w:highlight w:val="yellow"/>
        </w:rPr>
        <w:t>[YEAR]</w:t>
      </w:r>
      <w:r>
        <w:rPr>
          <w:i/>
          <w:iCs/>
        </w:rPr>
        <w:t xml:space="preserve"> in millions of Euros?</w:t>
      </w:r>
      <w:r>
        <w:rPr/>
        <w:t xml:space="preserve"> (Q75).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connecting repositories to EOSC.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94.</w:t>
      </w:r>
    </w:p>
    <w:p>
      <w:pPr>
        <w:pStyle w:val="normal2"/>
        <w:widowControl w:val="false"/>
        <w:spacing w:lineRule="auto" w:line="240"/>
        <w:rPr/>
      </w:pPr>
      <w:r>
        <w:rPr/>
      </w:r>
    </w:p>
    <w:p>
      <w:pPr>
        <w:pStyle w:val="normal2"/>
        <w:jc w:val="center"/>
        <w:rPr>
          <w:i/>
          <w:i/>
          <w:iCs/>
        </w:rPr>
      </w:pPr>
      <w:r>
        <w:rPr>
          <w:highlight w:val="yellow"/>
        </w:rPr>
        <w:t>[FIGURE 94]</w:t>
      </w:r>
    </w:p>
    <w:p>
      <w:pPr>
        <w:pStyle w:val="normal2"/>
        <w:jc w:val="center"/>
        <w:rPr/>
      </w:pPr>
      <w:r>
        <w:rPr/>
      </w:r>
    </w:p>
    <w:p>
      <w:pPr>
        <w:pStyle w:val="normal2"/>
        <w:jc w:val="center"/>
        <w:rPr/>
      </w:pPr>
      <w:r>
        <w:rPr>
          <w:i/>
          <w:iCs/>
        </w:rPr>
        <w:t>Figure 94: Share of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 xml:space="preserve">The second main practice question on data stewardship in Survey </w:t>
      </w:r>
      <w:r>
        <w:rPr>
          <w:highlight w:val="yellow"/>
        </w:rPr>
        <w:t>[YEAR]</w:t>
      </w:r>
      <w:r>
        <w:rPr/>
        <w:t xml:space="preserve"> is </w:t>
      </w:r>
      <w:r>
        <w:rPr>
          <w:i/>
          <w:iCs/>
        </w:rPr>
        <w:t xml:space="preserve">How much did your country financially invest in data stewardship in </w:t>
      </w:r>
      <w:r>
        <w:rPr>
          <w:i/>
          <w:iCs/>
          <w:highlight w:val="yellow"/>
        </w:rPr>
        <w:t>[YEAR]</w:t>
      </w:r>
      <w:r>
        <w:rPr>
          <w:i/>
          <w:iCs/>
        </w:rPr>
        <w:t xml:space="preserve"> in millions of Euros?</w:t>
      </w:r>
      <w:r>
        <w:rPr/>
        <w:t xml:space="preserve"> (Q79).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data stewardship.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95.</w:t>
      </w:r>
    </w:p>
    <w:p>
      <w:pPr>
        <w:pStyle w:val="normal2"/>
        <w:widowControl w:val="false"/>
        <w:spacing w:lineRule="auto" w:line="240"/>
        <w:rPr/>
      </w:pPr>
      <w:r>
        <w:rPr/>
      </w:r>
    </w:p>
    <w:p>
      <w:pPr>
        <w:pStyle w:val="normal2"/>
        <w:jc w:val="center"/>
        <w:rPr>
          <w:i/>
          <w:i/>
          <w:iCs/>
        </w:rPr>
      </w:pPr>
      <w:r>
        <w:rPr>
          <w:highlight w:val="yellow"/>
        </w:rPr>
        <w:t>[FIGURE 95]</w:t>
      </w:r>
    </w:p>
    <w:p>
      <w:pPr>
        <w:pStyle w:val="normal2"/>
        <w:jc w:val="center"/>
        <w:rPr/>
      </w:pPr>
      <w:r>
        <w:rPr/>
      </w:r>
    </w:p>
    <w:p>
      <w:pPr>
        <w:pStyle w:val="normal2"/>
        <w:jc w:val="center"/>
        <w:rPr/>
      </w:pPr>
      <w:r>
        <w:rPr>
          <w:i/>
          <w:iCs/>
        </w:rPr>
        <w:t>Figure 95: Share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 xml:space="preserve">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i/>
          <w:iCs/>
          <w:highlight w:val="yellow"/>
        </w:rPr>
        <w:t>[YEAR]</w:t>
      </w:r>
      <w:r>
        <w:rPr>
          <w:i/>
          <w:iCs/>
        </w:rPr>
        <w:t xml:space="preserve"> in millions of Euros?</w:t>
      </w:r>
      <w:r>
        <w:rPr/>
        <w:t xml:space="preserve"> (Q83).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long-term data preservation.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96.</w:t>
      </w:r>
    </w:p>
    <w:p>
      <w:pPr>
        <w:pStyle w:val="normal2"/>
        <w:widowControl w:val="false"/>
        <w:spacing w:lineRule="auto" w:line="240"/>
        <w:rPr/>
      </w:pPr>
      <w:r>
        <w:rPr/>
      </w:r>
    </w:p>
    <w:p>
      <w:pPr>
        <w:pStyle w:val="normal2"/>
        <w:jc w:val="center"/>
        <w:rPr>
          <w:i/>
          <w:i/>
          <w:iCs/>
        </w:rPr>
      </w:pPr>
      <w:r>
        <w:rPr>
          <w:highlight w:val="yellow"/>
        </w:rPr>
        <w:t>[FIGURE 96]</w:t>
      </w:r>
    </w:p>
    <w:p>
      <w:pPr>
        <w:pStyle w:val="normal2"/>
        <w:jc w:val="center"/>
        <w:rPr/>
      </w:pPr>
      <w:r>
        <w:rPr/>
      </w:r>
    </w:p>
    <w:p>
      <w:pPr>
        <w:pStyle w:val="normal2"/>
        <w:jc w:val="center"/>
        <w:rPr/>
      </w:pPr>
      <w:r>
        <w:rPr>
          <w:i/>
          <w:iCs/>
        </w:rPr>
        <w:t>Figure 96: Share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Impact</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Policies on Infrastructure</w:t>
      </w:r>
    </w:p>
    <w:p>
      <w:pPr>
        <w:pStyle w:val="normal2"/>
        <w:widowControl w:val="false"/>
        <w:spacing w:lineRule="auto" w:line="240"/>
        <w:rPr/>
      </w:pPr>
      <w:r>
        <w:rPr/>
      </w:r>
    </w:p>
    <w:p>
      <w:pPr>
        <w:pStyle w:val="normal2"/>
        <w:widowControl w:val="false"/>
        <w:spacing w:lineRule="auto" w:line="240"/>
        <w:rPr/>
      </w:pPr>
      <w:r>
        <w:rPr/>
        <w:t xml:space="preserve">There is </w:t>
      </w:r>
      <w:commentRangeStart w:id="37"/>
      <w:r>
        <w:rPr>
          <w:highlight w:val="yellow"/>
        </w:rPr>
        <w:t>[TREND1]</w:t>
      </w:r>
      <w:r>
        <w:rPr>
          <w:highlight w:val="yellow"/>
        </w:rPr>
      </w:r>
      <w:commentRangeEnd w:id="37"/>
      <w:r>
        <w:commentReference w:id="37"/>
      </w:r>
      <w:r>
        <w:rPr/>
        <w:t xml:space="preserve"> in national policies on connecting repositories to EOSC in EU countries in </w:t>
      </w:r>
      <w:r>
        <w:rPr>
          <w:highlight w:val="yellow"/>
        </w:rPr>
        <w:t>[YEAR]</w:t>
      </w:r>
      <w:r>
        <w:rPr/>
        <w:t xml:space="preserve"> from the previous year and </w:t>
      </w:r>
      <w:commentRangeStart w:id="38"/>
      <w:commentRangeStart w:id="39"/>
      <w:r>
        <w:rPr>
          <w:highlight w:val="yellow"/>
        </w:rPr>
        <w:t>[TREND2]</w:t>
      </w:r>
      <w:r>
        <w:rPr>
          <w:highlight w:val="yellow"/>
        </w:rPr>
      </w:r>
      <w:commentRangeEnd w:id="38"/>
      <w:r>
        <w:commentReference w:id="38"/>
      </w:r>
      <w:r>
        <w:rPr>
          <w:highlight w:val="yellow"/>
        </w:rPr>
      </w:r>
      <w:commentRangeEnd w:id="39"/>
      <w:r>
        <w:commentReference w:id="39"/>
      </w:r>
      <w:r>
        <w:rPr/>
        <w:t xml:space="preserve"> since 2022 whereby there is </w:t>
      </w:r>
      <w:commentRangeStart w:id="40"/>
      <w:r>
        <w:rPr>
          <w:highlight w:val="yellow"/>
        </w:rPr>
        <w:t>[TREND1]</w:t>
      </w:r>
      <w:r>
        <w:rPr>
          <w:highlight w:val="yellow"/>
        </w:rPr>
      </w:r>
      <w:commentRangeEnd w:id="40"/>
      <w:r>
        <w:commentReference w:id="40"/>
      </w:r>
      <w:r>
        <w:rPr/>
        <w:t xml:space="preserve"> in mandatory policies in </w:t>
      </w:r>
      <w:r>
        <w:rPr>
          <w:highlight w:val="yellow"/>
        </w:rPr>
        <w:t>[YEAR]</w:t>
      </w:r>
      <w:r>
        <w:rPr/>
        <w:t xml:space="preserve"> from the previous year and </w:t>
      </w:r>
      <w:commentRangeStart w:id="41"/>
      <w:commentRangeStart w:id="42"/>
      <w:r>
        <w:rPr>
          <w:highlight w:val="yellow"/>
        </w:rPr>
        <w:t>[TREND2]</w:t>
      </w:r>
      <w:r>
        <w:rPr>
          <w:highlight w:val="yellow"/>
        </w:rPr>
      </w:r>
      <w:commentRangeEnd w:id="42"/>
      <w:r>
        <w:commentReference w:id="42"/>
      </w:r>
      <w:r>
        <w:rPr>
          <w:highlight w:val="yellow"/>
        </w:rPr>
      </w:r>
      <w:commentRangeEnd w:id="41"/>
      <w:r>
        <w:commentReference w:id="41"/>
      </w:r>
      <w:r>
        <w:rPr/>
        <w:t xml:space="preserve"> since 2022 as shown in Figure 97.</w:t>
      </w:r>
    </w:p>
    <w:p>
      <w:pPr>
        <w:pStyle w:val="normal2"/>
        <w:widowControl w:val="false"/>
        <w:spacing w:lineRule="auto" w:line="240"/>
        <w:rPr/>
      </w:pPr>
      <w:r>
        <w:rPr/>
      </w:r>
    </w:p>
    <w:p>
      <w:pPr>
        <w:pStyle w:val="normal2"/>
        <w:jc w:val="center"/>
        <w:rPr>
          <w:i/>
          <w:i/>
          <w:iCs/>
        </w:rPr>
      </w:pPr>
      <w:r>
        <w:rPr>
          <w:highlight w:val="yellow"/>
        </w:rPr>
        <w:t>[FIGURE 97]</w:t>
      </w:r>
    </w:p>
    <w:p>
      <w:pPr>
        <w:pStyle w:val="normal2"/>
        <w:jc w:val="center"/>
        <w:rPr/>
      </w:pPr>
      <w:r>
        <w:rPr/>
      </w:r>
    </w:p>
    <w:p>
      <w:pPr>
        <w:pStyle w:val="normal2"/>
        <w:jc w:val="center"/>
        <w:rPr/>
      </w:pPr>
      <w:r>
        <w:rPr>
          <w:i/>
          <w:iCs/>
        </w:rPr>
        <w:t>Figure 97: Trend in EU Countries with a National Policy on Connecting Repositories to EOSC</w:t>
      </w:r>
    </w:p>
    <w:p>
      <w:pPr>
        <w:pStyle w:val="normal2"/>
        <w:widowControl w:val="false"/>
        <w:spacing w:lineRule="auto" w:line="240"/>
        <w:rPr/>
      </w:pPr>
      <w:r>
        <w:rPr/>
      </w:r>
    </w:p>
    <w:p>
      <w:pPr>
        <w:pStyle w:val="normal2"/>
        <w:widowControl w:val="false"/>
        <w:spacing w:lineRule="auto" w:line="240"/>
        <w:rPr/>
      </w:pPr>
      <w:r>
        <w:rPr/>
        <w:t xml:space="preserve">There is </w:t>
      </w:r>
      <w:commentRangeStart w:id="43"/>
      <w:r>
        <w:rPr>
          <w:highlight w:val="yellow"/>
        </w:rPr>
        <w:t>[TREND1]</w:t>
      </w:r>
      <w:r>
        <w:rPr>
          <w:highlight w:val="yellow"/>
        </w:rPr>
      </w:r>
      <w:commentRangeEnd w:id="43"/>
      <w:r>
        <w:commentReference w:id="43"/>
      </w:r>
      <w:r>
        <w:rPr/>
        <w:t xml:space="preserve"> in national policies on data stewardship in EU countries in </w:t>
      </w:r>
      <w:r>
        <w:rPr>
          <w:highlight w:val="yellow"/>
        </w:rPr>
        <w:t>[YEAR]</w:t>
      </w:r>
      <w:r>
        <w:rPr/>
        <w:t xml:space="preserve"> from the previous year and </w:t>
      </w:r>
      <w:commentRangeStart w:id="44"/>
      <w:commentRangeStart w:id="45"/>
      <w:r>
        <w:rPr>
          <w:highlight w:val="yellow"/>
        </w:rPr>
        <w:t>[TREND2]</w:t>
      </w:r>
      <w:r>
        <w:rPr>
          <w:highlight w:val="yellow"/>
        </w:rPr>
      </w:r>
      <w:commentRangeEnd w:id="45"/>
      <w:r>
        <w:commentReference w:id="45"/>
      </w:r>
      <w:r>
        <w:rPr>
          <w:highlight w:val="yellow"/>
        </w:rPr>
      </w:r>
      <w:commentRangeEnd w:id="44"/>
      <w:r>
        <w:commentReference w:id="44"/>
      </w:r>
      <w:r>
        <w:rPr/>
        <w:t xml:space="preserve"> since 2022 whereby there is </w:t>
      </w:r>
      <w:commentRangeStart w:id="46"/>
      <w:r>
        <w:rPr>
          <w:highlight w:val="yellow"/>
        </w:rPr>
        <w:t>[TREND1]</w:t>
      </w:r>
      <w:r>
        <w:rPr>
          <w:highlight w:val="yellow"/>
        </w:rPr>
      </w:r>
      <w:commentRangeEnd w:id="46"/>
      <w:r>
        <w:commentReference w:id="46"/>
      </w:r>
      <w:r>
        <w:rPr/>
        <w:t xml:space="preserve"> in mandatory policies in </w:t>
      </w:r>
      <w:r>
        <w:rPr>
          <w:highlight w:val="yellow"/>
        </w:rPr>
        <w:t>[YEAR]</w:t>
      </w:r>
      <w:r>
        <w:rPr/>
        <w:t xml:space="preserve"> from the previous year and </w:t>
      </w:r>
      <w:commentRangeStart w:id="47"/>
      <w:commentRangeStart w:id="48"/>
      <w:r>
        <w:rPr>
          <w:highlight w:val="yellow"/>
        </w:rPr>
        <w:t>[TREND2]</w:t>
      </w:r>
      <w:r>
        <w:rPr>
          <w:highlight w:val="yellow"/>
        </w:rPr>
      </w:r>
      <w:commentRangeEnd w:id="47"/>
      <w:r>
        <w:commentReference w:id="47"/>
      </w:r>
      <w:r>
        <w:rPr>
          <w:highlight w:val="yellow"/>
        </w:rPr>
      </w:r>
      <w:commentRangeEnd w:id="48"/>
      <w:r>
        <w:commentReference w:id="48"/>
      </w:r>
      <w:r>
        <w:rPr/>
        <w:t xml:space="preserve"> since 2022 as shown in Figure 98.</w:t>
      </w:r>
    </w:p>
    <w:p>
      <w:pPr>
        <w:pStyle w:val="normal2"/>
        <w:widowControl w:val="false"/>
        <w:spacing w:lineRule="auto" w:line="240"/>
        <w:rPr/>
      </w:pPr>
      <w:r>
        <w:rPr/>
      </w:r>
    </w:p>
    <w:p>
      <w:pPr>
        <w:pStyle w:val="normal2"/>
        <w:jc w:val="center"/>
        <w:rPr>
          <w:i/>
          <w:i/>
          <w:iCs/>
        </w:rPr>
      </w:pPr>
      <w:r>
        <w:rPr>
          <w:highlight w:val="yellow"/>
        </w:rPr>
        <w:t>[FIGURE 98]</w:t>
      </w:r>
    </w:p>
    <w:p>
      <w:pPr>
        <w:pStyle w:val="normal2"/>
        <w:jc w:val="center"/>
        <w:rPr/>
      </w:pPr>
      <w:r>
        <w:rPr/>
      </w:r>
    </w:p>
    <w:p>
      <w:pPr>
        <w:pStyle w:val="normal2"/>
        <w:jc w:val="center"/>
        <w:rPr/>
      </w:pPr>
      <w:r>
        <w:rPr>
          <w:i/>
          <w:iCs/>
        </w:rPr>
        <w:t>Figure 98: Trend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 xml:space="preserve">There is </w:t>
      </w:r>
      <w:commentRangeStart w:id="49"/>
      <w:r>
        <w:rPr>
          <w:highlight w:val="yellow"/>
        </w:rPr>
        <w:t>[TREND1]</w:t>
      </w:r>
      <w:r>
        <w:rPr>
          <w:highlight w:val="yellow"/>
        </w:rPr>
      </w:r>
      <w:commentRangeEnd w:id="49"/>
      <w:r>
        <w:commentReference w:id="49"/>
      </w:r>
      <w:r>
        <w:rPr/>
        <w:t xml:space="preserve"> in national policies on long-term data preservation in EU countries in </w:t>
      </w:r>
      <w:r>
        <w:rPr>
          <w:highlight w:val="yellow"/>
        </w:rPr>
        <w:t>[YEAR]</w:t>
      </w:r>
      <w:r>
        <w:rPr/>
        <w:t xml:space="preserve"> from the previous year and </w:t>
      </w:r>
      <w:commentRangeStart w:id="50"/>
      <w:commentRangeStart w:id="51"/>
      <w:r>
        <w:rPr>
          <w:highlight w:val="yellow"/>
        </w:rPr>
        <w:t>[TREND2]</w:t>
      </w:r>
      <w:r>
        <w:rPr>
          <w:highlight w:val="yellow"/>
        </w:rPr>
      </w:r>
      <w:commentRangeEnd w:id="51"/>
      <w:r>
        <w:commentReference w:id="51"/>
      </w:r>
      <w:r>
        <w:rPr>
          <w:highlight w:val="yellow"/>
        </w:rPr>
      </w:r>
      <w:commentRangeEnd w:id="50"/>
      <w:r>
        <w:commentReference w:id="50"/>
      </w:r>
      <w:r>
        <w:rPr/>
        <w:t xml:space="preserve"> since 2022 whereby there is </w:t>
      </w:r>
      <w:commentRangeStart w:id="52"/>
      <w:r>
        <w:rPr>
          <w:highlight w:val="yellow"/>
        </w:rPr>
        <w:t>[TREND1]</w:t>
      </w:r>
      <w:r>
        <w:rPr>
          <w:highlight w:val="yellow"/>
        </w:rPr>
      </w:r>
      <w:commentRangeEnd w:id="52"/>
      <w:r>
        <w:commentReference w:id="52"/>
      </w:r>
      <w:r>
        <w:rPr/>
        <w:t xml:space="preserve"> in mandatory policies in </w:t>
      </w:r>
      <w:r>
        <w:rPr>
          <w:highlight w:val="yellow"/>
        </w:rPr>
        <w:t>[YEAR]</w:t>
      </w:r>
      <w:r>
        <w:rPr/>
        <w:t xml:space="preserve"> from the previous year and </w:t>
      </w:r>
      <w:commentRangeStart w:id="53"/>
      <w:commentRangeStart w:id="54"/>
      <w:r>
        <w:rPr>
          <w:highlight w:val="yellow"/>
        </w:rPr>
        <w:t>[TREND2]</w:t>
      </w:r>
      <w:r>
        <w:rPr>
          <w:highlight w:val="yellow"/>
        </w:rPr>
      </w:r>
      <w:commentRangeEnd w:id="54"/>
      <w:r>
        <w:commentReference w:id="54"/>
      </w:r>
      <w:r>
        <w:rPr>
          <w:highlight w:val="yellow"/>
        </w:rPr>
      </w:r>
      <w:commentRangeEnd w:id="53"/>
      <w:r>
        <w:commentReference w:id="53"/>
      </w:r>
      <w:r>
        <w:rPr/>
        <w:t xml:space="preserve"> since 2022 as shown in Figure 99.</w:t>
      </w:r>
    </w:p>
    <w:p>
      <w:pPr>
        <w:pStyle w:val="normal2"/>
        <w:widowControl w:val="false"/>
        <w:spacing w:lineRule="auto" w:line="240"/>
        <w:rPr/>
      </w:pPr>
      <w:r>
        <w:rPr/>
      </w:r>
    </w:p>
    <w:p>
      <w:pPr>
        <w:pStyle w:val="normal2"/>
        <w:jc w:val="center"/>
        <w:rPr>
          <w:i/>
          <w:i/>
          <w:iCs/>
        </w:rPr>
      </w:pPr>
      <w:r>
        <w:rPr>
          <w:highlight w:val="yellow"/>
        </w:rPr>
        <w:t>[FIGURE 99]</w:t>
      </w:r>
    </w:p>
    <w:p>
      <w:pPr>
        <w:pStyle w:val="normal2"/>
        <w:jc w:val="center"/>
        <w:rPr/>
      </w:pPr>
      <w:r>
        <w:rPr/>
      </w:r>
    </w:p>
    <w:p>
      <w:pPr>
        <w:pStyle w:val="normal2"/>
        <w:jc w:val="center"/>
        <w:rPr/>
      </w:pPr>
      <w:r>
        <w:rPr>
          <w:i/>
          <w:iCs/>
        </w:rPr>
        <w:t>Figure 99: Trend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 xml:space="preserve">There is furthermore </w:t>
      </w:r>
      <w:r>
        <w:rPr>
          <w:highlight w:val="yellow"/>
        </w:rPr>
        <w:t>[TREND1]</w:t>
      </w:r>
      <w:r>
        <w:rPr/>
        <w:t xml:space="preserve"> in financial strategies on connecting repositories to EOSC in </w:t>
      </w:r>
      <w:r>
        <w:rPr>
          <w:highlight w:val="yellow"/>
        </w:rPr>
        <w:t>[YEAR]</w:t>
      </w:r>
      <w:r>
        <w:rPr/>
        <w:t xml:space="preserve"> from the previous year and </w:t>
      </w:r>
      <w:r>
        <w:rPr>
          <w:highlight w:val="yellow"/>
        </w:rPr>
        <w:t>[TREND2]</w:t>
      </w:r>
      <w:r>
        <w:rPr/>
        <w:t xml:space="preserve"> since 2022 as shown in Figure 100.</w:t>
      </w:r>
    </w:p>
    <w:p>
      <w:pPr>
        <w:pStyle w:val="normal2"/>
        <w:widowControl w:val="false"/>
        <w:spacing w:lineRule="auto" w:line="240"/>
        <w:rPr/>
      </w:pPr>
      <w:r>
        <w:rPr/>
      </w:r>
    </w:p>
    <w:p>
      <w:pPr>
        <w:pStyle w:val="normal2"/>
        <w:jc w:val="center"/>
        <w:rPr>
          <w:i/>
          <w:i/>
          <w:iCs/>
        </w:rPr>
      </w:pPr>
      <w:r>
        <w:rPr>
          <w:highlight w:val="yellow"/>
        </w:rPr>
        <w:t>[FIGURE 100]</w:t>
      </w:r>
    </w:p>
    <w:p>
      <w:pPr>
        <w:pStyle w:val="normal2"/>
        <w:jc w:val="center"/>
        <w:rPr/>
      </w:pPr>
      <w:r>
        <w:rPr/>
      </w:r>
    </w:p>
    <w:p>
      <w:pPr>
        <w:pStyle w:val="normal2"/>
        <w:jc w:val="center"/>
        <w:rPr/>
      </w:pPr>
      <w:r>
        <w:rPr>
          <w:i/>
          <w:iCs/>
        </w:rPr>
        <w:t>Figure 100: Trend in EU Countries with a Financial Strategy on Connecting Repositories to EOSC</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financial strategies on data stewardship in </w:t>
      </w:r>
      <w:r>
        <w:rPr>
          <w:highlight w:val="yellow"/>
        </w:rPr>
        <w:t>[YEAR]</w:t>
      </w:r>
      <w:r>
        <w:rPr/>
        <w:t xml:space="preserve"> from the previous year and </w:t>
      </w:r>
      <w:r>
        <w:rPr>
          <w:highlight w:val="yellow"/>
        </w:rPr>
        <w:t>[TREND2]</w:t>
      </w:r>
      <w:r>
        <w:rPr/>
        <w:t xml:space="preserve"> since 2022 as shown in Figure 101.</w:t>
      </w:r>
    </w:p>
    <w:p>
      <w:pPr>
        <w:pStyle w:val="normal2"/>
        <w:widowControl w:val="false"/>
        <w:spacing w:lineRule="auto" w:line="240"/>
        <w:rPr/>
      </w:pPr>
      <w:r>
        <w:rPr/>
      </w:r>
    </w:p>
    <w:p>
      <w:pPr>
        <w:pStyle w:val="normal2"/>
        <w:jc w:val="center"/>
        <w:rPr>
          <w:i/>
          <w:i/>
          <w:iCs/>
        </w:rPr>
      </w:pPr>
      <w:r>
        <w:rPr>
          <w:highlight w:val="yellow"/>
        </w:rPr>
        <w:t>[FIGURE 101]</w:t>
      </w:r>
    </w:p>
    <w:p>
      <w:pPr>
        <w:pStyle w:val="normal2"/>
        <w:jc w:val="center"/>
        <w:rPr/>
      </w:pPr>
      <w:r>
        <w:rPr/>
      </w:r>
    </w:p>
    <w:p>
      <w:pPr>
        <w:pStyle w:val="normal2"/>
        <w:jc w:val="center"/>
        <w:rPr/>
      </w:pPr>
      <w:r>
        <w:rPr>
          <w:i/>
          <w:iCs/>
        </w:rPr>
        <w:t>Figure 101: Trend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 xml:space="preserve">There is lastly </w:t>
      </w:r>
      <w:r>
        <w:rPr>
          <w:highlight w:val="yellow"/>
        </w:rPr>
        <w:t>[TREND1]</w:t>
      </w:r>
      <w:r>
        <w:rPr/>
        <w:t xml:space="preserve"> in financial strategies on long-term data preservation in </w:t>
      </w:r>
      <w:r>
        <w:rPr>
          <w:highlight w:val="yellow"/>
        </w:rPr>
        <w:t>[YEAR]</w:t>
      </w:r>
      <w:r>
        <w:rPr/>
        <w:t xml:space="preserve"> from the previous year and </w:t>
      </w:r>
      <w:r>
        <w:rPr>
          <w:highlight w:val="yellow"/>
        </w:rPr>
        <w:t>[TREND2]</w:t>
      </w:r>
      <w:r>
        <w:rPr/>
        <w:t xml:space="preserve"> since 2022 as shown in Figure 102.</w:t>
      </w:r>
    </w:p>
    <w:p>
      <w:pPr>
        <w:pStyle w:val="normal2"/>
        <w:widowControl w:val="false"/>
        <w:spacing w:lineRule="auto" w:line="240"/>
        <w:rPr/>
      </w:pPr>
      <w:r>
        <w:rPr/>
      </w:r>
    </w:p>
    <w:p>
      <w:pPr>
        <w:pStyle w:val="normal2"/>
        <w:jc w:val="center"/>
        <w:rPr>
          <w:i/>
          <w:i/>
          <w:iCs/>
        </w:rPr>
      </w:pPr>
      <w:r>
        <w:rPr>
          <w:highlight w:val="yellow"/>
        </w:rPr>
        <w:t>[FIGURE 102]</w:t>
      </w:r>
    </w:p>
    <w:p>
      <w:pPr>
        <w:pStyle w:val="normal2"/>
        <w:jc w:val="center"/>
        <w:rPr/>
      </w:pPr>
      <w:r>
        <w:rPr/>
      </w:r>
    </w:p>
    <w:p>
      <w:pPr>
        <w:pStyle w:val="normal2"/>
        <w:jc w:val="center"/>
        <w:rPr/>
      </w:pPr>
      <w:r>
        <w:rPr>
          <w:i/>
          <w:iCs/>
        </w:rPr>
        <w:t>Figure 102: Trend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Practices on Infrastructure</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monitoring on connecting repositories to EOSC in EU countries in </w:t>
      </w:r>
      <w:r>
        <w:rPr>
          <w:highlight w:val="yellow"/>
        </w:rPr>
        <w:t>[YEAR]</w:t>
      </w:r>
      <w:r>
        <w:rPr/>
        <w:t xml:space="preserve"> from the previous year and </w:t>
      </w:r>
      <w:r>
        <w:rPr>
          <w:highlight w:val="yellow"/>
        </w:rPr>
        <w:t>[TREND2]</w:t>
      </w:r>
      <w:r>
        <w:rPr/>
        <w:t xml:space="preserve"> since 2022 as shown in Figure 103.</w:t>
      </w:r>
    </w:p>
    <w:p>
      <w:pPr>
        <w:pStyle w:val="normal2"/>
        <w:widowControl w:val="false"/>
        <w:spacing w:lineRule="auto" w:line="240"/>
        <w:rPr/>
      </w:pPr>
      <w:r>
        <w:rPr/>
      </w:r>
    </w:p>
    <w:p>
      <w:pPr>
        <w:pStyle w:val="normal2"/>
        <w:jc w:val="center"/>
        <w:rPr>
          <w:i/>
          <w:i/>
          <w:iCs/>
        </w:rPr>
      </w:pPr>
      <w:r>
        <w:rPr>
          <w:highlight w:val="yellow"/>
        </w:rPr>
        <w:t>[FIGURE 103]</w:t>
      </w:r>
    </w:p>
    <w:p>
      <w:pPr>
        <w:pStyle w:val="normal2"/>
        <w:jc w:val="center"/>
        <w:rPr/>
      </w:pPr>
      <w:r>
        <w:rPr/>
      </w:r>
    </w:p>
    <w:p>
      <w:pPr>
        <w:pStyle w:val="normal2"/>
        <w:jc w:val="center"/>
        <w:rPr/>
      </w:pPr>
      <w:r>
        <w:rPr>
          <w:i/>
          <w:iCs/>
        </w:rPr>
        <w:t>Figure 103: Trend in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monitoring on data stewardship in EU countries in </w:t>
      </w:r>
      <w:r>
        <w:rPr>
          <w:highlight w:val="yellow"/>
        </w:rPr>
        <w:t>[YEAR]</w:t>
      </w:r>
      <w:r>
        <w:rPr/>
        <w:t xml:space="preserve"> from the previous year and </w:t>
      </w:r>
      <w:r>
        <w:rPr>
          <w:highlight w:val="yellow"/>
        </w:rPr>
        <w:t>[TREND2]</w:t>
      </w:r>
      <w:r>
        <w:rPr/>
        <w:t xml:space="preserve"> since 2022 as shown in Figure 104.</w:t>
      </w:r>
    </w:p>
    <w:p>
      <w:pPr>
        <w:pStyle w:val="normal2"/>
        <w:widowControl w:val="false"/>
        <w:spacing w:lineRule="auto" w:line="240"/>
        <w:rPr/>
      </w:pPr>
      <w:r>
        <w:rPr/>
      </w:r>
    </w:p>
    <w:p>
      <w:pPr>
        <w:pStyle w:val="normal2"/>
        <w:jc w:val="center"/>
        <w:rPr>
          <w:i/>
          <w:i/>
          <w:iCs/>
        </w:rPr>
      </w:pPr>
      <w:r>
        <w:rPr>
          <w:highlight w:val="yellow"/>
        </w:rPr>
        <w:t>[FIGURE 104]</w:t>
      </w:r>
    </w:p>
    <w:p>
      <w:pPr>
        <w:pStyle w:val="normal2"/>
        <w:jc w:val="center"/>
        <w:rPr/>
      </w:pPr>
      <w:r>
        <w:rPr/>
      </w:r>
    </w:p>
    <w:p>
      <w:pPr>
        <w:pStyle w:val="normal2"/>
        <w:jc w:val="center"/>
        <w:rPr/>
      </w:pPr>
      <w:r>
        <w:rPr>
          <w:i/>
          <w:iCs/>
        </w:rPr>
        <w:t>Figure 104: Trend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monitoring on long-term data preservation in EU countries in </w:t>
      </w:r>
      <w:r>
        <w:rPr>
          <w:highlight w:val="yellow"/>
        </w:rPr>
        <w:t>[YEAR]</w:t>
      </w:r>
      <w:r>
        <w:rPr/>
        <w:t xml:space="preserve"> from the previous year and </w:t>
      </w:r>
      <w:r>
        <w:rPr>
          <w:highlight w:val="yellow"/>
        </w:rPr>
        <w:t>[TREND2]</w:t>
      </w:r>
      <w:r>
        <w:rPr/>
        <w:t xml:space="preserve"> since 2022 as shown in Figure 105.</w:t>
      </w:r>
    </w:p>
    <w:p>
      <w:pPr>
        <w:pStyle w:val="normal2"/>
        <w:widowControl w:val="false"/>
        <w:spacing w:lineRule="auto" w:line="240"/>
        <w:rPr/>
      </w:pPr>
      <w:r>
        <w:rPr/>
      </w:r>
    </w:p>
    <w:p>
      <w:pPr>
        <w:pStyle w:val="normal2"/>
        <w:jc w:val="center"/>
        <w:rPr>
          <w:i/>
          <w:i/>
          <w:iCs/>
        </w:rPr>
      </w:pPr>
      <w:r>
        <w:rPr>
          <w:highlight w:val="yellow"/>
        </w:rPr>
        <w:t>[FIGURE 105]</w:t>
      </w:r>
    </w:p>
    <w:p>
      <w:pPr>
        <w:pStyle w:val="normal2"/>
        <w:jc w:val="center"/>
        <w:rPr/>
      </w:pPr>
      <w:r>
        <w:rPr/>
      </w:r>
    </w:p>
    <w:p>
      <w:pPr>
        <w:pStyle w:val="normal2"/>
        <w:jc w:val="center"/>
        <w:rPr/>
      </w:pPr>
      <w:r>
        <w:rPr>
          <w:i/>
          <w:iCs/>
        </w:rPr>
        <w:t>Figure 105: Trend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 xml:space="preserve">There is furthermore </w:t>
      </w:r>
      <w:r>
        <w:rPr>
          <w:highlight w:val="yellow"/>
        </w:rPr>
        <w:t>[TREND1]</w:t>
      </w:r>
      <w:r>
        <w:rPr/>
        <w:t xml:space="preserve"> in national investments in connecting repositories to EOSC per 1000 FTE researchers in EU countries in </w:t>
      </w:r>
      <w:r>
        <w:rPr>
          <w:highlight w:val="yellow"/>
        </w:rPr>
        <w:t>[YEAR]</w:t>
      </w:r>
      <w:r>
        <w:rPr/>
        <w:t xml:space="preserve"> from the previous year and </w:t>
      </w:r>
      <w:r>
        <w:rPr>
          <w:highlight w:val="yellow"/>
        </w:rPr>
        <w:t>[TREND2]</w:t>
      </w:r>
      <w:r>
        <w:rPr/>
        <w:t xml:space="preserve"> since 2022 as shown in Figure 106.</w:t>
      </w:r>
    </w:p>
    <w:p>
      <w:pPr>
        <w:pStyle w:val="normal2"/>
        <w:widowControl w:val="false"/>
        <w:spacing w:lineRule="auto" w:line="240"/>
        <w:rPr/>
      </w:pPr>
      <w:r>
        <w:rPr/>
      </w:r>
    </w:p>
    <w:p>
      <w:pPr>
        <w:pStyle w:val="normal2"/>
        <w:jc w:val="center"/>
        <w:rPr>
          <w:i/>
          <w:i/>
          <w:iCs/>
        </w:rPr>
      </w:pPr>
      <w:r>
        <w:rPr>
          <w:highlight w:val="yellow"/>
        </w:rPr>
        <w:t>[FIGURE 106]</w:t>
      </w:r>
    </w:p>
    <w:p>
      <w:pPr>
        <w:pStyle w:val="normal2"/>
        <w:jc w:val="center"/>
        <w:rPr/>
      </w:pPr>
      <w:r>
        <w:rPr/>
      </w:r>
    </w:p>
    <w:p>
      <w:pPr>
        <w:pStyle w:val="normal2"/>
        <w:jc w:val="center"/>
        <w:rPr/>
      </w:pPr>
      <w:r>
        <w:rPr>
          <w:i/>
          <w:iCs/>
        </w:rPr>
        <w:t>Figure 106: Trend in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investments in data stewardship per 1000 FTE researchers in EU countries in </w:t>
      </w:r>
      <w:r>
        <w:rPr>
          <w:highlight w:val="yellow"/>
        </w:rPr>
        <w:t>[YEAR]</w:t>
      </w:r>
      <w:r>
        <w:rPr/>
        <w:t xml:space="preserve"> from the previous year and </w:t>
      </w:r>
      <w:r>
        <w:rPr>
          <w:highlight w:val="yellow"/>
        </w:rPr>
        <w:t>[TREND2]</w:t>
      </w:r>
      <w:r>
        <w:rPr/>
        <w:t xml:space="preserve"> since 2022 as shown in Figure 107.</w:t>
      </w:r>
    </w:p>
    <w:p>
      <w:pPr>
        <w:pStyle w:val="normal2"/>
        <w:widowControl w:val="false"/>
        <w:spacing w:lineRule="auto" w:line="240"/>
        <w:rPr/>
      </w:pPr>
      <w:r>
        <w:rPr/>
      </w:r>
    </w:p>
    <w:p>
      <w:pPr>
        <w:pStyle w:val="normal2"/>
        <w:jc w:val="center"/>
        <w:rPr>
          <w:i/>
          <w:i/>
          <w:iCs/>
        </w:rPr>
      </w:pPr>
      <w:r>
        <w:rPr>
          <w:highlight w:val="yellow"/>
        </w:rPr>
        <w:t>[FIGURE 107]</w:t>
      </w:r>
    </w:p>
    <w:p>
      <w:pPr>
        <w:pStyle w:val="normal2"/>
        <w:jc w:val="center"/>
        <w:rPr/>
      </w:pPr>
      <w:r>
        <w:rPr/>
      </w:r>
    </w:p>
    <w:p>
      <w:pPr>
        <w:pStyle w:val="normal2"/>
        <w:jc w:val="center"/>
        <w:rPr/>
      </w:pPr>
      <w:r>
        <w:rPr>
          <w:i/>
          <w:iCs/>
        </w:rPr>
        <w:t>Figure 107: Trend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 xml:space="preserve">There is finally </w:t>
      </w:r>
      <w:r>
        <w:rPr>
          <w:highlight w:val="yellow"/>
        </w:rPr>
        <w:t>[TREND1]</w:t>
      </w:r>
      <w:r>
        <w:rPr/>
        <w:t xml:space="preserve"> in national investments in long-term data preservation per 1000 FTE researchers in EU countries in </w:t>
      </w:r>
      <w:r>
        <w:rPr>
          <w:highlight w:val="yellow"/>
        </w:rPr>
        <w:t>[YEAR]</w:t>
      </w:r>
      <w:r>
        <w:rPr/>
        <w:t xml:space="preserve"> from the previous year and </w:t>
      </w:r>
      <w:r>
        <w:rPr>
          <w:highlight w:val="yellow"/>
        </w:rPr>
        <w:t>[TREND2]</w:t>
      </w:r>
      <w:r>
        <w:rPr/>
        <w:t xml:space="preserve"> since 2022 as shown in Figure 108.</w:t>
      </w:r>
    </w:p>
    <w:p>
      <w:pPr>
        <w:pStyle w:val="normal2"/>
        <w:widowControl w:val="false"/>
        <w:spacing w:lineRule="auto" w:line="240"/>
        <w:rPr/>
      </w:pPr>
      <w:r>
        <w:rPr/>
      </w:r>
    </w:p>
    <w:p>
      <w:pPr>
        <w:pStyle w:val="normal2"/>
        <w:jc w:val="center"/>
        <w:rPr>
          <w:i/>
          <w:i/>
          <w:iCs/>
        </w:rPr>
      </w:pPr>
      <w:r>
        <w:rPr>
          <w:highlight w:val="yellow"/>
        </w:rPr>
        <w:t>[FIGURE 108]</w:t>
      </w:r>
    </w:p>
    <w:p>
      <w:pPr>
        <w:pStyle w:val="normal2"/>
        <w:jc w:val="center"/>
        <w:rPr/>
      </w:pPr>
      <w:r>
        <w:rPr/>
      </w:r>
    </w:p>
    <w:p>
      <w:pPr>
        <w:pStyle w:val="normal2"/>
        <w:jc w:val="center"/>
        <w:rPr/>
      </w:pPr>
      <w:r>
        <w:rPr>
          <w:i/>
          <w:iCs/>
        </w:rPr>
        <w:t>Figure 108: Trend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ind w:hanging="360" w:start="720"/>
        <w:rPr/>
      </w:pPr>
      <w:r>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Policies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Policy on Skills/training</w:t>
      </w:r>
    </w:p>
    <w:p>
      <w:pPr>
        <w:pStyle w:val="normal2"/>
        <w:widowControl w:val="false"/>
        <w:spacing w:lineRule="auto" w:line="240"/>
        <w:rPr/>
      </w:pPr>
      <w:r>
        <w:rPr/>
      </w:r>
    </w:p>
    <w:p>
      <w:pPr>
        <w:pStyle w:val="normal2"/>
        <w:widowControl w:val="false"/>
        <w:spacing w:lineRule="auto" w:line="240"/>
        <w:rPr/>
      </w:pPr>
      <w:r>
        <w:rPr/>
        <w:t xml:space="preserve">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highlight w:val="yellow"/>
        </w:rPr>
        <w:t>[%]</w:t>
      </w:r>
      <w:r>
        <w:rPr/>
        <w:t xml:space="preserve"> (</w:t>
      </w:r>
      <w:r>
        <w:rPr>
          <w:highlight w:val="yellow"/>
        </w:rPr>
        <w:t>[#]</w:t>
      </w:r>
      <w:r>
        <w:rPr/>
        <w:t>/</w:t>
      </w:r>
      <w:r>
        <w:rPr>
          <w:highlight w:val="yellow"/>
        </w:rPr>
        <w:t>[#]</w:t>
      </w:r>
      <w:r>
        <w:rPr/>
        <w:t xml:space="preserve">) of responding EU countries have a national policy on skills/training for Open Science whereby </w:t>
      </w:r>
      <w:r>
        <w:rPr>
          <w:highlight w:val="yellow"/>
        </w:rPr>
        <w:t>[%]</w:t>
      </w:r>
      <w:r>
        <w:rPr/>
        <w:t xml:space="preserve"> (</w:t>
      </w:r>
      <w:r>
        <w:rPr>
          <w:highlight w:val="yellow"/>
        </w:rPr>
        <w:t>[#]</w:t>
      </w:r>
      <w:r>
        <w:rPr/>
        <w:t>/</w:t>
      </w:r>
      <w:r>
        <w:rPr>
          <w:highlight w:val="yellow"/>
        </w:rPr>
        <w:t>[#]</w:t>
      </w:r>
      <w:r>
        <w:rPr/>
        <w:t>) are mandatory as shown in Figures 109 and 110.</w:t>
      </w:r>
    </w:p>
    <w:p>
      <w:pPr>
        <w:pStyle w:val="normal2"/>
        <w:widowControl w:val="false"/>
        <w:spacing w:lineRule="auto" w:line="240"/>
        <w:rPr/>
      </w:pPr>
      <w:r>
        <w:rPr/>
      </w:r>
    </w:p>
    <w:p>
      <w:pPr>
        <w:pStyle w:val="normal2"/>
        <w:jc w:val="center"/>
        <w:rPr>
          <w:i/>
          <w:i/>
          <w:iCs/>
        </w:rPr>
      </w:pPr>
      <w:r>
        <w:rPr>
          <w:highlight w:val="yellow"/>
        </w:rPr>
        <w:t>[FIGURE 109]</w:t>
      </w:r>
    </w:p>
    <w:p>
      <w:pPr>
        <w:pStyle w:val="normal2"/>
        <w:jc w:val="center"/>
        <w:rPr/>
      </w:pPr>
      <w:r>
        <w:rPr/>
      </w:r>
    </w:p>
    <w:p>
      <w:pPr>
        <w:pStyle w:val="normal2"/>
        <w:jc w:val="center"/>
        <w:rPr>
          <w:i/>
          <w:i/>
          <w:iCs/>
        </w:rPr>
      </w:pPr>
      <w:r>
        <w:rPr>
          <w:i/>
          <w:iCs/>
        </w:rPr>
        <w:t>Figure 109: Map of EU Countries with a National Policy on Skills/training for Open Science</w:t>
      </w:r>
    </w:p>
    <w:p>
      <w:pPr>
        <w:pStyle w:val="normal2"/>
        <w:widowControl w:val="false"/>
        <w:spacing w:lineRule="auto" w:line="240"/>
        <w:rPr/>
      </w:pPr>
      <w:r>
        <w:rPr/>
      </w:r>
    </w:p>
    <w:p>
      <w:pPr>
        <w:pStyle w:val="normal2"/>
        <w:jc w:val="center"/>
        <w:rPr>
          <w:i/>
          <w:i/>
          <w:iCs/>
        </w:rPr>
      </w:pPr>
      <w:r>
        <w:rPr>
          <w:highlight w:val="yellow"/>
        </w:rPr>
        <w:t>[FIGURE 110]</w:t>
      </w:r>
    </w:p>
    <w:p>
      <w:pPr>
        <w:pStyle w:val="normal2"/>
        <w:jc w:val="center"/>
        <w:rPr/>
      </w:pPr>
      <w:r>
        <w:rPr/>
      </w:r>
    </w:p>
    <w:p>
      <w:pPr>
        <w:pStyle w:val="normal2"/>
        <w:jc w:val="center"/>
        <w:rPr/>
      </w:pPr>
      <w:r>
        <w:rPr>
          <w:i/>
          <w:iCs/>
        </w:rPr>
        <w:t>Figure 110: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Financial Strategy on Skills/training</w:t>
      </w:r>
    </w:p>
    <w:p>
      <w:pPr>
        <w:pStyle w:val="normal2"/>
        <w:widowControl w:val="false"/>
        <w:spacing w:lineRule="auto" w:line="240"/>
        <w:rPr/>
      </w:pPr>
      <w:r>
        <w:rPr/>
      </w:r>
    </w:p>
    <w:p>
      <w:pPr>
        <w:pStyle w:val="normal2"/>
        <w:widowControl w:val="false"/>
        <w:spacing w:lineRule="auto" w:line="240"/>
        <w:rPr/>
      </w:pPr>
      <w:r>
        <w:rPr/>
        <w:t xml:space="preserve">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highlight w:val="yellow"/>
        </w:rPr>
        <w:t>[%]</w:t>
      </w:r>
      <w:r>
        <w:rPr/>
        <w:t xml:space="preserve"> (</w:t>
      </w:r>
      <w:r>
        <w:rPr>
          <w:highlight w:val="yellow"/>
        </w:rPr>
        <w:t>[#]</w:t>
      </w:r>
      <w:r>
        <w:rPr/>
        <w:t>/</w:t>
      </w:r>
      <w:r>
        <w:rPr>
          <w:highlight w:val="yellow"/>
        </w:rPr>
        <w:t>[#]</w:t>
      </w:r>
      <w:r>
        <w:rPr/>
        <w:t>) of responding EU countries have a financial strategy on skills/training for Open Science as shown in Figures 111 and 112.</w:t>
      </w:r>
    </w:p>
    <w:p>
      <w:pPr>
        <w:pStyle w:val="normal2"/>
        <w:widowControl w:val="false"/>
        <w:spacing w:lineRule="auto" w:line="240"/>
        <w:rPr/>
      </w:pPr>
      <w:r>
        <w:rPr/>
      </w:r>
    </w:p>
    <w:p>
      <w:pPr>
        <w:pStyle w:val="normal2"/>
        <w:jc w:val="center"/>
        <w:rPr>
          <w:i/>
          <w:i/>
          <w:iCs/>
        </w:rPr>
      </w:pPr>
      <w:r>
        <w:rPr>
          <w:highlight w:val="yellow"/>
        </w:rPr>
        <w:t>[FIGURE 111]</w:t>
      </w:r>
    </w:p>
    <w:p>
      <w:pPr>
        <w:pStyle w:val="normal2"/>
        <w:jc w:val="center"/>
        <w:rPr/>
      </w:pPr>
      <w:r>
        <w:rPr/>
      </w:r>
    </w:p>
    <w:p>
      <w:pPr>
        <w:pStyle w:val="normal2"/>
        <w:jc w:val="center"/>
        <w:rPr/>
      </w:pPr>
      <w:r>
        <w:rPr>
          <w:i/>
          <w:iCs/>
        </w:rPr>
        <w:t>Figure 111: Map of EU Countries with a Financial Strategy on Skills/training for Open Science</w:t>
      </w:r>
    </w:p>
    <w:p>
      <w:pPr>
        <w:pStyle w:val="normal2"/>
        <w:widowControl w:val="false"/>
        <w:spacing w:lineRule="auto" w:line="240"/>
        <w:rPr/>
      </w:pPr>
      <w:r>
        <w:rPr/>
      </w:r>
    </w:p>
    <w:p>
      <w:pPr>
        <w:pStyle w:val="normal2"/>
        <w:jc w:val="center"/>
        <w:rPr>
          <w:i/>
          <w:i/>
          <w:iCs/>
        </w:rPr>
      </w:pPr>
      <w:r>
        <w:rPr>
          <w:highlight w:val="yellow"/>
        </w:rPr>
        <w:t>[FIGURE 112]</w:t>
      </w:r>
    </w:p>
    <w:p>
      <w:pPr>
        <w:pStyle w:val="normal2"/>
        <w:jc w:val="center"/>
        <w:rPr/>
      </w:pPr>
      <w:r>
        <w:rPr/>
      </w:r>
    </w:p>
    <w:p>
      <w:pPr>
        <w:pStyle w:val="normal2"/>
        <w:jc w:val="center"/>
        <w:rPr/>
      </w:pPr>
      <w:r>
        <w:rPr>
          <w:i/>
          <w:iCs/>
        </w:rPr>
        <w:t>Figure 112: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Practices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 xml:space="preserve">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highlight w:val="yellow"/>
        </w:rPr>
        <w:t>[%]</w:t>
      </w:r>
      <w:r>
        <w:rPr/>
        <w:t xml:space="preserve"> (</w:t>
      </w:r>
      <w:r>
        <w:rPr>
          <w:highlight w:val="yellow"/>
        </w:rPr>
        <w:t>[#]</w:t>
      </w:r>
      <w:r>
        <w:rPr/>
        <w:t>/</w:t>
      </w:r>
      <w:r>
        <w:rPr>
          <w:highlight w:val="yellow"/>
        </w:rPr>
        <w:t>[#]</w:t>
      </w:r>
      <w:r>
        <w:rPr/>
        <w:t>) of responding EU countries have a national monitoring on skills/training for Open Science as shown in Figures 113 and 114.</w:t>
      </w:r>
    </w:p>
    <w:p>
      <w:pPr>
        <w:pStyle w:val="normal2"/>
        <w:widowControl w:val="false"/>
        <w:spacing w:lineRule="auto" w:line="240"/>
        <w:rPr/>
      </w:pPr>
      <w:r>
        <w:rPr/>
      </w:r>
    </w:p>
    <w:p>
      <w:pPr>
        <w:pStyle w:val="normal2"/>
        <w:jc w:val="center"/>
        <w:rPr>
          <w:i/>
          <w:i/>
          <w:iCs/>
        </w:rPr>
      </w:pPr>
      <w:r>
        <w:rPr>
          <w:highlight w:val="yellow"/>
        </w:rPr>
        <w:t>[FIGURE 113]</w:t>
      </w:r>
    </w:p>
    <w:p>
      <w:pPr>
        <w:pStyle w:val="normal2"/>
        <w:jc w:val="center"/>
        <w:rPr/>
      </w:pPr>
      <w:r>
        <w:rPr/>
      </w:r>
    </w:p>
    <w:p>
      <w:pPr>
        <w:pStyle w:val="normal2"/>
        <w:jc w:val="center"/>
        <w:rPr/>
      </w:pPr>
      <w:r>
        <w:rPr>
          <w:i/>
          <w:iCs/>
        </w:rPr>
        <w:t>Figure 113: Map of EU Countries with a National Monitoring on Skills/training for Open Science</w:t>
      </w:r>
    </w:p>
    <w:p>
      <w:pPr>
        <w:pStyle w:val="normal2"/>
        <w:widowControl w:val="false"/>
        <w:spacing w:lineRule="auto" w:line="240"/>
        <w:rPr/>
      </w:pPr>
      <w:r>
        <w:rPr/>
      </w:r>
    </w:p>
    <w:p>
      <w:pPr>
        <w:pStyle w:val="normal2"/>
        <w:jc w:val="center"/>
        <w:rPr>
          <w:i/>
          <w:i/>
          <w:iCs/>
        </w:rPr>
      </w:pPr>
      <w:r>
        <w:rPr>
          <w:highlight w:val="yellow"/>
        </w:rPr>
        <w:t>[FIGURE 114]</w:t>
      </w:r>
    </w:p>
    <w:p>
      <w:pPr>
        <w:pStyle w:val="normal2"/>
        <w:jc w:val="center"/>
        <w:rPr/>
      </w:pPr>
      <w:r>
        <w:rPr/>
      </w:r>
    </w:p>
    <w:p>
      <w:pPr>
        <w:pStyle w:val="normal2"/>
        <w:jc w:val="center"/>
        <w:rPr/>
      </w:pPr>
      <w:r>
        <w:rPr>
          <w:i/>
          <w:iCs/>
        </w:rPr>
        <w:t>Figure 114: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 xml:space="preserve">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i/>
          <w:iCs/>
          <w:highlight w:val="yellow"/>
        </w:rPr>
        <w:t>[YEAR]</w:t>
      </w:r>
      <w:r>
        <w:rPr>
          <w:i/>
          <w:iCs/>
        </w:rPr>
        <w:t xml:space="preserve"> in millions of Euros?</w:t>
      </w:r>
      <w:r>
        <w:rPr/>
        <w:t xml:space="preserve"> (Q87).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skills/training for Open Science.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115.</w:t>
      </w:r>
    </w:p>
    <w:p>
      <w:pPr>
        <w:pStyle w:val="normal2"/>
        <w:widowControl w:val="false"/>
        <w:spacing w:lineRule="auto" w:line="240"/>
        <w:rPr/>
      </w:pPr>
      <w:r>
        <w:rPr/>
      </w:r>
    </w:p>
    <w:p>
      <w:pPr>
        <w:pStyle w:val="normal2"/>
        <w:jc w:val="center"/>
        <w:rPr>
          <w:i/>
          <w:i/>
          <w:iCs/>
        </w:rPr>
      </w:pPr>
      <w:r>
        <w:rPr>
          <w:highlight w:val="yellow"/>
        </w:rPr>
        <w:t>[FIGURE 115]</w:t>
      </w:r>
    </w:p>
    <w:p>
      <w:pPr>
        <w:pStyle w:val="normal2"/>
        <w:jc w:val="center"/>
        <w:rPr/>
      </w:pPr>
      <w:r>
        <w:rPr/>
      </w:r>
    </w:p>
    <w:p>
      <w:pPr>
        <w:pStyle w:val="normal2"/>
        <w:jc w:val="center"/>
        <w:rPr/>
      </w:pPr>
      <w:r>
        <w:rPr>
          <w:i/>
          <w:iCs/>
        </w:rPr>
        <w:t>Figure 115: Share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Impact</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Policies on Skills/training</w:t>
      </w:r>
    </w:p>
    <w:p>
      <w:pPr>
        <w:pStyle w:val="normal2"/>
        <w:widowControl w:val="false"/>
        <w:spacing w:lineRule="auto" w:line="240"/>
        <w:rPr/>
      </w:pPr>
      <w:r>
        <w:rPr/>
      </w:r>
    </w:p>
    <w:p>
      <w:pPr>
        <w:pStyle w:val="normal2"/>
        <w:widowControl w:val="false"/>
        <w:spacing w:lineRule="auto" w:line="240"/>
        <w:rPr/>
      </w:pPr>
      <w:r>
        <w:rPr/>
        <w:t xml:space="preserve">There is </w:t>
      </w:r>
      <w:commentRangeStart w:id="55"/>
      <w:r>
        <w:rPr>
          <w:highlight w:val="yellow"/>
        </w:rPr>
        <w:t>[TREND1]</w:t>
      </w:r>
      <w:r>
        <w:rPr>
          <w:highlight w:val="yellow"/>
        </w:rPr>
      </w:r>
      <w:commentRangeEnd w:id="55"/>
      <w:r>
        <w:commentReference w:id="55"/>
      </w:r>
      <w:r>
        <w:rPr/>
        <w:t xml:space="preserve"> in national policies on skills/training for Open Science in EU countries in </w:t>
      </w:r>
      <w:r>
        <w:rPr>
          <w:highlight w:val="yellow"/>
        </w:rPr>
        <w:t>[YEAR]</w:t>
      </w:r>
      <w:r>
        <w:rPr/>
        <w:t xml:space="preserve"> from the previous year and </w:t>
      </w:r>
      <w:commentRangeStart w:id="56"/>
      <w:commentRangeStart w:id="57"/>
      <w:r>
        <w:rPr>
          <w:highlight w:val="yellow"/>
        </w:rPr>
        <w:t>[TREND2]</w:t>
      </w:r>
      <w:r>
        <w:rPr>
          <w:highlight w:val="yellow"/>
        </w:rPr>
      </w:r>
      <w:commentRangeEnd w:id="57"/>
      <w:r>
        <w:commentReference w:id="57"/>
      </w:r>
      <w:r>
        <w:rPr>
          <w:highlight w:val="yellow"/>
        </w:rPr>
      </w:r>
      <w:commentRangeEnd w:id="56"/>
      <w:r>
        <w:commentReference w:id="56"/>
      </w:r>
      <w:r>
        <w:rPr/>
        <w:t xml:space="preserve"> since 2022 whereby there is </w:t>
      </w:r>
      <w:commentRangeStart w:id="58"/>
      <w:r>
        <w:rPr>
          <w:highlight w:val="yellow"/>
        </w:rPr>
        <w:t>[TREND1]</w:t>
      </w:r>
      <w:r>
        <w:rPr>
          <w:highlight w:val="yellow"/>
        </w:rPr>
      </w:r>
      <w:commentRangeEnd w:id="58"/>
      <w:r>
        <w:commentReference w:id="58"/>
      </w:r>
      <w:r>
        <w:rPr/>
        <w:t xml:space="preserve"> in mandatory policies in </w:t>
      </w:r>
      <w:r>
        <w:rPr>
          <w:highlight w:val="yellow"/>
        </w:rPr>
        <w:t>[YEAR]</w:t>
      </w:r>
      <w:r>
        <w:rPr/>
        <w:t xml:space="preserve"> from the previous year and </w:t>
      </w:r>
      <w:commentRangeStart w:id="59"/>
      <w:commentRangeStart w:id="60"/>
      <w:r>
        <w:rPr>
          <w:highlight w:val="yellow"/>
        </w:rPr>
        <w:t>[TREND2]</w:t>
      </w:r>
      <w:r>
        <w:rPr>
          <w:highlight w:val="yellow"/>
        </w:rPr>
      </w:r>
      <w:commentRangeEnd w:id="60"/>
      <w:r>
        <w:commentReference w:id="60"/>
      </w:r>
      <w:r>
        <w:rPr>
          <w:highlight w:val="yellow"/>
        </w:rPr>
      </w:r>
      <w:commentRangeEnd w:id="59"/>
      <w:r>
        <w:commentReference w:id="59"/>
      </w:r>
      <w:r>
        <w:rPr/>
        <w:t xml:space="preserve"> since 2022 as shown in Figure 116.</w:t>
      </w:r>
    </w:p>
    <w:p>
      <w:pPr>
        <w:pStyle w:val="normal2"/>
        <w:widowControl w:val="false"/>
        <w:spacing w:lineRule="auto" w:line="240"/>
        <w:rPr/>
      </w:pPr>
      <w:r>
        <w:rPr/>
      </w:r>
    </w:p>
    <w:p>
      <w:pPr>
        <w:pStyle w:val="normal2"/>
        <w:jc w:val="center"/>
        <w:rPr>
          <w:i/>
          <w:i/>
          <w:iCs/>
        </w:rPr>
      </w:pPr>
      <w:r>
        <w:rPr>
          <w:highlight w:val="yellow"/>
        </w:rPr>
        <w:t>[FIGURE 116]</w:t>
      </w:r>
    </w:p>
    <w:p>
      <w:pPr>
        <w:pStyle w:val="normal2"/>
        <w:jc w:val="center"/>
        <w:rPr/>
      </w:pPr>
      <w:r>
        <w:rPr/>
      </w:r>
    </w:p>
    <w:p>
      <w:pPr>
        <w:pStyle w:val="normal2"/>
        <w:jc w:val="center"/>
        <w:rPr/>
      </w:pPr>
      <w:r>
        <w:rPr>
          <w:i/>
          <w:iCs/>
        </w:rPr>
        <w:t>Figure 116: Trend in EU Countries with a National Policy on Skills/training for Open Science</w:t>
      </w:r>
    </w:p>
    <w:p>
      <w:pPr>
        <w:pStyle w:val="normal2"/>
        <w:rPr/>
      </w:pPr>
      <w:r>
        <w:rPr/>
      </w:r>
    </w:p>
    <w:p>
      <w:pPr>
        <w:pStyle w:val="normal2"/>
        <w:widowControl w:val="false"/>
        <w:spacing w:lineRule="auto" w:line="240"/>
        <w:rPr/>
      </w:pPr>
      <w:r>
        <w:rPr/>
        <w:t xml:space="preserve">There is </w:t>
      </w:r>
      <w:r>
        <w:rPr>
          <w:highlight w:val="yellow"/>
        </w:rPr>
        <w:t>[TREND1]</w:t>
      </w:r>
      <w:r>
        <w:rPr/>
        <w:t xml:space="preserve"> in financial strategies on skills/training for Open Science in EU countries in </w:t>
      </w:r>
      <w:r>
        <w:rPr>
          <w:highlight w:val="yellow"/>
        </w:rPr>
        <w:t>[YEAR]</w:t>
      </w:r>
      <w:r>
        <w:rPr/>
        <w:t xml:space="preserve"> from the previous year and </w:t>
      </w:r>
      <w:r>
        <w:rPr>
          <w:highlight w:val="yellow"/>
        </w:rPr>
        <w:t>[TREND2]</w:t>
      </w:r>
      <w:r>
        <w:rPr/>
        <w:t xml:space="preserve"> since 2022 as shown in Figure 117.</w:t>
      </w:r>
    </w:p>
    <w:p>
      <w:pPr>
        <w:pStyle w:val="normal2"/>
        <w:widowControl w:val="false"/>
        <w:spacing w:lineRule="auto" w:line="240"/>
        <w:rPr/>
      </w:pPr>
      <w:r>
        <w:rPr/>
      </w:r>
    </w:p>
    <w:p>
      <w:pPr>
        <w:pStyle w:val="normal2"/>
        <w:jc w:val="center"/>
        <w:rPr>
          <w:i/>
          <w:i/>
          <w:iCs/>
        </w:rPr>
      </w:pPr>
      <w:r>
        <w:rPr>
          <w:highlight w:val="yellow"/>
        </w:rPr>
        <w:t>[FIGURE 117]</w:t>
      </w:r>
    </w:p>
    <w:p>
      <w:pPr>
        <w:pStyle w:val="normal2"/>
        <w:jc w:val="center"/>
        <w:rPr/>
      </w:pPr>
      <w:r>
        <w:rPr/>
      </w:r>
    </w:p>
    <w:p>
      <w:pPr>
        <w:pStyle w:val="normal2"/>
        <w:jc w:val="center"/>
        <w:rPr/>
      </w:pPr>
      <w:r>
        <w:rPr>
          <w:i/>
          <w:iCs/>
        </w:rPr>
        <w:t>Figure 117: Trend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Practices on Skills/training</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monitoring on skills/training for Open Science in EU countries in </w:t>
      </w:r>
      <w:r>
        <w:rPr>
          <w:highlight w:val="yellow"/>
        </w:rPr>
        <w:t>[YEAR]</w:t>
      </w:r>
      <w:r>
        <w:rPr/>
        <w:t xml:space="preserve"> from the previous year and </w:t>
      </w:r>
      <w:r>
        <w:rPr>
          <w:highlight w:val="yellow"/>
        </w:rPr>
        <w:t>[TREND2]</w:t>
      </w:r>
      <w:r>
        <w:rPr/>
        <w:t xml:space="preserve"> since 2022 as shown in Figure 118.</w:t>
      </w:r>
    </w:p>
    <w:p>
      <w:pPr>
        <w:pStyle w:val="normal2"/>
        <w:widowControl w:val="false"/>
        <w:spacing w:lineRule="auto" w:line="240"/>
        <w:rPr/>
      </w:pPr>
      <w:r>
        <w:rPr/>
      </w:r>
    </w:p>
    <w:p>
      <w:pPr>
        <w:pStyle w:val="normal2"/>
        <w:jc w:val="center"/>
        <w:rPr>
          <w:i/>
          <w:i/>
          <w:iCs/>
        </w:rPr>
      </w:pPr>
      <w:r>
        <w:rPr>
          <w:highlight w:val="yellow"/>
        </w:rPr>
        <w:t>[FIGURE 118]</w:t>
      </w:r>
    </w:p>
    <w:p>
      <w:pPr>
        <w:pStyle w:val="normal2"/>
        <w:jc w:val="center"/>
        <w:rPr/>
      </w:pPr>
      <w:r>
        <w:rPr/>
      </w:r>
    </w:p>
    <w:p>
      <w:pPr>
        <w:pStyle w:val="normal2"/>
        <w:jc w:val="center"/>
        <w:rPr>
          <w:i/>
          <w:i/>
          <w:iCs/>
        </w:rPr>
      </w:pPr>
      <w:r>
        <w:rPr>
          <w:i/>
          <w:iCs/>
        </w:rPr>
        <w:t>Figure 118: Trend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 xml:space="preserve">There is finally </w:t>
      </w:r>
      <w:r>
        <w:rPr>
          <w:highlight w:val="yellow"/>
        </w:rPr>
        <w:t>[TREND1]</w:t>
      </w:r>
      <w:r>
        <w:rPr/>
        <w:t xml:space="preserve"> in national investments in skills/training for Open Science per 1000 FTE researchers in EU countries in </w:t>
      </w:r>
      <w:r>
        <w:rPr>
          <w:highlight w:val="yellow"/>
        </w:rPr>
        <w:t>[YEAR]</w:t>
      </w:r>
      <w:r>
        <w:rPr/>
        <w:t xml:space="preserve"> from the previous year and </w:t>
      </w:r>
      <w:r>
        <w:rPr>
          <w:highlight w:val="yellow"/>
        </w:rPr>
        <w:t>[TREND2]</w:t>
      </w:r>
      <w:r>
        <w:rPr/>
        <w:t xml:space="preserve"> since 2022 as shown in Figure 119.</w:t>
      </w:r>
    </w:p>
    <w:p>
      <w:pPr>
        <w:pStyle w:val="normal2"/>
        <w:jc w:val="center"/>
        <w:rPr>
          <w:i/>
          <w:i/>
          <w:iCs/>
        </w:rPr>
      </w:pPr>
      <w:r>
        <w:rPr>
          <w:highlight w:val="yellow"/>
        </w:rPr>
        <w:t>[FIGURE 119]</w:t>
      </w:r>
    </w:p>
    <w:p>
      <w:pPr>
        <w:pStyle w:val="normal2"/>
        <w:jc w:val="center"/>
        <w:rPr/>
      </w:pPr>
      <w:r>
        <w:rPr/>
      </w:r>
    </w:p>
    <w:p>
      <w:pPr>
        <w:pStyle w:val="normal2"/>
        <w:jc w:val="center"/>
        <w:rPr/>
      </w:pPr>
      <w:r>
        <w:rPr>
          <w:i/>
          <w:iCs/>
        </w:rPr>
        <w:t>Figure 119: Trend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ind w:hanging="360" w:start="720"/>
        <w:rPr/>
      </w:pPr>
      <w:r>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Policies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Policy on Assessment</w:t>
      </w:r>
    </w:p>
    <w:p>
      <w:pPr>
        <w:pStyle w:val="normal2"/>
        <w:widowControl w:val="false"/>
        <w:spacing w:lineRule="auto" w:line="240"/>
        <w:rPr/>
      </w:pPr>
      <w:r>
        <w:rPr/>
      </w:r>
    </w:p>
    <w:p>
      <w:pPr>
        <w:pStyle w:val="normal2"/>
        <w:widowControl w:val="false"/>
        <w:spacing w:lineRule="auto" w:line="240"/>
        <w:rPr/>
      </w:pPr>
      <w:r>
        <w:rPr/>
        <w:t xml:space="preserve">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highlight w:val="yellow"/>
        </w:rPr>
        <w:t>[%]</w:t>
      </w:r>
      <w:r>
        <w:rPr/>
        <w:t xml:space="preserve"> (</w:t>
      </w:r>
      <w:r>
        <w:rPr>
          <w:highlight w:val="yellow"/>
        </w:rPr>
        <w:t>[#]</w:t>
      </w:r>
      <w:r>
        <w:rPr/>
        <w:t>/</w:t>
      </w:r>
      <w:r>
        <w:rPr>
          <w:highlight w:val="yellow"/>
        </w:rPr>
        <w:t>[#]</w:t>
      </w:r>
      <w:r>
        <w:rPr/>
        <w:t xml:space="preserve">) of responding EU countries have a national policy on incentives/rewards for Open Science whereby </w:t>
      </w:r>
      <w:r>
        <w:rPr>
          <w:highlight w:val="yellow"/>
        </w:rPr>
        <w:t>[%]</w:t>
      </w:r>
      <w:r>
        <w:rPr/>
        <w:t xml:space="preserve"> (</w:t>
      </w:r>
      <w:r>
        <w:rPr>
          <w:highlight w:val="yellow"/>
        </w:rPr>
        <w:t>[#]</w:t>
      </w:r>
      <w:r>
        <w:rPr/>
        <w:t>/</w:t>
      </w:r>
      <w:r>
        <w:rPr>
          <w:highlight w:val="yellow"/>
        </w:rPr>
        <w:t>[#]</w:t>
      </w:r>
      <w:r>
        <w:rPr/>
        <w:t>) are mandatory as shown in Figures 120 and 121.</w:t>
      </w:r>
    </w:p>
    <w:p>
      <w:pPr>
        <w:pStyle w:val="normal2"/>
        <w:widowControl w:val="false"/>
        <w:spacing w:lineRule="auto" w:line="240"/>
        <w:rPr/>
      </w:pPr>
      <w:r>
        <w:rPr/>
      </w:r>
    </w:p>
    <w:p>
      <w:pPr>
        <w:pStyle w:val="normal2"/>
        <w:jc w:val="center"/>
        <w:rPr>
          <w:i/>
          <w:i/>
          <w:iCs/>
        </w:rPr>
      </w:pPr>
      <w:r>
        <w:rPr>
          <w:highlight w:val="yellow"/>
        </w:rPr>
        <w:t>[FIGURE 120]</w:t>
      </w:r>
    </w:p>
    <w:p>
      <w:pPr>
        <w:pStyle w:val="normal2"/>
        <w:jc w:val="center"/>
        <w:rPr/>
      </w:pPr>
      <w:r>
        <w:rPr/>
      </w:r>
    </w:p>
    <w:p>
      <w:pPr>
        <w:pStyle w:val="normal2"/>
        <w:jc w:val="center"/>
        <w:rPr>
          <w:i/>
          <w:i/>
          <w:iCs/>
        </w:rPr>
      </w:pPr>
      <w:r>
        <w:rPr>
          <w:i/>
          <w:iCs/>
        </w:rPr>
        <w:t>Figure 109: Map of EU Countries with a National Policy on Incentives/rewards for Open Science</w:t>
      </w:r>
    </w:p>
    <w:p>
      <w:pPr>
        <w:pStyle w:val="normal2"/>
        <w:widowControl w:val="false"/>
        <w:spacing w:lineRule="auto" w:line="240"/>
        <w:rPr/>
      </w:pPr>
      <w:r>
        <w:rPr/>
      </w:r>
    </w:p>
    <w:p>
      <w:pPr>
        <w:pStyle w:val="normal2"/>
        <w:jc w:val="center"/>
        <w:rPr>
          <w:i/>
          <w:i/>
          <w:iCs/>
        </w:rPr>
      </w:pPr>
      <w:r>
        <w:rPr>
          <w:highlight w:val="yellow"/>
        </w:rPr>
        <w:t>[FIGURE 121]</w:t>
      </w:r>
    </w:p>
    <w:p>
      <w:pPr>
        <w:pStyle w:val="normal2"/>
        <w:jc w:val="center"/>
        <w:rPr/>
      </w:pPr>
      <w:r>
        <w:rPr/>
      </w:r>
    </w:p>
    <w:p>
      <w:pPr>
        <w:pStyle w:val="normal2"/>
        <w:jc w:val="center"/>
        <w:rPr/>
      </w:pPr>
      <w:r>
        <w:rPr>
          <w:i/>
          <w:iCs/>
        </w:rPr>
        <w:t>Figure 110: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Financial Strategy on Assessment</w:t>
      </w:r>
    </w:p>
    <w:p>
      <w:pPr>
        <w:pStyle w:val="normal2"/>
        <w:widowControl w:val="false"/>
        <w:spacing w:lineRule="auto" w:line="240"/>
        <w:rPr/>
      </w:pPr>
      <w:r>
        <w:rPr/>
      </w:r>
    </w:p>
    <w:p>
      <w:pPr>
        <w:pStyle w:val="normal2"/>
        <w:widowControl w:val="false"/>
        <w:spacing w:lineRule="auto" w:line="240"/>
        <w:rPr/>
      </w:pPr>
      <w:r>
        <w:rPr/>
        <w:t xml:space="preserve">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highlight w:val="yellow"/>
        </w:rPr>
        <w:t>[%]</w:t>
      </w:r>
      <w:r>
        <w:rPr/>
        <w:t xml:space="preserve"> (</w:t>
      </w:r>
      <w:r>
        <w:rPr>
          <w:highlight w:val="yellow"/>
        </w:rPr>
        <w:t>[#]</w:t>
      </w:r>
      <w:r>
        <w:rPr/>
        <w:t>/</w:t>
      </w:r>
      <w:r>
        <w:rPr>
          <w:highlight w:val="yellow"/>
        </w:rPr>
        <w:t>[#]</w:t>
      </w:r>
      <w:r>
        <w:rPr/>
        <w:t>) of responding EU countries have a financial strategy on incentives/rewards for Open Science as shown in Figures 122 and 123.</w:t>
      </w:r>
    </w:p>
    <w:p>
      <w:pPr>
        <w:pStyle w:val="normal2"/>
        <w:widowControl w:val="false"/>
        <w:spacing w:lineRule="auto" w:line="240"/>
        <w:rPr/>
      </w:pPr>
      <w:r>
        <w:rPr/>
      </w:r>
    </w:p>
    <w:p>
      <w:pPr>
        <w:pStyle w:val="normal2"/>
        <w:jc w:val="center"/>
        <w:rPr>
          <w:i/>
          <w:i/>
          <w:iCs/>
        </w:rPr>
      </w:pPr>
      <w:r>
        <w:rPr>
          <w:highlight w:val="yellow"/>
        </w:rPr>
        <w:t>[FIGURE 122]</w:t>
      </w:r>
    </w:p>
    <w:p>
      <w:pPr>
        <w:pStyle w:val="normal2"/>
        <w:jc w:val="center"/>
        <w:rPr/>
      </w:pPr>
      <w:r>
        <w:rPr/>
      </w:r>
    </w:p>
    <w:p>
      <w:pPr>
        <w:pStyle w:val="normal2"/>
        <w:jc w:val="center"/>
        <w:rPr/>
      </w:pPr>
      <w:r>
        <w:rPr>
          <w:i/>
          <w:iCs/>
        </w:rPr>
        <w:t>Figure 122: Map of EU Countries with a Financial Strategy on Incentives/rewards for Open Science</w:t>
      </w:r>
    </w:p>
    <w:p>
      <w:pPr>
        <w:pStyle w:val="normal2"/>
        <w:widowControl w:val="false"/>
        <w:spacing w:lineRule="auto" w:line="240"/>
        <w:rPr/>
      </w:pPr>
      <w:r>
        <w:rPr/>
      </w:r>
    </w:p>
    <w:p>
      <w:pPr>
        <w:pStyle w:val="normal2"/>
        <w:jc w:val="center"/>
        <w:rPr>
          <w:i/>
          <w:i/>
          <w:iCs/>
        </w:rPr>
      </w:pPr>
      <w:r>
        <w:rPr>
          <w:highlight w:val="yellow"/>
        </w:rPr>
        <w:t>[FIGURE 123]</w:t>
      </w:r>
    </w:p>
    <w:p>
      <w:pPr>
        <w:pStyle w:val="normal2"/>
        <w:jc w:val="center"/>
        <w:rPr/>
      </w:pPr>
      <w:r>
        <w:rPr/>
      </w:r>
    </w:p>
    <w:p>
      <w:pPr>
        <w:pStyle w:val="normal2"/>
        <w:jc w:val="center"/>
        <w:rPr/>
      </w:pPr>
      <w:r>
        <w:rPr>
          <w:i/>
          <w:iCs/>
        </w:rPr>
        <w:t>Figure 123: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Practices</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Monitoring on Assessment</w:t>
      </w:r>
    </w:p>
    <w:p>
      <w:pPr>
        <w:pStyle w:val="normal2"/>
        <w:widowControl w:val="false"/>
        <w:spacing w:lineRule="auto" w:line="240"/>
        <w:rPr/>
      </w:pPr>
      <w:r>
        <w:rPr/>
      </w:r>
    </w:p>
    <w:p>
      <w:pPr>
        <w:pStyle w:val="normal2"/>
        <w:widowControl w:val="false"/>
        <w:spacing w:lineRule="auto" w:line="240"/>
        <w:rPr/>
      </w:pPr>
      <w:r>
        <w:rPr/>
        <w:t xml:space="preserve">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highlight w:val="yellow"/>
        </w:rPr>
        <w:t>[%]</w:t>
      </w:r>
      <w:r>
        <w:rPr/>
        <w:t xml:space="preserve"> (</w:t>
      </w:r>
      <w:r>
        <w:rPr>
          <w:highlight w:val="yellow"/>
        </w:rPr>
        <w:t>[#]</w:t>
      </w:r>
      <w:r>
        <w:rPr/>
        <w:t>/</w:t>
      </w:r>
      <w:r>
        <w:rPr>
          <w:highlight w:val="yellow"/>
        </w:rPr>
        <w:t>[#]</w:t>
      </w:r>
      <w:r>
        <w:rPr/>
        <w:t>) of responding EU countries have a national monitoring on incentives/rewards for Open Science as shown in Figures 124 and 125.</w:t>
      </w:r>
    </w:p>
    <w:p>
      <w:pPr>
        <w:pStyle w:val="normal2"/>
        <w:widowControl w:val="false"/>
        <w:spacing w:lineRule="auto" w:line="240"/>
        <w:rPr/>
      </w:pPr>
      <w:r>
        <w:rPr/>
      </w:r>
    </w:p>
    <w:p>
      <w:pPr>
        <w:pStyle w:val="normal2"/>
        <w:jc w:val="center"/>
        <w:rPr>
          <w:i/>
          <w:i/>
          <w:iCs/>
        </w:rPr>
      </w:pPr>
      <w:r>
        <w:rPr>
          <w:highlight w:val="yellow"/>
        </w:rPr>
        <w:t>[FIGURE 124]</w:t>
      </w:r>
    </w:p>
    <w:p>
      <w:pPr>
        <w:pStyle w:val="normal2"/>
        <w:jc w:val="center"/>
        <w:rPr/>
      </w:pPr>
      <w:r>
        <w:rPr/>
      </w:r>
    </w:p>
    <w:p>
      <w:pPr>
        <w:pStyle w:val="normal2"/>
        <w:jc w:val="center"/>
        <w:rPr/>
      </w:pPr>
      <w:r>
        <w:rPr>
          <w:i/>
          <w:iCs/>
        </w:rPr>
        <w:t>Figure 124: Map of EU Countries with a National Monitoring on Incentives/rewards for Open Science</w:t>
      </w:r>
    </w:p>
    <w:p>
      <w:pPr>
        <w:pStyle w:val="normal2"/>
        <w:widowControl w:val="false"/>
        <w:spacing w:lineRule="auto" w:line="240"/>
        <w:rPr/>
      </w:pPr>
      <w:r>
        <w:rPr/>
      </w:r>
    </w:p>
    <w:p>
      <w:pPr>
        <w:pStyle w:val="normal2"/>
        <w:jc w:val="center"/>
        <w:rPr>
          <w:i/>
          <w:i/>
          <w:iCs/>
        </w:rPr>
      </w:pPr>
      <w:r>
        <w:rPr>
          <w:highlight w:val="yellow"/>
        </w:rPr>
        <w:t>[FIGURE 125]</w:t>
      </w:r>
    </w:p>
    <w:p>
      <w:pPr>
        <w:pStyle w:val="normal2"/>
        <w:jc w:val="center"/>
        <w:rPr/>
      </w:pPr>
      <w:r>
        <w:rPr/>
      </w:r>
    </w:p>
    <w:p>
      <w:pPr>
        <w:pStyle w:val="normal2"/>
        <w:jc w:val="center"/>
        <w:rPr/>
      </w:pPr>
      <w:r>
        <w:rPr>
          <w:i/>
          <w:iCs/>
        </w:rPr>
        <w:t>Figure 125: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National Investments in Assessment</w:t>
      </w:r>
    </w:p>
    <w:p>
      <w:pPr>
        <w:pStyle w:val="normal2"/>
        <w:widowControl w:val="false"/>
        <w:spacing w:lineRule="auto" w:line="240"/>
        <w:rPr/>
      </w:pPr>
      <w:r>
        <w:rPr/>
      </w:r>
    </w:p>
    <w:p>
      <w:pPr>
        <w:pStyle w:val="normal2"/>
        <w:widowControl w:val="false"/>
        <w:spacing w:lineRule="auto" w:line="240"/>
        <w:rPr/>
      </w:pPr>
      <w:r>
        <w:rPr/>
        <w:t xml:space="preserve">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i/>
          <w:iCs/>
          <w:highlight w:val="yellow"/>
        </w:rPr>
        <w:t>[YEAR]</w:t>
      </w:r>
      <w:r>
        <w:rPr>
          <w:i/>
          <w:iCs/>
        </w:rPr>
        <w:t xml:space="preserve"> in millions of Euros?</w:t>
      </w:r>
      <w:r>
        <w:rPr/>
        <w:t xml:space="preserve"> (Q91). </w:t>
      </w:r>
      <w:r>
        <w:rPr>
          <w:highlight w:val="yellow"/>
        </w:rPr>
        <w:t>[%]</w:t>
      </w:r>
      <w:r>
        <w:rPr/>
        <w:t xml:space="preserve"> (</w:t>
      </w:r>
      <w:r>
        <w:rPr>
          <w:highlight w:val="yellow"/>
        </w:rPr>
        <w:t>[#]</w:t>
      </w:r>
      <w:r>
        <w:rPr/>
        <w:t>/</w:t>
      </w:r>
      <w:r>
        <w:rPr>
          <w:highlight w:val="yellow"/>
        </w:rPr>
        <w:t>[#]</w:t>
      </w:r>
      <w:r>
        <w:rPr/>
        <w:t xml:space="preserve">) of responding EU countries are not investing or have not stated the amount of investments in incentives/rewards for Open Science. </w:t>
      </w:r>
      <w:r>
        <w:rPr>
          <w:highlight w:val="yellow"/>
        </w:rPr>
        <w:t>[%]</w:t>
      </w:r>
      <w:r>
        <w:rPr/>
        <w:t xml:space="preserve"> (</w:t>
      </w:r>
      <w:r>
        <w:rPr>
          <w:highlight w:val="yellow"/>
        </w:rPr>
        <w:t>[#]</w:t>
      </w:r>
      <w:r>
        <w:rPr/>
        <w:t>/</w:t>
      </w:r>
      <w:r>
        <w:rPr>
          <w:highlight w:val="yellow"/>
        </w:rPr>
        <w:t>[#]</w:t>
      </w:r>
      <w:r>
        <w:rPr/>
        <w:t xml:space="preserve">) of EU countries invested &gt;0 to 50 €K, </w:t>
      </w:r>
      <w:r>
        <w:rPr>
          <w:highlight w:val="yellow"/>
        </w:rPr>
        <w:t>[%]</w:t>
      </w:r>
      <w:r>
        <w:rPr/>
        <w:t xml:space="preserve"> (</w:t>
      </w:r>
      <w:r>
        <w:rPr>
          <w:highlight w:val="yellow"/>
        </w:rPr>
        <w:t>[#]</w:t>
      </w:r>
      <w:r>
        <w:rPr/>
        <w:t>/</w:t>
      </w:r>
      <w:r>
        <w:rPr>
          <w:highlight w:val="yellow"/>
        </w:rPr>
        <w:t>[#]</w:t>
      </w:r>
      <w:r>
        <w:rPr/>
        <w:t xml:space="preserve">) &gt;50 to 100 €K, </w:t>
      </w:r>
      <w:r>
        <w:rPr>
          <w:highlight w:val="yellow"/>
        </w:rPr>
        <w:t>[%]</w:t>
      </w:r>
      <w:r>
        <w:rPr/>
        <w:t xml:space="preserve"> (</w:t>
      </w:r>
      <w:r>
        <w:rPr>
          <w:highlight w:val="yellow"/>
        </w:rPr>
        <w:t>[#]</w:t>
      </w:r>
      <w:r>
        <w:rPr/>
        <w:t>/</w:t>
      </w:r>
      <w:r>
        <w:rPr>
          <w:highlight w:val="yellow"/>
        </w:rPr>
        <w:t>[#]</w:t>
      </w:r>
      <w:r>
        <w:rPr/>
        <w:t xml:space="preserve">) &gt;100 to 250 €K, </w:t>
      </w:r>
      <w:r>
        <w:rPr>
          <w:highlight w:val="yellow"/>
        </w:rPr>
        <w:t>[%]</w:t>
      </w:r>
      <w:r>
        <w:rPr/>
        <w:t xml:space="preserve"> (</w:t>
      </w:r>
      <w:r>
        <w:rPr>
          <w:highlight w:val="yellow"/>
        </w:rPr>
        <w:t>[#]</w:t>
      </w:r>
      <w:r>
        <w:rPr/>
        <w:t>/</w:t>
      </w:r>
      <w:r>
        <w:rPr>
          <w:highlight w:val="yellow"/>
        </w:rPr>
        <w:t>[#]</w:t>
      </w:r>
      <w:r>
        <w:rPr/>
        <w:t xml:space="preserve">) &gt;250 to 500 €K, </w:t>
      </w:r>
      <w:r>
        <w:rPr>
          <w:highlight w:val="yellow"/>
        </w:rPr>
        <w:t>[%]</w:t>
      </w:r>
      <w:r>
        <w:rPr/>
        <w:t xml:space="preserve"> (</w:t>
      </w:r>
      <w:r>
        <w:rPr>
          <w:highlight w:val="yellow"/>
        </w:rPr>
        <w:t>[#]</w:t>
      </w:r>
      <w:r>
        <w:rPr/>
        <w:t>/</w:t>
      </w:r>
      <w:r>
        <w:rPr>
          <w:highlight w:val="yellow"/>
        </w:rPr>
        <w:t>[#]</w:t>
      </w:r>
      <w:r>
        <w:rPr/>
        <w:t xml:space="preserve">) &gt;500 to 1000 €K, and </w:t>
      </w:r>
      <w:r>
        <w:rPr>
          <w:highlight w:val="yellow"/>
        </w:rPr>
        <w:t>[%]</w:t>
      </w:r>
      <w:r>
        <w:rPr/>
        <w:t xml:space="preserve"> (</w:t>
      </w:r>
      <w:r>
        <w:rPr>
          <w:highlight w:val="yellow"/>
        </w:rPr>
        <w:t>[#]</w:t>
      </w:r>
      <w:r>
        <w:rPr/>
        <w:t>/</w:t>
      </w:r>
      <w:r>
        <w:rPr>
          <w:highlight w:val="yellow"/>
        </w:rPr>
        <w:t>[#]</w:t>
      </w:r>
      <w:r>
        <w:rPr/>
        <w:t xml:space="preserve"> &gt;1000 €K per 1000 FTE researchers as shown in Figure 126.</w:t>
      </w:r>
    </w:p>
    <w:p>
      <w:pPr>
        <w:pStyle w:val="normal2"/>
        <w:widowControl w:val="false"/>
        <w:spacing w:lineRule="auto" w:line="240"/>
        <w:rPr/>
      </w:pPr>
      <w:r>
        <w:rPr/>
      </w:r>
    </w:p>
    <w:p>
      <w:pPr>
        <w:pStyle w:val="normal2"/>
        <w:jc w:val="center"/>
        <w:rPr>
          <w:i/>
          <w:i/>
          <w:iCs/>
        </w:rPr>
      </w:pPr>
      <w:r>
        <w:rPr>
          <w:highlight w:val="yellow"/>
        </w:rPr>
        <w:t>[FIGURE 126]</w:t>
      </w:r>
    </w:p>
    <w:p>
      <w:pPr>
        <w:pStyle w:val="normal2"/>
        <w:jc w:val="center"/>
        <w:rPr/>
      </w:pPr>
      <w:r>
        <w:rPr/>
      </w:r>
    </w:p>
    <w:p>
      <w:pPr>
        <w:pStyle w:val="normal2"/>
        <w:jc w:val="center"/>
        <w:rPr/>
      </w:pPr>
      <w:r>
        <w:rPr>
          <w:i/>
          <w:iCs/>
        </w:rPr>
        <w:t>Figure 126: Share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ind w:hanging="360" w:start="1440"/>
        <w:rPr/>
      </w:pPr>
      <w:r>
        <w:rPr/>
        <w:t>Impact</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Policies on Assessment</w:t>
      </w:r>
    </w:p>
    <w:p>
      <w:pPr>
        <w:pStyle w:val="normal2"/>
        <w:widowControl w:val="false"/>
        <w:spacing w:lineRule="auto" w:line="240"/>
        <w:rPr/>
      </w:pPr>
      <w:r>
        <w:rPr/>
      </w:r>
    </w:p>
    <w:p>
      <w:pPr>
        <w:pStyle w:val="normal2"/>
        <w:widowControl w:val="false"/>
        <w:spacing w:lineRule="auto" w:line="240"/>
        <w:rPr/>
      </w:pPr>
      <w:r>
        <w:rPr/>
        <w:t xml:space="preserve">There is </w:t>
      </w:r>
      <w:commentRangeStart w:id="61"/>
      <w:r>
        <w:rPr>
          <w:highlight w:val="yellow"/>
        </w:rPr>
        <w:t>[TREND1]</w:t>
      </w:r>
      <w:r>
        <w:rPr>
          <w:highlight w:val="yellow"/>
        </w:rPr>
      </w:r>
      <w:commentRangeEnd w:id="61"/>
      <w:r>
        <w:commentReference w:id="61"/>
      </w:r>
      <w:r>
        <w:rPr/>
        <w:t xml:space="preserve"> in national policies on incentives/rewards for Open Science in EU countries in </w:t>
      </w:r>
      <w:r>
        <w:rPr>
          <w:highlight w:val="yellow"/>
        </w:rPr>
        <w:t>[YEAR]</w:t>
      </w:r>
      <w:r>
        <w:rPr/>
        <w:t xml:space="preserve"> from the previous year and </w:t>
      </w:r>
      <w:commentRangeStart w:id="62"/>
      <w:commentRangeStart w:id="63"/>
      <w:r>
        <w:rPr>
          <w:highlight w:val="yellow"/>
        </w:rPr>
        <w:t>[TREND2]</w:t>
      </w:r>
      <w:r>
        <w:rPr>
          <w:highlight w:val="yellow"/>
        </w:rPr>
      </w:r>
      <w:commentRangeEnd w:id="63"/>
      <w:r>
        <w:commentReference w:id="63"/>
      </w:r>
      <w:r>
        <w:rPr>
          <w:highlight w:val="yellow"/>
        </w:rPr>
      </w:r>
      <w:commentRangeEnd w:id="62"/>
      <w:r>
        <w:commentReference w:id="62"/>
      </w:r>
      <w:r>
        <w:rPr/>
        <w:t xml:space="preserve"> since 2022 whereby there is </w:t>
      </w:r>
      <w:commentRangeStart w:id="64"/>
      <w:r>
        <w:rPr>
          <w:highlight w:val="yellow"/>
        </w:rPr>
        <w:t>[TREND1]</w:t>
      </w:r>
      <w:r>
        <w:rPr>
          <w:highlight w:val="yellow"/>
        </w:rPr>
      </w:r>
      <w:commentRangeEnd w:id="64"/>
      <w:r>
        <w:commentReference w:id="64"/>
      </w:r>
      <w:r>
        <w:rPr/>
        <w:t xml:space="preserve"> in mandatory policies in </w:t>
      </w:r>
      <w:r>
        <w:rPr>
          <w:highlight w:val="yellow"/>
        </w:rPr>
        <w:t>[YEAR]</w:t>
      </w:r>
      <w:r>
        <w:rPr/>
        <w:t xml:space="preserve"> from the previous year and </w:t>
      </w:r>
      <w:commentRangeStart w:id="65"/>
      <w:commentRangeStart w:id="66"/>
      <w:r>
        <w:rPr>
          <w:highlight w:val="yellow"/>
        </w:rPr>
        <w:t>[TREND2]</w:t>
      </w:r>
      <w:r>
        <w:rPr>
          <w:highlight w:val="yellow"/>
        </w:rPr>
      </w:r>
      <w:commentRangeEnd w:id="66"/>
      <w:r>
        <w:commentReference w:id="66"/>
      </w:r>
      <w:r>
        <w:rPr>
          <w:highlight w:val="yellow"/>
        </w:rPr>
      </w:r>
      <w:commentRangeEnd w:id="65"/>
      <w:r>
        <w:commentReference w:id="65"/>
      </w:r>
      <w:r>
        <w:rPr/>
        <w:t xml:space="preserve"> since 2022 as shown in Figure 127.</w:t>
      </w:r>
    </w:p>
    <w:p>
      <w:pPr>
        <w:pStyle w:val="normal2"/>
        <w:widowControl w:val="false"/>
        <w:spacing w:lineRule="auto" w:line="240"/>
        <w:rPr/>
      </w:pPr>
      <w:r>
        <w:rPr/>
      </w:r>
    </w:p>
    <w:p>
      <w:pPr>
        <w:pStyle w:val="normal2"/>
        <w:jc w:val="center"/>
        <w:rPr>
          <w:i/>
          <w:i/>
          <w:iCs/>
        </w:rPr>
      </w:pPr>
      <w:r>
        <w:rPr>
          <w:highlight w:val="yellow"/>
        </w:rPr>
        <w:t>[FIGURE 127]</w:t>
      </w:r>
    </w:p>
    <w:p>
      <w:pPr>
        <w:pStyle w:val="normal2"/>
        <w:jc w:val="center"/>
        <w:rPr/>
      </w:pPr>
      <w:r>
        <w:rPr/>
      </w:r>
    </w:p>
    <w:p>
      <w:pPr>
        <w:pStyle w:val="normal2"/>
        <w:jc w:val="center"/>
        <w:rPr/>
      </w:pPr>
      <w:r>
        <w:rPr>
          <w:i/>
          <w:iCs/>
        </w:rPr>
        <w:t>Figure 127: Trend in EU Countries with a National Policy on Incentives/rewards for Open Science</w:t>
      </w:r>
    </w:p>
    <w:p>
      <w:pPr>
        <w:pStyle w:val="normal2"/>
        <w:rPr/>
      </w:pPr>
      <w:r>
        <w:rPr/>
      </w:r>
    </w:p>
    <w:p>
      <w:pPr>
        <w:pStyle w:val="normal2"/>
        <w:widowControl w:val="false"/>
        <w:spacing w:lineRule="auto" w:line="240"/>
        <w:rPr/>
      </w:pPr>
      <w:r>
        <w:rPr/>
        <w:t xml:space="preserve">There is </w:t>
      </w:r>
      <w:r>
        <w:rPr>
          <w:highlight w:val="yellow"/>
        </w:rPr>
        <w:t>[TREND1]</w:t>
      </w:r>
      <w:r>
        <w:rPr/>
        <w:t xml:space="preserve"> in financial strategies on incentives/rewards for Open Science in EU countries in </w:t>
      </w:r>
      <w:r>
        <w:rPr>
          <w:highlight w:val="yellow"/>
        </w:rPr>
        <w:t>[YEAR]</w:t>
      </w:r>
      <w:r>
        <w:rPr/>
        <w:t xml:space="preserve"> from the previous year and </w:t>
      </w:r>
      <w:r>
        <w:rPr>
          <w:highlight w:val="yellow"/>
        </w:rPr>
        <w:t>[TREND2]</w:t>
      </w:r>
      <w:r>
        <w:rPr/>
        <w:t xml:space="preserve"> since 2022 as shown in Figure 128.</w:t>
      </w:r>
    </w:p>
    <w:p>
      <w:pPr>
        <w:pStyle w:val="normal2"/>
        <w:widowControl w:val="false"/>
        <w:spacing w:lineRule="auto" w:line="240"/>
        <w:rPr/>
      </w:pPr>
      <w:r>
        <w:rPr/>
      </w:r>
    </w:p>
    <w:p>
      <w:pPr>
        <w:pStyle w:val="normal2"/>
        <w:jc w:val="center"/>
        <w:rPr>
          <w:i/>
          <w:i/>
          <w:iCs/>
        </w:rPr>
      </w:pPr>
      <w:r>
        <w:rPr>
          <w:highlight w:val="yellow"/>
        </w:rPr>
        <w:t>[FIGURE 128]</w:t>
      </w:r>
    </w:p>
    <w:p>
      <w:pPr>
        <w:pStyle w:val="normal2"/>
        <w:jc w:val="center"/>
        <w:rPr/>
      </w:pPr>
      <w:r>
        <w:rPr/>
      </w:r>
    </w:p>
    <w:p>
      <w:pPr>
        <w:pStyle w:val="normal2"/>
        <w:jc w:val="center"/>
        <w:rPr/>
      </w:pPr>
      <w:r>
        <w:rPr>
          <w:i/>
          <w:iCs/>
        </w:rPr>
        <w:t>Figure 128: Trend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ind w:hanging="360" w:start="2160"/>
        <w:rPr/>
      </w:pPr>
      <w:r>
        <w:rPr/>
        <w:t>Yearly Trends in Practices on Assessment</w:t>
      </w:r>
    </w:p>
    <w:p>
      <w:pPr>
        <w:pStyle w:val="normal2"/>
        <w:widowControl w:val="false"/>
        <w:spacing w:lineRule="auto" w:line="240"/>
        <w:rPr/>
      </w:pPr>
      <w:r>
        <w:rPr/>
      </w:r>
    </w:p>
    <w:p>
      <w:pPr>
        <w:pStyle w:val="normal2"/>
        <w:widowControl w:val="false"/>
        <w:spacing w:lineRule="auto" w:line="240"/>
        <w:rPr/>
      </w:pPr>
      <w:r>
        <w:rPr/>
        <w:t xml:space="preserve">There is </w:t>
      </w:r>
      <w:r>
        <w:rPr>
          <w:highlight w:val="yellow"/>
        </w:rPr>
        <w:t>[TREND1]</w:t>
      </w:r>
      <w:r>
        <w:rPr/>
        <w:t xml:space="preserve"> in national monitoring on incentives/rewards for Open Science in EU countries in </w:t>
      </w:r>
      <w:r>
        <w:rPr>
          <w:highlight w:val="yellow"/>
        </w:rPr>
        <w:t>[YEAR]</w:t>
      </w:r>
      <w:r>
        <w:rPr/>
        <w:t xml:space="preserve"> from the previous year and </w:t>
      </w:r>
      <w:r>
        <w:rPr>
          <w:highlight w:val="yellow"/>
        </w:rPr>
        <w:t>[TREND2]</w:t>
      </w:r>
      <w:r>
        <w:rPr/>
        <w:t xml:space="preserve"> since 2022 as shown in Figure 129.</w:t>
      </w:r>
    </w:p>
    <w:p>
      <w:pPr>
        <w:pStyle w:val="normal2"/>
        <w:widowControl w:val="false"/>
        <w:spacing w:lineRule="auto" w:line="240"/>
        <w:rPr/>
      </w:pPr>
      <w:r>
        <w:rPr/>
      </w:r>
    </w:p>
    <w:p>
      <w:pPr>
        <w:pStyle w:val="normal2"/>
        <w:jc w:val="center"/>
        <w:rPr>
          <w:i/>
          <w:i/>
          <w:iCs/>
        </w:rPr>
      </w:pPr>
      <w:r>
        <w:rPr>
          <w:highlight w:val="yellow"/>
        </w:rPr>
        <w:t>[FIGURE 129]</w:t>
      </w:r>
    </w:p>
    <w:p>
      <w:pPr>
        <w:pStyle w:val="normal2"/>
        <w:jc w:val="center"/>
        <w:rPr/>
      </w:pPr>
      <w:r>
        <w:rPr/>
      </w:r>
    </w:p>
    <w:p>
      <w:pPr>
        <w:pStyle w:val="normal2"/>
        <w:jc w:val="center"/>
        <w:rPr>
          <w:i/>
          <w:i/>
          <w:iCs/>
        </w:rPr>
      </w:pPr>
      <w:r>
        <w:rPr>
          <w:i/>
          <w:iCs/>
        </w:rPr>
        <w:t>Figure 129: Trend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 xml:space="preserve">There is finally </w:t>
      </w:r>
      <w:r>
        <w:rPr>
          <w:highlight w:val="yellow"/>
        </w:rPr>
        <w:t>[TREND1]</w:t>
      </w:r>
      <w:r>
        <w:rPr/>
        <w:t xml:space="preserve"> in national investments in incentives/rewards for Open Science per 1000 FTE researchers in EU countries in </w:t>
      </w:r>
      <w:r>
        <w:rPr>
          <w:highlight w:val="yellow"/>
        </w:rPr>
        <w:t>[YEAR]</w:t>
      </w:r>
      <w:r>
        <w:rPr/>
        <w:t xml:space="preserve"> from the previous year and </w:t>
      </w:r>
      <w:r>
        <w:rPr>
          <w:highlight w:val="yellow"/>
        </w:rPr>
        <w:t>[TREND2]</w:t>
      </w:r>
      <w:r>
        <w:rPr/>
        <w:t xml:space="preserve"> since 2022 as shown in Figure 130.</w:t>
      </w:r>
    </w:p>
    <w:p>
      <w:pPr>
        <w:pStyle w:val="normal2"/>
        <w:jc w:val="center"/>
        <w:rPr>
          <w:i/>
          <w:i/>
          <w:iCs/>
        </w:rPr>
      </w:pPr>
      <w:r>
        <w:rPr>
          <w:highlight w:val="yellow"/>
        </w:rPr>
        <w:t>[FIGURE 130]</w:t>
      </w:r>
    </w:p>
    <w:p>
      <w:pPr>
        <w:pStyle w:val="normal2"/>
        <w:jc w:val="center"/>
        <w:rPr/>
      </w:pPr>
      <w:r>
        <w:rPr/>
      </w:r>
    </w:p>
    <w:p>
      <w:pPr>
        <w:pStyle w:val="normal1"/>
        <w:jc w:val="center"/>
        <w:rPr/>
      </w:pPr>
      <w:r>
        <w:rPr>
          <w:i/>
          <w:iCs/>
        </w:rPr>
        <w:t>Figure 130: Trend in EU Countries with National Investments in Incentives/rewards for Open Science per 1000 FTE Researchers</w:t>
      </w:r>
    </w:p>
    <w:p>
      <w:pPr>
        <w:pStyle w:val="normal1"/>
        <w:widowControl w:val="false"/>
        <w:spacing w:lineRule="auto" w:line="240"/>
        <w:rPr/>
      </w:pPr>
      <w:r>
        <w:rPr/>
      </w:r>
    </w:p>
    <w:sectPr>
      <w:footerReference w:type="even" r:id="rId2"/>
      <w:footerReference w:type="default" r:id="rId3"/>
      <w:footerReference w:type="first" r:id="rId4"/>
      <w:type w:val="nextPage"/>
      <w:pgSz w:w="11906" w:h="16838"/>
      <w:pgMar w:left="1133" w:right="1133" w:gutter="0" w:header="0" w:top="1133" w:footer="720" w:bottom="1133"/>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Gareth O'Neill" w:date="2025-09-22T07:28:28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To be generated every year</w:t>
      </w:r>
    </w:p>
  </w:comment>
  <w:comment w:id="1" w:author="Gareth O'Neill" w:date="2025-09-22T10:13:5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2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2" w:author="Gareth O'Neill" w:date="2025-09-22T10:13:57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3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3"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4"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6"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7"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8"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9"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1"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0"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2"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4"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3"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5"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7"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6"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8"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20"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9"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21"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23"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22"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24"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26"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25"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27" w:author="Gareth O'Neill" w:date="2025-11-12T00:44:59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This needs to be checked with Stefan</w:t>
      </w:r>
    </w:p>
  </w:comment>
  <w:comment w:id="28"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30"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29"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31"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33"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32"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34" w:author="Gareth O'Neill" w:date="2025-11-12T02:13:06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This needs to be checked with Stefan</w:t>
      </w:r>
    </w:p>
  </w:comment>
  <w:comment w:id="35" w:author="Gareth O'Neill" w:date="2025-11-12T02:15:48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This needs to be checked with Stefan</w:t>
      </w:r>
    </w:p>
  </w:comment>
  <w:comment w:id="36" w:author="Gareth O'Neill" w:date="2025-11-12T02:18:46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This needs to be checked with Stefan</w:t>
      </w:r>
    </w:p>
  </w:comment>
  <w:comment w:id="37"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38"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39"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40"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42"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41"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43"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45"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44"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46"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47"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48"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49"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1"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0"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52"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4"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3"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55"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7"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6"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58"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60"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59"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61"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63"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62"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64"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66" w:author="Gareth O'Neill" w:date="2025-09-24T08:59:40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65" w:author="Gareth O'Neill" w:date="2025-09-24T08:59:41Z" w:initials="">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Open Sans">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23</w:t>
    </w:r>
    <w:r>
      <w:rPr/>
      <w:fldChar w:fldCharType="end"/>
    </w:r>
    <w:r>
      <w:rPr/>
      <w:t xml:space="preserve"> of </w:t>
    </w:r>
    <w:r>
      <w:rPr/>
      <w:fldChar w:fldCharType="begin"/>
    </w:r>
    <w:r>
      <w:rPr/>
      <w:instrText xml:space="preserve"> NUMPAGES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23</w:t>
    </w:r>
    <w:r>
      <w:rPr/>
      <w:fldChar w:fldCharType="end"/>
    </w:r>
    <w:r>
      <w:rPr/>
      <w:t xml:space="preserve"> of </w:t>
    </w:r>
    <w:r>
      <w:rPr/>
      <w:fldChar w:fldCharType="begin"/>
    </w:r>
    <w:r>
      <w:rPr/>
      <w:instrText xml:space="preserve"> NUMPAGES </w:instrText>
    </w:r>
    <w:r>
      <w:rPr/>
      <w:fldChar w:fldCharType="separate"/>
    </w:r>
    <w:r>
      <w:rPr/>
      <w:t>23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normal2">
    <w:name w:val="normal2"/>
    <w:qFormat/>
    <w:pPr>
      <w:widowControl/>
      <w:bidi w:val="0"/>
      <w:spacing w:lineRule="auto" w:line="276" w:before="0" w:after="0"/>
      <w:jc w:val="start"/>
    </w:pPr>
    <w:rPr>
      <w:rFonts w:ascii="Arial" w:hAnsi="Arial" w:eastAsia="Arial" w:cs="Arial"/>
      <w:color w:val="auto"/>
      <w:kern w:val="0"/>
      <w:sz w:val="22"/>
      <w:szCs w:val="22"/>
      <w:lang w:val="nl-NL"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342</TotalTime>
  <Application>LibreOffice/24.2.7.2$Linux_X86_64 LibreOffice_project/420$Build-2</Application>
  <AppVersion>15.0000</AppVersion>
  <Pages>23</Pages>
  <Words>7912</Words>
  <Characters>41032</Characters>
  <CharactersWithSpaces>48403</CharactersWithSpaces>
  <Paragraphs>476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