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jc w:val="center"/>
        <w:rPr/>
      </w:pPr>
      <w:r>
        <w:rPr>
          <w:b/>
        </w:rPr>
        <w:t>Analysis of the Survey on National Contributions to EOSC and Open Science {</w:t>
      </w:r>
      <w:r>
        <w:rPr>
          <w:b/>
          <w:highlight w:val="yellow"/>
        </w:rPr>
        <w:t>Year}</w:t>
      </w:r>
    </w:p>
    <w:p>
      <w:pPr>
        <w:pStyle w:val="normal1"/>
        <w:rPr/>
      </w:pPr>
      <w:r>
        <w:rPr/>
      </w:r>
    </w:p>
    <w:p>
      <w:pPr>
        <w:pStyle w:val="normal1"/>
        <w:rPr/>
      </w:pPr>
      <w:r>
        <w:rPr/>
        <w:t>Authors</w:t>
      </w:r>
    </w:p>
    <w:p>
      <w:pPr>
        <w:pStyle w:val="BodyText"/>
        <w:rPr/>
      </w:pPr>
      <w:r>
        <w:rPr/>
      </w:r>
    </w:p>
    <w:p>
      <w:pPr>
        <w:pStyle w:val="BodyText"/>
        <w:rPr/>
      </w:pPr>
      <w:r>
        <w:rPr/>
        <w:t>Gareth O’Neill and Stefania Martziou</w:t>
      </w:r>
    </w:p>
    <w:p>
      <w:pPr>
        <w:pStyle w:val="normal1"/>
        <w:rPr/>
      </w:pPr>
      <w:r>
        <w:rPr/>
      </w:r>
    </w:p>
    <w:p>
      <w:pPr>
        <w:pStyle w:val="normal1"/>
        <w:rPr>
          <w:b/>
          <w:bCs/>
        </w:rPr>
      </w:pPr>
      <w:r>
        <w:rPr>
          <w:b/>
          <w:bCs/>
          <w:highlight w:val="cyan"/>
        </w:rPr>
        <w:t>Front Page</w:t>
      </w:r>
    </w:p>
    <w:p>
      <w:pPr>
        <w:pStyle w:val="normal1"/>
        <w:rPr/>
      </w:pPr>
      <w:r>
        <w:rPr/>
      </w:r>
    </w:p>
    <w:p>
      <w:pPr>
        <w:pStyle w:val="normal1"/>
        <w:rPr>
          <w:b/>
          <w:bCs/>
        </w:rPr>
      </w:pPr>
      <w:r>
        <w:rPr>
          <w:b/>
          <w:bCs/>
          <w:highlight w:val="cyan"/>
        </w:rPr>
        <w:t>Table of Contents</w:t>
      </w:r>
    </w:p>
    <w:p>
      <w:pPr>
        <w:pStyle w:val="normal1"/>
        <w:rPr/>
      </w:pPr>
      <w:r>
        <w:rPr/>
      </w:r>
    </w:p>
    <w:p>
      <w:pPr>
        <w:pStyle w:val="normal1"/>
        <w:rPr>
          <w:b/>
          <w:bCs/>
          <w:highlight w:val="none"/>
          <w:shd w:fill="auto" w:val="clear"/>
        </w:rPr>
      </w:pPr>
      <w:r>
        <w:rPr>
          <w:b/>
          <w:bCs/>
          <w:shd w:fill="auto" w:val="clear"/>
        </w:rPr>
        <w:t>Executive Summary</w:t>
      </w:r>
    </w:p>
    <w:p>
      <w:pPr>
        <w:pStyle w:val="normal1"/>
        <w:rPr/>
      </w:pPr>
      <w:r>
        <w:rPr/>
      </w:r>
    </w:p>
    <w:p>
      <w:pPr>
        <w:pStyle w:val="BodyText"/>
        <w:rPr/>
      </w:pPr>
      <w:r>
        <w:rPr/>
        <w:t xml:space="preserve">This report oﬀers an Analysis of the Survey on National Contributions to EOSC and Open Science </w:t>
      </w:r>
      <w:r>
        <w:rPr>
          <w:color w:val="000000"/>
          <w:u w:val="none"/>
          <w:shd w:fill="auto" w:val="clear"/>
        </w:rPr>
        <w:t>{Year}</w:t>
      </w:r>
      <w:sdt>
        <w:sdtPr>
          <w:tag w:val="goog_rdk_12"/>
          <w:id w:val="285594337"/>
        </w:sdtPr>
        <w:sdtContent>
          <w:r>
            <w:rPr>
              <w:color w:val="000000"/>
              <w:u w:val="none"/>
              <w:shd w:fill="auto" w:val="clear"/>
            </w:rPr>
          </w:r>
          <w:r>
            <w:rPr>
              <w:color w:val="000000"/>
              <w:u w:val="none"/>
              <w:shd w:fill="auto" w:val="clear"/>
            </w:rPr>
          </w:r>
        </w:sdtContent>
      </w:sdt>
      <w:r>
        <w:rPr/>
        <w:t xml:space="preserve">. Survey </w:t>
      </w:r>
      <w:r>
        <w:rPr>
          <w:color w:val="000000"/>
          <w:u w:val="none"/>
          <w:shd w:fill="auto" w:val="clear"/>
        </w:rPr>
        <w:t>{Year}</w:t>
      </w:r>
      <w:sdt>
        <w:sdtPr>
          <w:tag w:val="goog_rdk_12"/>
          <w:id w:val="285594337"/>
        </w:sdtPr>
        <w:sdtContent>
          <w:r>
            <w:rPr>
              <w:color w:val="000000"/>
              <w:u w:val="none"/>
              <w:shd w:fill="auto" w:val="clear"/>
            </w:rPr>
          </w:r>
          <w:r>
            <w:rPr>
              <w:color w:val="000000"/>
              <w:u w:val="none"/>
              <w:shd w:fill="auto" w:val="clear"/>
            </w:rPr>
          </w:r>
        </w:sdtContent>
      </w:sdt>
      <w:r>
        <w:rPr/>
        <w:t xml:space="preserve"> was published in the EOSC Open Science Observatory on 21 February 2025 and ran until 29 August 2025 whereby 31 countries responded consisting of 24 of the 27 European Union (EU) countries and 7 non-EU countries. The annual survey is targeted at the national members of the EOSC Steering Board and monitors relevant policy practice, and impact indicators related to EOSC and Open Science at national and institutional levels in Europe. The report is structured around the eight categories relevant for EOSC and Open Science and presents survey results for publications, data, software, services, infrastructure, skills/training, assessment, and engagement as well as for total investments in EOSC and Open Science. The report focuses on the policies, financial strategies, monitoring, investments, and progress across the EU-27 countries for each of the categories relevant for EOSC and Open Science.</w:t>
      </w:r>
    </w:p>
    <w:p>
      <w:pPr>
        <w:pStyle w:val="BodyText"/>
        <w:rPr/>
      </w:pPr>
      <w:r>
        <w:rPr>
          <w:rFonts w:ascii="Arial;sans-serif" w:hAnsi="Arial;sans-serif"/>
          <w:b w:val="false"/>
          <w:i w:val="false"/>
          <w:caps w:val="false"/>
          <w:smallCaps w:val="false"/>
          <w:strike w:val="false"/>
          <w:dstrike w:val="false"/>
          <w:color w:val="000000"/>
          <w:sz w:val="22"/>
          <w:u w:val="none"/>
          <w:effect w:val="none"/>
          <w:shd w:fill="auto" w:val="clear"/>
        </w:rPr>
        <w:t>Highlights from the results of Survey {</w:t>
      </w:r>
      <w:r>
        <w:rPr>
          <w:rFonts w:ascii="Arial;sans-serif" w:hAnsi="Arial;sans-serif"/>
          <w:b w:val="false"/>
          <w:i w:val="false"/>
          <w:caps w:val="false"/>
          <w:smallCaps w:val="false"/>
          <w:strike w:val="false"/>
          <w:dstrike w:val="false"/>
          <w:color w:val="000000"/>
          <w:sz w:val="22"/>
          <w:u w:val="none"/>
          <w:effect w:val="none"/>
          <w:shd w:fill="FFFF00" w:val="clear"/>
        </w:rPr>
        <w:t>Year</w:t>
      </w:r>
      <w:r>
        <w:rPr>
          <w:rFonts w:ascii="Arial;sans-serif" w:hAnsi="Arial;sans-serif"/>
          <w:b w:val="false"/>
          <w:i w:val="false"/>
          <w:caps w:val="false"/>
          <w:smallCaps w:val="false"/>
          <w:strike w:val="false"/>
          <w:dstrike w:val="false"/>
          <w:color w:val="000000"/>
          <w:sz w:val="22"/>
          <w:u w:val="none"/>
          <w:effect w:val="none"/>
          <w:shd w:fill="auto" w:val="clear"/>
        </w:rPr>
        <w:t>}</w:t>
      </w:r>
      <w:sdt>
        <w:sdtPr>
          <w:tag w:val="goog_rdk_12"/>
          <w:id w:val="285594337"/>
        </w:sdtPr>
        <w:sdtContent>
          <w:r>
            <w:rPr>
              <w:rFonts w:ascii="Arial;sans-serif" w:hAnsi="Arial;sans-serif"/>
              <w:b w:val="false"/>
              <w:i w:val="false"/>
              <w:caps w:val="false"/>
              <w:smallCaps w:val="false"/>
              <w:strike w:val="false"/>
              <w:dstrike w:val="false"/>
              <w:color w:val="000000"/>
              <w:sz w:val="22"/>
              <w:u w:val="none"/>
              <w:effect w:val="none"/>
              <w:shd w:fill="auto" w:val="clear"/>
            </w:rPr>
          </w:r>
          <w:r>
            <w:rPr>
              <w:rFonts w:ascii="Arial;sans-serif" w:hAnsi="Arial;sans-serif"/>
              <w:b w:val="false"/>
              <w:i w:val="false"/>
              <w:caps w:val="false"/>
              <w:smallCaps w:val="false"/>
              <w:strike w:val="false"/>
              <w:dstrike w:val="false"/>
              <w:color w:val="000000"/>
              <w:sz w:val="22"/>
              <w:u w:val="none"/>
              <w:effect w:val="none"/>
              <w:shd w:fill="auto" w:val="clear"/>
            </w:rPr>
          </w:r>
        </w:sdtContent>
      </w:sdt>
      <w:r>
        <w:rPr>
          <w:rFonts w:ascii="Arial;sans-serif" w:hAnsi="Arial;sans-serif"/>
          <w:b w:val="false"/>
          <w:i w:val="false"/>
          <w:caps w:val="false"/>
          <w:smallCaps w:val="false"/>
          <w:strike w:val="false"/>
          <w:dstrike w:val="false"/>
          <w:color w:val="000000"/>
          <w:sz w:val="22"/>
          <w:u w:val="none"/>
          <w:effect w:val="none"/>
          <w:shd w:fill="auto" w:val="clear"/>
        </w:rPr>
        <w:t xml:space="preserve"> for responding EU-27 countries are presented below:</w:t>
      </w:r>
      <w:sdt>
        <w:sdtPr>
          <w:tag w:val="goog_rdk_33"/>
          <w:id w:val="-495568600"/>
        </w:sdtPr>
        <w:sdtContent>
          <w:r>
            <w:rPr>
              <w:rFonts w:ascii="Arial;sans-serif" w:hAnsi="Arial;sans-serif"/>
              <w:b w:val="false"/>
              <w:i w:val="false"/>
              <w:caps w:val="false"/>
              <w:smallCaps w:val="false"/>
              <w:strike w:val="false"/>
              <w:dstrike w:val="false"/>
              <w:color w:val="000000"/>
              <w:sz w:val="22"/>
              <w:u w:val="none"/>
              <w:effect w:val="none"/>
              <w:shd w:fill="auto" w:val="clear"/>
            </w:rPr>
          </w:r>
          <w:r>
            <w:rPr>
              <w:rFonts w:ascii="Arial;sans-serif" w:hAnsi="Arial;sans-serif"/>
              <w:b w:val="false"/>
              <w:i w:val="false"/>
              <w:caps w:val="false"/>
              <w:smallCaps w:val="false"/>
              <w:strike w:val="false"/>
              <w:dstrike w:val="false"/>
              <w:color w:val="000000"/>
              <w:sz w:val="22"/>
              <w:u w:val="none"/>
              <w:effect w:val="none"/>
              <w:shd w:fill="auto" w:val="clear"/>
            </w:rPr>
          </w:r>
        </w:sdtContent>
      </w:sdt>
    </w:p>
    <w:p>
      <w:pPr>
        <w:pStyle w:val="Normal"/>
        <w:numPr>
          <w:ilvl w:val="0"/>
          <w:numId w:val="2"/>
        </w:numPr>
        <w:rPr/>
      </w:pPr>
      <w:bookmarkStart w:id="0" w:name="docs-internal-guid-f936890c-7fff-76f8-93"/>
      <w:bookmarkEnd w:id="0"/>
      <w:r>
        <w:rPr>
          <w:rFonts w:ascii="Arial;sans-serif" w:hAnsi="Arial;sans-serif"/>
          <w:b w:val="false"/>
          <w:i w:val="false"/>
          <w:caps w:val="false"/>
          <w:smallCaps w:val="false"/>
          <w:strike w:val="false"/>
          <w:dstrike w:val="false"/>
          <w:color w:val="000000"/>
          <w:sz w:val="22"/>
          <w:u w:val="none"/>
          <w:effect w:val="none"/>
          <w:shd w:fill="auto" w:val="clear"/>
        </w:rPr>
        <w:t>Publications: The countries are prioritising research publications as 92% (22/24) have a national policy (whereby 41% (9/22) are mandatory), 52% (12/23) have a financial strategy, and 65% (15/23) have a national monitoring on open access to publications. Furthermore, 68% (15/22) have a specific policy on immediate open access to publications (whereby 47% (7/15) are mandatory), 65% (13/20) have a specific policy on retention of IPR on publications (whereby 54% (7/13) are mandatory), and 64% (14/22) have a specific policy on open licensing of publications (whereby 29% (4/14) are mandatory).</w:t>
      </w:r>
    </w:p>
    <w:p>
      <w:pPr>
        <w:pStyle w:val="Normal"/>
        <w:numPr>
          <w:ilvl w:val="0"/>
          <w:numId w:val="0"/>
        </w:numPr>
        <w:ind w:hanging="0" w:left="720"/>
        <w:rPr>
          <w:rFonts w:ascii="Arial;sans-serif" w:hAnsi="Arial;sans-serif"/>
          <w:b w:val="false"/>
          <w:i w:val="false"/>
          <w:caps w:val="false"/>
          <w:smallCaps w:val="false"/>
          <w:strike w:val="false"/>
          <w:dstrike w:val="false"/>
          <w:color w:val="000000"/>
          <w:sz w:val="22"/>
          <w:u w:val="none"/>
          <w:effect w:val="none"/>
          <w:shd w:fill="auto" w:val="clear"/>
        </w:rPr>
      </w:pPr>
      <w:r>
        <w:rPr>
          <w:rFonts w:ascii="Arial;sans-serif" w:hAnsi="Arial;sans-serif"/>
          <w:b w:val="false"/>
          <w:i w:val="false"/>
          <w:caps w:val="false"/>
          <w:smallCaps w:val="false"/>
          <w:strike w:val="false"/>
          <w:dstrike w:val="false"/>
          <w:color w:val="000000"/>
          <w:sz w:val="22"/>
          <w:u w:val="none"/>
          <w:effect w:val="none"/>
          <w:shd w:fill="auto" w:val="clear"/>
        </w:rPr>
      </w:r>
    </w:p>
    <w:p>
      <w:pPr>
        <w:pStyle w:val="BodyText"/>
        <w:numPr>
          <w:ilvl w:val="0"/>
          <w:numId w:val="2"/>
        </w:numPr>
        <w:rPr/>
      </w:pPr>
      <w:r>
        <w:rPr/>
        <w:t>Data: Countries are also prioritising research data as 79% (19/24) have a national policy (whereby 53% (10/19) are mandatory), 48% (11/23) have a financial strategy, and 14% (3/22) have a national monitoring on data management. Secondly, 71% (17/24) have a national policy (whereby 35% (6/17) are mandatory), 46% (11/24) have a financial strategy, and 13% (3/23) have a national monitoring on FAIR data. Lastly, 83% (20/24) have a national policy (whereby 55% (11/19) are mandatory), 43% (10/23) have a financial strategy, and 40% (8/20) have a national monitoring on open data.</w:t>
      </w:r>
    </w:p>
    <w:p>
      <w:pPr>
        <w:pStyle w:val="BodyText"/>
        <w:numPr>
          <w:ilvl w:val="0"/>
          <w:numId w:val="2"/>
        </w:numPr>
        <w:rPr/>
      </w:pPr>
      <w:r>
        <w:rPr/>
        <w:t>Software: There is less of a national focus on research software as 38% (9/24) of the countries have a national policy (whereby 22% (2/9) are mandatory), 0% (0/24) have a financial strategy, and 14% (3/22) have a national monitoring on open-source software.</w:t>
      </w:r>
    </w:p>
    <w:p>
      <w:pPr>
        <w:pStyle w:val="BodyText"/>
        <w:numPr>
          <w:ilvl w:val="0"/>
          <w:numId w:val="2"/>
        </w:numPr>
        <w:rPr/>
      </w:pPr>
      <w:r>
        <w:rPr/>
        <w:t>Services: Countries are also less focused on research services and EOSC as 29% (7/24) have a national policy (whereby 29% (2/7) are mandatory), 21% (5/24) have a financial strategy, and 5% (1/22) have a national monitoring on offering services through EOSC.</w:t>
      </w:r>
    </w:p>
    <w:p>
      <w:pPr>
        <w:pStyle w:val="BodyText"/>
        <w:numPr>
          <w:ilvl w:val="0"/>
          <w:numId w:val="2"/>
        </w:numPr>
        <w:rPr/>
      </w:pPr>
      <w:r>
        <w:rPr/>
        <w:t> </w:t>
      </w:r>
      <w:r>
        <w:rPr/>
        <w:t>Infrastructure: We similarly see less of a national prioritisation of research infrastructure specifically supporting EOSC and Open Science as 29% (7/24) have a national policy (whereby 57% (4/7) are mandatory), 17% (4/24) have a financial strategy, and 5% (1/22) have a national monitoring on connecting repositories to EOSC. Secondly, 46% (11/24) have a national policy (whereby 27% (3/11) are mandatory), 29% (7/24) have a financial strategy, and 5% (1/22) have a national monitoring on data stewardship. Lastly, 33% (8/24) have a national policy (whereby 13% (1/8) are mandatory), 17% have a financial strategy, and 5% (1/22) have a national monitoring on long-term data preservation.</w:t>
      </w:r>
    </w:p>
    <w:p>
      <w:pPr>
        <w:pStyle w:val="BodyText"/>
        <w:numPr>
          <w:ilvl w:val="0"/>
          <w:numId w:val="2"/>
        </w:numPr>
        <w:rPr/>
      </w:pPr>
      <w:r>
        <w:rPr/>
        <w:t>Skills/Training: Countries show moderate interest in research skills/training as 65% (15/23) have a national policy (whereby 7% (1/15) are mandatory), 35% (8/23) have a financial strategy, and 17% (4/23) have a national monitoring on skills/training for Open Science.</w:t>
      </w:r>
    </w:p>
    <w:p>
      <w:pPr>
        <w:pStyle w:val="BodyText"/>
        <w:numPr>
          <w:ilvl w:val="0"/>
          <w:numId w:val="2"/>
        </w:numPr>
        <w:rPr/>
      </w:pPr>
      <w:r>
        <w:rPr/>
        <w:t>Assessment: The same applies for research assessment as 52% (12/23) of countries have a national policy (whereby 33% (4/12) are mandatory), 30% (7/23) have a financial strategy, and 14% (3/22) have a national monitoring on incentives/rewards for Open Science.</w:t>
      </w:r>
    </w:p>
    <w:p>
      <w:pPr>
        <w:pStyle w:val="BodyText"/>
        <w:numPr>
          <w:ilvl w:val="0"/>
          <w:numId w:val="2"/>
        </w:numPr>
        <w:rPr/>
      </w:pPr>
      <w:r>
        <w:rPr/>
        <w:t>Engagement: Countries are again moderately focused on engaging citizens in research as 50% (12/24) have a national policy (whereby 17% (2/12) are mandatory), 17% (4/24) have a financial strategy, and 13% (3/23) have a national monitoring on citizen science.</w:t>
      </w:r>
    </w:p>
    <w:p>
      <w:pPr>
        <w:pStyle w:val="BodyText"/>
        <w:numPr>
          <w:ilvl w:val="0"/>
          <w:numId w:val="2"/>
        </w:numPr>
        <w:rPr/>
      </w:pPr>
      <w:r>
        <w:rPr/>
        <w:t>Investments: The countries are making substantial financial investments as 4% (1/24) invested &gt;0 to 1 €M, 25% (6/24) invested &gt;1 to 5 €M, 25% (6/24) invested &gt;10 to 50 €M, and 8% (2/24) invested &gt;50 to 100 €M in EOSC and Open Science in 2023. When comparing the countries in terms of their researcher populations, we see that 8% (2/24) invested &gt;0 to 50 €K, 13% (3/24) invested &gt;50 to 100 €K, 25% (6/24) invested &gt;100 to 250 €K, 4% (1/24) invested &gt;250 to 500 €K, 8% (2/24) invested &gt;500 to 1000 €K, and 4% (1/24) invested &gt;1000 €K in EOSC and Open Science per 1000 FTE researchers.</w:t>
      </w:r>
    </w:p>
    <w:p>
      <w:pPr>
        <w:pStyle w:val="BodyText"/>
        <w:rPr/>
      </w:pPr>
      <w:r>
        <w:rPr/>
      </w:r>
    </w:p>
    <w:p>
      <w:pPr>
        <w:pStyle w:val="normal1"/>
        <w:numPr>
          <w:ilvl w:val="0"/>
          <w:numId w:val="1"/>
        </w:numPr>
        <w:rPr>
          <w:b/>
          <w:bCs/>
        </w:rPr>
      </w:pPr>
      <w:r>
        <w:rPr>
          <w:b/>
          <w:bCs/>
        </w:rPr>
        <w:t>Introduction</w:t>
      </w:r>
    </w:p>
    <w:p>
      <w:pPr>
        <w:pStyle w:val="normal1"/>
        <w:rPr/>
      </w:pPr>
      <w:r>
        <w:rPr/>
      </w:r>
    </w:p>
    <w:p>
      <w:pPr>
        <w:pStyle w:val="normal1"/>
        <w:rPr/>
      </w:pPr>
      <w:r>
        <w:rPr/>
        <w:t>This report oﬀers an Analysis of the Survey on National Contributions to EOSC and Open Science {</w:t>
      </w:r>
      <w:r>
        <w:rPr>
          <w:highlight w:val="yellow"/>
        </w:rPr>
        <w:t>Year}</w:t>
      </w:r>
      <w:r>
        <w:rPr/>
        <w:t xml:space="preserve">. The survey was developed by the EOSC Future project [1] and EOSC Steering Board (EOSC-SB) [2] to monitor policies, practices, and impacts related to EOSC and Open Science at national and institutional levels in Europe. The survey is targeted at the national members of EOSC-SB and runs annually, whereby a pilot survey was conducted in 2021 [3] and the first full survey was conducted in 2022 [4]. The results of each annual survey are archived in the EOSC Observatory Zenodo Community [5] and </w:t>
      </w:r>
      <w:r>
        <w:rPr/>
        <w:t xml:space="preserve">are </w:t>
      </w:r>
      <w:r>
        <w:rPr/>
        <w:t xml:space="preserve">exploitable in the EOSC Open Science Observatory [6], which was first developed in EOSC Future and continued in the EOSC Track project [7]. </w:t>
      </w:r>
    </w:p>
    <w:p>
      <w:pPr>
        <w:pStyle w:val="normal1"/>
        <w:rPr/>
      </w:pPr>
      <w:r>
        <w:rPr/>
      </w:r>
    </w:p>
    <w:p>
      <w:pPr>
        <w:pStyle w:val="normal1"/>
        <w:rPr/>
      </w:pPr>
      <w:r>
        <w:rPr/>
        <w:t>The survey for {</w:t>
      </w:r>
      <w:r>
        <w:rPr>
          <w:highlight w:val="yellow"/>
        </w:rPr>
        <w:t>Year}</w:t>
      </w:r>
      <w:r>
        <w:rPr/>
        <w:t xml:space="preserve"> is based on the revised version of the Monitoring Framework for National Contributions to EOSC [8], which consists of indicators for policies, practices, and impact across eight categories relevant for EOSC and Open Science, including publications, data, software, services, infrastructure, skills/training, assessment, and engagement as shown in Table 1. This report provides an analysis of responses related to two policy indicators of countries with a national policy and financial strategy, two practice indicators of countries with a national monitoring and investments, and one impact indicator on yearly progress in policies and practices. Each analysis is supported by graphs which focus on positive responses, whereby negative responses group countries which either responded negatively to a question or did not respond to a question.</w:t>
      </w:r>
    </w:p>
    <w:p>
      <w:pPr>
        <w:pStyle w:val="normal1"/>
        <w:rPr/>
      </w:pPr>
      <w:r>
        <w:rPr/>
      </w:r>
    </w:p>
    <w:tbl>
      <w:tblPr>
        <w:tblStyle w:val="TableNormal0"/>
        <w:tblW w:w="9629" w:type="dxa"/>
        <w:jc w:val="left"/>
        <w:tblInd w:w="0" w:type="dxa"/>
        <w:tblLayout w:type="fixed"/>
        <w:tblCellMar>
          <w:top w:w="0" w:type="dxa"/>
          <w:left w:w="108" w:type="dxa"/>
          <w:bottom w:w="0" w:type="dxa"/>
          <w:right w:w="108" w:type="dxa"/>
        </w:tblCellMar>
        <w:tblLook w:noHBand="1" w:noVBand="1" w:firstColumn="0" w:lastRow="0" w:lastColumn="0" w:firstRow="0" w:val="0600"/>
      </w:tblPr>
      <w:tblGrid>
        <w:gridCol w:w="1903"/>
        <w:gridCol w:w="2579"/>
        <w:gridCol w:w="2577"/>
        <w:gridCol w:w="2570"/>
      </w:tblGrid>
      <w:tr>
        <w:trPr>
          <w:trHeight w:val="504" w:hRule="atLeast"/>
        </w:trPr>
        <w:tc>
          <w:tcPr>
            <w:tcW w:w="1903" w:type="dxa"/>
            <w:tcBorders/>
            <w:vAlign w:val="center"/>
          </w:tcPr>
          <w:p>
            <w:pPr>
              <w:pStyle w:val="normal1"/>
              <w:widowControl/>
              <w:suppressAutoHyphens w:val="true"/>
              <w:spacing w:before="0" w:after="120"/>
              <w:jc w:val="center"/>
              <w:rPr>
                <w:rFonts w:ascii="Open Sans" w:hAnsi="Open Sans" w:eastAsia="Open Sans" w:cs="Open Sans"/>
                <w:sz w:val="20"/>
                <w:szCs w:val="20"/>
              </w:rPr>
            </w:pPr>
            <w:r>
              <w:rPr>
                <w:rFonts w:eastAsia="Open Sans" w:cs="Open Sans" w:ascii="Open Sans" w:hAnsi="Open Sans"/>
                <w:sz w:val="20"/>
                <w:szCs w:val="20"/>
              </w:rPr>
            </w:r>
          </w:p>
        </w:tc>
        <w:tc>
          <w:tcPr>
            <w:tcW w:w="2579" w:type="dxa"/>
            <w:tcBorders/>
            <w:shd w:color="auto" w:fill="31849B" w:val="clear"/>
            <w:vAlign w:val="bottom"/>
          </w:tcPr>
          <w:p>
            <w:pPr>
              <w:pStyle w:val="normal1"/>
              <w:widowControl/>
              <w:suppressAutoHyphens w:val="true"/>
              <w:spacing w:before="0" w:after="63"/>
              <w:jc w:val="center"/>
              <w:rPr/>
            </w:pPr>
            <w:r>
              <w:rPr>
                <w:rFonts w:eastAsia="Open Sans" w:cs="Open Sans" w:ascii="Open Sans" w:hAnsi="Open Sans"/>
                <w:b/>
                <w:color w:val="FFFFFF"/>
                <w:kern w:val="0"/>
                <w:sz w:val="20"/>
                <w:szCs w:val="20"/>
                <w:lang w:val="nl-NL" w:eastAsia="zh-CN" w:bidi="hi-IN"/>
              </w:rPr>
              <w:t>Policies</w:t>
            </w:r>
          </w:p>
        </w:tc>
        <w:tc>
          <w:tcPr>
            <w:tcW w:w="2577" w:type="dxa"/>
            <w:tcBorders/>
            <w:shd w:color="auto" w:fill="31849B" w:val="clear"/>
            <w:vAlign w:val="bottom"/>
          </w:tcPr>
          <w:p>
            <w:pPr>
              <w:pStyle w:val="normal1"/>
              <w:widowControl/>
              <w:suppressAutoHyphens w:val="true"/>
              <w:spacing w:before="0" w:after="63"/>
              <w:jc w:val="center"/>
              <w:rPr/>
            </w:pPr>
            <w:r>
              <w:rPr>
                <w:rFonts w:eastAsia="Open Sans" w:cs="Open Sans" w:ascii="Open Sans" w:hAnsi="Open Sans"/>
                <w:b/>
                <w:color w:val="FFFFFF"/>
                <w:kern w:val="0"/>
                <w:sz w:val="20"/>
                <w:szCs w:val="20"/>
                <w:lang w:val="nl-NL" w:eastAsia="zh-CN" w:bidi="hi-IN"/>
              </w:rPr>
              <w:t>Practices</w:t>
            </w:r>
          </w:p>
        </w:tc>
        <w:tc>
          <w:tcPr>
            <w:tcW w:w="2570" w:type="dxa"/>
            <w:tcBorders/>
            <w:shd w:color="auto" w:fill="31849B" w:val="clear"/>
            <w:vAlign w:val="bottom"/>
          </w:tcPr>
          <w:p>
            <w:pPr>
              <w:pStyle w:val="normal1"/>
              <w:widowControl/>
              <w:suppressAutoHyphens w:val="true"/>
              <w:spacing w:before="0" w:after="63"/>
              <w:jc w:val="center"/>
              <w:rPr/>
            </w:pPr>
            <w:r>
              <w:rPr>
                <w:rFonts w:eastAsia="Open Sans" w:cs="Open Sans" w:ascii="Open Sans" w:hAnsi="Open Sans"/>
                <w:b/>
                <w:color w:val="FFFFFF"/>
                <w:kern w:val="0"/>
                <w:sz w:val="20"/>
                <w:szCs w:val="20"/>
                <w:lang w:val="nl-NL" w:eastAsia="zh-CN" w:bidi="hi-IN"/>
              </w:rPr>
              <w:t>Impacts</w:t>
            </w:r>
          </w:p>
        </w:tc>
      </w:tr>
      <w:tr>
        <w:trPr>
          <w:trHeight w:val="432" w:hRule="atLeast"/>
        </w:trPr>
        <w:tc>
          <w:tcPr>
            <w:tcW w:w="1903" w:type="dxa"/>
            <w:vMerge w:val="restart"/>
            <w:tcBorders/>
            <w:shd w:color="auto" w:fill="31849B" w:val="clear"/>
            <w:vAlign w:val="center"/>
          </w:tcPr>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Publications</w:t>
            </w:r>
          </w:p>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Data</w:t>
            </w:r>
          </w:p>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Software</w:t>
            </w:r>
          </w:p>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Services</w:t>
            </w:r>
          </w:p>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Infrastructure</w:t>
            </w:r>
          </w:p>
          <w:p>
            <w:pPr>
              <w:pStyle w:val="normal1"/>
              <w:widowControl/>
              <w:suppressAutoHyphens w:val="true"/>
              <w:spacing w:before="114" w:after="114"/>
              <w:jc w:val="both"/>
              <w:rPr/>
            </w:pPr>
            <w:r>
              <w:rPr>
                <w:rFonts w:eastAsia="Open Sans" w:cs="Open Sans" w:ascii="Open Sans" w:hAnsi="Open Sans"/>
                <w:b/>
                <w:color w:val="FFFFFF"/>
                <w:kern w:val="0"/>
                <w:sz w:val="20"/>
                <w:szCs w:val="20"/>
                <w:lang w:val="nl-NL" w:eastAsia="zh-CN" w:bidi="hi-IN"/>
              </w:rPr>
              <w:t>Skills/Training</w:t>
            </w:r>
          </w:p>
          <w:p>
            <w:pPr>
              <w:pStyle w:val="normal1"/>
              <w:widowControl/>
              <w:suppressAutoHyphens w:val="true"/>
              <w:spacing w:before="114" w:after="114"/>
              <w:jc w:val="both"/>
              <w:rPr>
                <w:rFonts w:ascii="Open Sans" w:hAnsi="Open Sans" w:eastAsia="Open Sans" w:cs="Open Sans"/>
                <w:b/>
                <w:color w:val="FFFFFF"/>
                <w:kern w:val="0"/>
                <w:sz w:val="20"/>
                <w:szCs w:val="20"/>
                <w:lang w:val="nl-NL" w:eastAsia="zh-CN" w:bidi="hi-IN"/>
              </w:rPr>
            </w:pPr>
            <w:r>
              <w:rPr>
                <w:rFonts w:eastAsia="Open Sans" w:cs="Open Sans" w:ascii="Open Sans" w:hAnsi="Open Sans"/>
                <w:b/>
                <w:color w:val="FFFFFF"/>
                <w:kern w:val="0"/>
                <w:sz w:val="20"/>
                <w:szCs w:val="20"/>
                <w:lang w:val="nl-NL" w:eastAsia="zh-CN" w:bidi="hi-IN"/>
              </w:rPr>
              <w:t>Assessment</w:t>
            </w:r>
          </w:p>
          <w:p>
            <w:pPr>
              <w:pStyle w:val="normal1"/>
              <w:widowControl/>
              <w:suppressAutoHyphens w:val="true"/>
              <w:spacing w:before="114" w:after="114"/>
              <w:jc w:val="both"/>
              <w:rPr>
                <w:rFonts w:ascii="Open Sans" w:hAnsi="Open Sans" w:eastAsia="Open Sans" w:cs="Open Sans"/>
                <w:b/>
                <w:color w:val="FFFFFF"/>
                <w:kern w:val="0"/>
                <w:sz w:val="20"/>
                <w:szCs w:val="20"/>
                <w:lang w:val="nl-NL" w:eastAsia="zh-CN" w:bidi="hi-IN"/>
              </w:rPr>
            </w:pPr>
            <w:r>
              <w:rPr>
                <w:rFonts w:eastAsia="Open Sans" w:cs="Open Sans" w:ascii="Open Sans" w:hAnsi="Open Sans"/>
                <w:b/>
                <w:color w:val="FFFFFF"/>
                <w:kern w:val="0"/>
                <w:sz w:val="20"/>
                <w:szCs w:val="20"/>
                <w:lang w:val="nl-NL" w:eastAsia="zh-CN" w:bidi="hi-IN"/>
              </w:rPr>
              <w:t>Engagement</w:t>
            </w:r>
          </w:p>
        </w:tc>
        <w:tc>
          <w:tcPr>
            <w:tcW w:w="2579"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Countries with a National Policy</w:t>
            </w:r>
          </w:p>
        </w:tc>
        <w:tc>
          <w:tcPr>
            <w:tcW w:w="2577"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Countries with National Monitoring</w:t>
            </w:r>
          </w:p>
        </w:tc>
        <w:tc>
          <w:tcPr>
            <w:tcW w:w="2570"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Impact Stories</w:t>
            </w:r>
          </w:p>
        </w:tc>
      </w:tr>
      <w:tr>
        <w:trPr>
          <w:trHeight w:val="352" w:hRule="atLeas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7"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0"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r>
      <w:tr>
        <w:trPr>
          <w:trHeight w:val="432" w:hRule="atLeas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Countries with a Financial Strategy</w:t>
            </w:r>
          </w:p>
        </w:tc>
        <w:tc>
          <w:tcPr>
            <w:tcW w:w="2577"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Use Cases</w:t>
            </w:r>
          </w:p>
        </w:tc>
        <w:tc>
          <w:tcPr>
            <w:tcW w:w="2570"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Output Outcomes</w:t>
            </w:r>
          </w:p>
        </w:tc>
      </w:tr>
      <w:tr>
        <w:trPr>
          <w:trHeight w:val="597" w:hRule="atLeas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7"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0"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r>
      <w:tr>
        <w:trPr>
          <w:trHeight w:val="432" w:hRule="exac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RPOs with a Policy</w:t>
            </w:r>
          </w:p>
        </w:tc>
        <w:tc>
          <w:tcPr>
            <w:tcW w:w="2577"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Investments</w:t>
            </w:r>
          </w:p>
        </w:tc>
        <w:tc>
          <w:tcPr>
            <w:tcW w:w="2570"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Correlation between Country Indicators</w:t>
            </w:r>
          </w:p>
        </w:tc>
      </w:tr>
      <w:tr>
        <w:trPr>
          <w:trHeight w:val="514" w:hRule="atLeas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7"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0"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r>
      <w:tr>
        <w:trPr>
          <w:trHeight w:val="432" w:hRule="exac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sz w:val="20"/>
                <w:szCs w:val="20"/>
              </w:rPr>
            </w:pPr>
            <w:r>
              <w:rPr>
                <w:rFonts w:eastAsia="Open Sans" w:cs="Open Sans" w:ascii="Open Sans" w:hAnsi="Open Sans"/>
                <w:b/>
                <w:color w:val="FFFFFF"/>
                <w:sz w:val="20"/>
                <w:szCs w:val="20"/>
              </w:rPr>
            </w:r>
          </w:p>
        </w:tc>
        <w:tc>
          <w:tcPr>
            <w:tcW w:w="2579"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RFOs with a Policy</w:t>
            </w:r>
          </w:p>
        </w:tc>
        <w:tc>
          <w:tcPr>
            <w:tcW w:w="2577"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Country Outputs</w:t>
            </w:r>
          </w:p>
        </w:tc>
        <w:tc>
          <w:tcPr>
            <w:tcW w:w="2570" w:type="dxa"/>
            <w:vMerge w:val="restart"/>
            <w:tcBorders/>
            <w:shd w:color="auto" w:fill="B7DDE8" w:val="clear"/>
            <w:vAlign w:val="center"/>
          </w:tcPr>
          <w:p>
            <w:pPr>
              <w:pStyle w:val="normal1"/>
              <w:widowControl/>
              <w:suppressAutoHyphens w:val="true"/>
              <w:spacing w:before="0" w:after="0"/>
              <w:jc w:val="center"/>
              <w:rPr/>
            </w:pPr>
            <w:r>
              <w:rPr>
                <w:rFonts w:eastAsia="Open Sans" w:cs="Open Sans" w:ascii="Open Sans" w:hAnsi="Open Sans"/>
                <w:kern w:val="0"/>
                <w:sz w:val="20"/>
                <w:szCs w:val="20"/>
                <w:lang w:val="nl-NL" w:eastAsia="zh-CN" w:bidi="hi-IN"/>
              </w:rPr>
              <w:t>Yearly Progress in Country Indicators</w:t>
            </w:r>
          </w:p>
        </w:tc>
      </w:tr>
      <w:tr>
        <w:trPr>
          <w:trHeight w:val="390" w:hRule="atLeast"/>
        </w:trPr>
        <w:tc>
          <w:tcPr>
            <w:tcW w:w="1903" w:type="dxa"/>
            <w:vMerge w:val="continue"/>
            <w:tcBorders/>
            <w:shd w:color="auto" w:fill="31849B" w:val="clear"/>
            <w:vAlign w:val="center"/>
          </w:tcPr>
          <w:p>
            <w:pPr>
              <w:pStyle w:val="normal1"/>
              <w:widowControl/>
              <w:suppressAutoHyphens w:val="true"/>
              <w:spacing w:lineRule="auto" w:line="240" w:before="0" w:after="0"/>
              <w:jc w:val="left"/>
              <w:rPr>
                <w:rFonts w:ascii="Open Sans" w:hAnsi="Open Sans" w:eastAsia="Open Sans" w:cs="Open Sans"/>
                <w:b/>
                <w:color w:val="FFFFFF"/>
              </w:rPr>
            </w:pPr>
            <w:r>
              <w:rPr>
                <w:rFonts w:eastAsia="Open Sans" w:cs="Open Sans" w:ascii="Open Sans" w:hAnsi="Open Sans"/>
                <w:b/>
                <w:color w:val="FFFFFF"/>
              </w:rPr>
            </w:r>
          </w:p>
        </w:tc>
        <w:tc>
          <w:tcPr>
            <w:tcW w:w="2579"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7"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c>
          <w:tcPr>
            <w:tcW w:w="2570" w:type="dxa"/>
            <w:vMerge w:val="continue"/>
            <w:tcBorders/>
            <w:shd w:color="auto" w:fill="B7DDE8" w:val="clear"/>
            <w:vAlign w:val="center"/>
          </w:tcPr>
          <w:p>
            <w:pPr>
              <w:pStyle w:val="normal1"/>
              <w:widowControl w:val="false"/>
              <w:suppressAutoHyphens w:val="true"/>
              <w:spacing w:before="0" w:after="0"/>
              <w:jc w:val="left"/>
              <w:rPr>
                <w:rFonts w:ascii="Open Sans" w:hAnsi="Open Sans" w:eastAsia="Open Sans" w:cs="Open Sans"/>
                <w:b/>
                <w:color w:val="FFFFFF"/>
              </w:rPr>
            </w:pPr>
            <w:r>
              <w:rPr>
                <w:rFonts w:eastAsia="Open Sans" w:cs="Open Sans" w:ascii="Open Sans" w:hAnsi="Open Sans"/>
                <w:b/>
                <w:color w:val="FFFFFF"/>
              </w:rPr>
            </w:r>
          </w:p>
        </w:tc>
      </w:tr>
    </w:tbl>
    <w:p>
      <w:pPr>
        <w:pStyle w:val="normal1"/>
        <w:jc w:val="center"/>
        <w:rPr/>
      </w:pPr>
      <w:r>
        <w:rPr/>
      </w:r>
    </w:p>
    <w:p>
      <w:pPr>
        <w:pStyle w:val="normal1"/>
        <w:jc w:val="center"/>
        <w:rPr>
          <w:b/>
          <w:i/>
        </w:rPr>
      </w:pPr>
      <w:r>
        <w:rPr>
          <w:i/>
        </w:rPr>
        <w:t>Table 1: Monitoring Framework for National Contributions to EOSC</w:t>
      </w:r>
    </w:p>
    <w:p>
      <w:pPr>
        <w:pStyle w:val="normal1"/>
        <w:rPr/>
      </w:pPr>
      <w:r>
        <w:rPr/>
      </w:r>
    </w:p>
    <w:p>
      <w:pPr>
        <w:pStyle w:val="normal1"/>
        <w:rPr/>
      </w:pPr>
      <w:r>
        <w:rPr/>
        <w:t>Survey {</w:t>
      </w:r>
      <w:r>
        <w:rPr>
          <w:highlight w:val="yellow"/>
        </w:rPr>
        <w:t>Year}</w:t>
      </w:r>
      <w:r>
        <w:rPr/>
        <w:t xml:space="preserve"> </w:t>
      </w:r>
      <w:r>
        <w:rPr>
          <w:highlight w:val="yellow"/>
        </w:rPr>
        <w:t>[9]</w:t>
      </w:r>
      <w:r>
        <w:rPr/>
        <w:t xml:space="preserve"> was published in the EOSC Open Science Observatory on 21 February 2025 and ran until 29 August 2025, whereby 3</w:t>
      </w:r>
      <w:r>
        <w:rPr/>
        <w:t>2</w:t>
      </w:r>
      <w:r>
        <w:rPr/>
        <w:t xml:space="preserve"> countries responded, consisting of 2</w:t>
      </w:r>
      <w:r>
        <w:rPr/>
        <w:t>5</w:t>
      </w:r>
      <w:r>
        <w:rPr/>
        <w:t xml:space="preserve"> of the 27 European Union (EU) countries and 7 non-EU countries as shown in Tables 2 and 3. This report is based on  data collected from Survey {</w:t>
      </w:r>
      <w:r>
        <w:rPr>
          <w:highlight w:val="yellow"/>
        </w:rPr>
        <w:t>Year}</w:t>
      </w:r>
      <w:r>
        <w:rPr/>
        <w:t xml:space="preserve"> </w:t>
      </w:r>
      <w:r>
        <w:rPr>
          <w:highlight w:val="yellow"/>
        </w:rPr>
        <w:t>[10]</w:t>
      </w:r>
      <w:r>
        <w:rPr/>
        <w:t xml:space="preserve"> and focuses on the survey results for the 24 responding EU countries. It should be noted that only one response is accepted from Belgium, whereby an answer is marked positive if there is a policy, financial strategy, or national monitoring in at least one region or community or at the federal level, and whereby investments are calculated at the federal level. It should also be noted that all responses and investments from Germany are at the federal level.</w:t>
      </w:r>
    </w:p>
    <w:p>
      <w:pPr>
        <w:pStyle w:val="normal1"/>
        <w:jc w:val="center"/>
        <w:rPr/>
      </w:pPr>
      <w:r>
        <w:rPr/>
      </w:r>
    </w:p>
    <w:p>
      <w:pPr>
        <w:pStyle w:val="normal1"/>
        <w:jc w:val="center"/>
        <w:rPr>
          <w:i/>
        </w:rPr>
      </w:pPr>
      <w:r>
        <w:rPr>
          <w:highlight w:val="yellow"/>
        </w:rPr>
        <w:t>[TABLE 2]</w:t>
      </w:r>
    </w:p>
    <w:p>
      <w:pPr>
        <w:pStyle w:val="normal1"/>
        <w:jc w:val="center"/>
        <w:rPr/>
      </w:pPr>
      <w:r>
        <w:rPr/>
      </w:r>
    </w:p>
    <w:p>
      <w:pPr>
        <w:pStyle w:val="normal1"/>
        <w:jc w:val="center"/>
        <w:rPr>
          <w:b/>
          <w:i/>
        </w:rPr>
      </w:pPr>
      <w:r>
        <w:rPr>
          <w:i/>
        </w:rPr>
        <w:t>Table 2: EU Countries Responding to Survey 2022 to Survey {</w:t>
      </w:r>
      <w:r>
        <w:rPr>
          <w:highlight w:val="yellow"/>
        </w:rPr>
        <w:t>Year}</w:t>
      </w:r>
    </w:p>
    <w:p>
      <w:pPr>
        <w:pStyle w:val="normal1"/>
        <w:rPr/>
      </w:pPr>
      <w:r>
        <w:rPr/>
      </w:r>
    </w:p>
    <w:p>
      <w:pPr>
        <w:pStyle w:val="normal1"/>
        <w:jc w:val="center"/>
        <w:rPr>
          <w:i/>
        </w:rPr>
      </w:pPr>
      <w:r>
        <w:rPr>
          <w:highlight w:val="yellow"/>
        </w:rPr>
        <w:t>[TABLE 3]</w:t>
      </w:r>
    </w:p>
    <w:p>
      <w:pPr>
        <w:pStyle w:val="normal1"/>
        <w:jc w:val="center"/>
        <w:rPr/>
      </w:pPr>
      <w:r>
        <w:rPr/>
      </w:r>
    </w:p>
    <w:p>
      <w:pPr>
        <w:pStyle w:val="normal1"/>
        <w:jc w:val="center"/>
        <w:rPr>
          <w:b/>
          <w:i/>
        </w:rPr>
      </w:pPr>
      <w:r>
        <w:rPr>
          <w:i/>
        </w:rPr>
        <w:t>Table 3: Non-EU Countries Responding to Survey 2022 to Survey {</w:t>
      </w:r>
      <w:r>
        <w:rPr>
          <w:highlight w:val="yellow"/>
        </w:rPr>
        <w:t>Year}</w:t>
      </w:r>
    </w:p>
    <w:p>
      <w:pPr>
        <w:pStyle w:val="normal1"/>
        <w:rPr/>
      </w:pPr>
      <w:r>
        <w:rPr/>
      </w:r>
    </w:p>
    <w:p>
      <w:pPr>
        <w:pStyle w:val="Normal"/>
        <w:ind w:hanging="0" w:left="0" w:right="0"/>
        <w:rPr>
          <w:rFonts w:ascii="Arial;sans-serif" w:hAnsi="Arial;sans-serif"/>
          <w:b w:val="false"/>
          <w:i w:val="false"/>
          <w:caps w:val="false"/>
          <w:smallCaps w:val="false"/>
          <w:strike w:val="false"/>
          <w:dstrike w:val="false"/>
          <w:color w:val="000000"/>
          <w:sz w:val="22"/>
          <w:u w:val="none"/>
          <w:effect w:val="none"/>
          <w:shd w:fill="auto" w:val="clear"/>
        </w:rPr>
      </w:pPr>
      <w:bookmarkStart w:id="1" w:name="docs-internal-guid-f908ad3e-7fff-cc7c-f4"/>
      <w:bookmarkEnd w:id="1"/>
      <w:r>
        <w:rPr>
          <w:rFonts w:ascii="Arial;sans-serif" w:hAnsi="Arial;sans-serif"/>
          <w:b w:val="false"/>
          <w:i w:val="false"/>
          <w:caps w:val="false"/>
          <w:smallCaps w:val="false"/>
          <w:strike w:val="false"/>
          <w:dstrike w:val="false"/>
          <w:color w:val="000000"/>
          <w:sz w:val="22"/>
          <w:u w:val="none"/>
          <w:effect w:val="none"/>
          <w:shd w:fill="auto" w:val="clear"/>
        </w:rPr>
        <w:t xml:space="preserve">This report has been automatically generated based on a scripted template integrating the survey data and has been checked and revised by the authors. It should be noted that questions on Offering Services through EOSC and Connecting Repositories to EOSC in the survey have been paused due to the launch of the EOSC Federation and evaluation of what these questions mean. </w:t>
      </w:r>
    </w:p>
    <w:p>
      <w:pPr>
        <w:pStyle w:val="normal1"/>
        <w:rPr/>
      </w:pPr>
      <w:r>
        <w:rPr/>
        <w:t xml:space="preserve">The report is structured around the categories relevant for EOSC and Open Science </w:t>
      </w:r>
      <w:bookmarkStart w:id="2" w:name="docs-internal-guid-4c99f215-7fff-49e5-58"/>
      <w:bookmarkEnd w:id="2"/>
      <w:r>
        <w:rPr>
          <w:rFonts w:ascii="Arial;sans-serif" w:hAnsi="Arial;sans-serif"/>
          <w:b w:val="false"/>
          <w:i w:val="false"/>
          <w:caps w:val="false"/>
          <w:smallCaps w:val="false"/>
          <w:strike w:val="false"/>
          <w:dstrike w:val="false"/>
          <w:color w:val="000000"/>
          <w:sz w:val="22"/>
          <w:u w:val="none"/>
          <w:effect w:val="none"/>
          <w:shd w:fill="auto" w:val="clear"/>
        </w:rPr>
        <w:t xml:space="preserve">excluding Services) </w:t>
      </w:r>
      <w:r>
        <w:rPr/>
        <w:t xml:space="preserve">and presents survey results for publications (Section 2), data (Section 3), software (Section 4), infrastructure (Section </w:t>
      </w:r>
      <w:r>
        <w:rPr/>
        <w:t>5</w:t>
      </w:r>
      <w:r>
        <w:rPr/>
        <w:t xml:space="preserve">), skills/training (Section </w:t>
      </w:r>
      <w:r>
        <w:rPr/>
        <w:t>6</w:t>
      </w:r>
      <w:r>
        <w:rPr/>
        <w:t xml:space="preserve">), assessment (Section </w:t>
      </w:r>
      <w:r>
        <w:rPr/>
        <w:t>7</w:t>
      </w:r>
      <w:r>
        <w:rPr/>
        <w:t xml:space="preserve">), and engagement (Section </w:t>
      </w:r>
      <w:r>
        <w:rPr/>
        <w:t>8</w:t>
      </w:r>
      <w:r>
        <w:rPr/>
        <w:t xml:space="preserve">) as well as total investments in EOSC and Open Science (Section </w:t>
      </w:r>
      <w:r>
        <w:rPr/>
        <w:t>9</w:t>
      </w:r>
      <w:r>
        <w:rPr/>
        <w:t>).</w:t>
      </w:r>
    </w:p>
    <w:p>
      <w:pPr>
        <w:pStyle w:val="normal1"/>
        <w:rPr/>
      </w:pPr>
      <w:r>
        <w:rPr/>
      </w:r>
    </w:p>
    <w:p>
      <w:pPr>
        <w:pStyle w:val="normal1"/>
        <w:numPr>
          <w:ilvl w:val="0"/>
          <w:numId w:val="1"/>
        </w:numPr>
        <w:rPr/>
      </w:pPr>
      <w:r>
        <w:rPr>
          <w:b/>
          <w:bCs/>
        </w:rPr>
        <w:t>Publication</w:t>
      </w:r>
    </w:p>
    <w:p>
      <w:pPr>
        <w:pStyle w:val="normal1"/>
        <w:rPr>
          <w:b/>
          <w:bCs/>
        </w:rPr>
      </w:pPr>
      <w:r>
        <w:rPr>
          <w:b/>
          <w:bCs/>
        </w:rPr>
      </w:r>
    </w:p>
    <w:p>
      <w:pPr>
        <w:pStyle w:val="normal1"/>
        <w:widowControl w:val="false"/>
        <w:numPr>
          <w:ilvl w:val="1"/>
          <w:numId w:val="1"/>
        </w:numPr>
        <w:spacing w:lineRule="auto" w:line="240"/>
        <w:rPr/>
      </w:pPr>
      <w:r>
        <w:rPr/>
        <w:t>Policies</w:t>
      </w:r>
    </w:p>
    <w:p>
      <w:pPr>
        <w:pStyle w:val="normal1"/>
        <w:widowControl w:val="false"/>
        <w:spacing w:lineRule="auto" w:line="240"/>
        <w:rPr/>
      </w:pPr>
      <w:r>
        <w:rPr/>
      </w:r>
    </w:p>
    <w:p>
      <w:pPr>
        <w:pStyle w:val="normal1"/>
        <w:widowControl w:val="false"/>
        <w:numPr>
          <w:ilvl w:val="2"/>
          <w:numId w:val="1"/>
        </w:numPr>
        <w:spacing w:lineRule="auto" w:line="240"/>
        <w:rPr/>
      </w:pPr>
      <w:r>
        <w:rPr/>
        <w:t>National Policies on Publications</w:t>
      </w:r>
    </w:p>
    <w:p>
      <w:pPr>
        <w:pStyle w:val="normal1"/>
        <w:widowControl w:val="false"/>
        <w:spacing w:lineRule="auto" w:line="240"/>
        <w:rPr/>
      </w:pPr>
      <w:r>
        <w:rPr/>
      </w:r>
    </w:p>
    <w:p>
      <w:pPr>
        <w:pStyle w:val="normal1"/>
        <w:widowControl w:val="false"/>
        <w:spacing w:lineRule="auto" w:line="240"/>
        <w:rPr/>
      </w:pPr>
      <w:r>
        <w:rPr/>
        <w:t>The first main policy question on open access to publications in Survey {</w:t>
      </w:r>
      <w:r>
        <w:rPr>
          <w:highlight w:val="yellow"/>
        </w:rPr>
        <w:t>Year}</w:t>
      </w:r>
      <w:r>
        <w:rPr/>
        <w:t xml:space="preserve"> is </w:t>
      </w:r>
      <w:r>
        <w:rPr>
          <w:i/>
        </w:rPr>
        <w:t>Does your country have a national policy on open access to publications?</w:t>
      </w:r>
      <w:r>
        <w:rPr/>
        <w:t xml:space="preserve"> (Q1) followed by </w:t>
      </w:r>
      <w:r>
        <w:rPr>
          <w:i/>
        </w:rPr>
        <w:t>Is this policy mandatory?</w:t>
      </w:r>
      <w:r>
        <w:rPr/>
        <w:t xml:space="preserve"> (Q1.1). A policy hereby refers to any policies, recommendations, regulations, or laws which are relevant for EOSC and Open Science, and which are applicable at national or regional levels. {</w:t>
      </w:r>
      <w:r>
        <w:rPr>
          <w:shd w:fill="FFFF00" w:val="clear"/>
        </w:rPr>
        <w:t>Question6</w:t>
      </w:r>
      <w:r>
        <w:rPr/>
        <w:t>} of responding EU countries have a national policy on open access to publications, whereby {</w:t>
      </w:r>
      <w:r>
        <w:rPr>
          <w:shd w:fill="FFFF00" w:val="clear"/>
        </w:rPr>
        <w:t>Question6.1</w:t>
      </w:r>
      <w:r>
        <w:rPr/>
        <w:t>} are mandatory as shown in Figures 1 and 2.</w:t>
      </w:r>
    </w:p>
    <w:p>
      <w:pPr>
        <w:pStyle w:val="normal1"/>
        <w:widowControl w:val="false"/>
        <w:spacing w:lineRule="auto" w:line="240"/>
        <w:rPr/>
      </w:pPr>
      <w:r>
        <w:rPr/>
      </w:r>
    </w:p>
    <w:p>
      <w:pPr>
        <w:pStyle w:val="normal1"/>
        <w:jc w:val="center"/>
        <w:rPr>
          <w:i/>
        </w:rPr>
      </w:pPr>
      <w:r>
        <w:rPr>
          <w:highlight w:val="yellow"/>
        </w:rPr>
        <w:t>{%chartImage1}</w:t>
      </w:r>
    </w:p>
    <w:p>
      <w:pPr>
        <w:pStyle w:val="normal1"/>
        <w:jc w:val="center"/>
        <w:rPr/>
      </w:pPr>
      <w:r>
        <w:rPr/>
      </w:r>
    </w:p>
    <w:p>
      <w:pPr>
        <w:pStyle w:val="normal1"/>
        <w:jc w:val="center"/>
        <w:rPr>
          <w:i/>
        </w:rPr>
      </w:pPr>
      <w:r>
        <w:rPr>
          <w:i/>
        </w:rPr>
        <w:t>Figure 1: Map of EU Countries with a National Policy on Open Access to Publications</w:t>
      </w:r>
    </w:p>
    <w:p>
      <w:pPr>
        <w:pStyle w:val="normal1"/>
        <w:widowControl w:val="false"/>
        <w:spacing w:lineRule="auto" w:line="240"/>
        <w:rPr/>
      </w:pPr>
      <w:r>
        <w:rPr/>
      </w:r>
    </w:p>
    <w:p>
      <w:pPr>
        <w:pStyle w:val="normal1"/>
        <w:jc w:val="center"/>
        <w:rPr>
          <w:i/>
        </w:rPr>
      </w:pPr>
      <w:r>
        <w:rPr>
          <w:highlight w:val="yellow"/>
        </w:rPr>
        <w:t>{%pieChartImage_0_0}</w:t>
      </w:r>
    </w:p>
    <w:p>
      <w:pPr>
        <w:pStyle w:val="normal1"/>
        <w:jc w:val="center"/>
        <w:rPr>
          <w:i/>
        </w:rPr>
      </w:pPr>
      <w:r>
        <w:rPr>
          <w:highlight w:val="yellow"/>
        </w:rPr>
        <w:t>{%pieChartImage_0_1}</w:t>
      </w:r>
    </w:p>
    <w:p>
      <w:pPr>
        <w:pStyle w:val="normal1"/>
        <w:jc w:val="center"/>
        <w:rPr/>
      </w:pPr>
      <w:r>
        <w:rPr/>
      </w:r>
    </w:p>
    <w:p>
      <w:pPr>
        <w:pStyle w:val="normal1"/>
        <w:jc w:val="center"/>
        <w:rPr/>
      </w:pPr>
      <w:r>
        <w:rPr>
          <w:i/>
        </w:rPr>
        <w:t>Figure 2: Share of EU Countries with a National Policy on Open Access to Publications</w:t>
      </w:r>
    </w:p>
    <w:p>
      <w:pPr>
        <w:pStyle w:val="normal1"/>
        <w:widowControl w:val="false"/>
        <w:spacing w:lineRule="auto" w:line="240"/>
        <w:rPr/>
      </w:pPr>
      <w:r>
        <w:rPr/>
      </w:r>
    </w:p>
    <w:p>
      <w:pPr>
        <w:pStyle w:val="normal1"/>
        <w:widowControl w:val="false"/>
        <w:spacing w:lineRule="auto" w:line="240"/>
        <w:rPr/>
      </w:pPr>
      <w:r>
        <w:rPr/>
        <w:t xml:space="preserve">One sub-question related to having a national policy on open access to publications is </w:t>
      </w:r>
      <w:r>
        <w:rPr>
          <w:i/>
        </w:rPr>
        <w:t>Is there a specific policy on immediate open access to publications?</w:t>
      </w:r>
      <w:r>
        <w:rPr/>
        <w:t xml:space="preserve"> (Q1.3) followed by </w:t>
      </w:r>
      <w:r>
        <w:rPr>
          <w:i/>
        </w:rPr>
        <w:t>Is this policy mandatory?</w:t>
      </w:r>
      <w:r>
        <w:rPr/>
        <w:t xml:space="preserve"> (Q1.3.1). {</w:t>
      </w:r>
      <w:r>
        <w:rPr>
          <w:shd w:fill="FFFF00" w:val="clear"/>
        </w:rPr>
        <w:t>Question6.3</w:t>
      </w:r>
      <w:r>
        <w:rPr/>
        <w:t>} of responding EU countries have a specific policy on immediate open access to publications, whereby {</w:t>
      </w:r>
      <w:r>
        <w:rPr>
          <w:shd w:fill="FFFF00" w:val="clear"/>
        </w:rPr>
        <w:t>Question6.3.1</w:t>
      </w:r>
      <w:r>
        <w:rPr/>
        <w:t>} of those policies are mandatory as shown in Figures 3 and 4.</w:t>
      </w:r>
    </w:p>
    <w:p>
      <w:pPr>
        <w:pStyle w:val="normal1"/>
        <w:widowControl w:val="false"/>
        <w:spacing w:lineRule="auto" w:line="240"/>
        <w:rPr/>
      </w:pPr>
      <w:r>
        <w:rPr/>
      </w:r>
    </w:p>
    <w:p>
      <w:pPr>
        <w:pStyle w:val="normal1"/>
        <w:jc w:val="center"/>
        <w:rPr>
          <w:i/>
        </w:rPr>
      </w:pPr>
      <w:r>
        <w:rPr>
          <w:highlight w:val="yellow"/>
        </w:rPr>
        <w:t>{%chartImage2}</w:t>
      </w:r>
    </w:p>
    <w:p>
      <w:pPr>
        <w:pStyle w:val="normal1"/>
        <w:jc w:val="center"/>
        <w:rPr/>
      </w:pPr>
      <w:r>
        <w:rPr/>
      </w:r>
    </w:p>
    <w:p>
      <w:pPr>
        <w:pStyle w:val="normal1"/>
        <w:jc w:val="center"/>
        <w:rPr/>
      </w:pPr>
      <w:r>
        <w:rPr>
          <w:i/>
        </w:rPr>
        <w:t>Figure 3: Map of EU Countries with a Specific Policy on Immediate Open Access to Publications</w:t>
      </w:r>
    </w:p>
    <w:p>
      <w:pPr>
        <w:pStyle w:val="normal1"/>
        <w:widowControl w:val="false"/>
        <w:spacing w:lineRule="auto" w:line="240"/>
        <w:rPr/>
      </w:pPr>
      <w:r>
        <w:rPr/>
      </w:r>
    </w:p>
    <w:p>
      <w:pPr>
        <w:pStyle w:val="normal1"/>
        <w:jc w:val="center"/>
        <w:rPr>
          <w:i/>
        </w:rPr>
      </w:pPr>
      <w:r>
        <w:rPr>
          <w:highlight w:val="yellow"/>
        </w:rPr>
        <w:t>{%pieChartImage_1_0}</w:t>
      </w:r>
    </w:p>
    <w:p>
      <w:pPr>
        <w:pStyle w:val="normal1"/>
        <w:jc w:val="center"/>
        <w:rPr>
          <w:i/>
        </w:rPr>
      </w:pPr>
      <w:r>
        <w:rPr>
          <w:highlight w:val="yellow"/>
        </w:rPr>
        <w:t>{%pieChartImage_1_1}</w:t>
      </w:r>
    </w:p>
    <w:p>
      <w:pPr>
        <w:pStyle w:val="normal1"/>
        <w:jc w:val="center"/>
        <w:rPr/>
      </w:pPr>
      <w:r>
        <w:rPr/>
      </w:r>
    </w:p>
    <w:p>
      <w:pPr>
        <w:pStyle w:val="normal1"/>
        <w:jc w:val="center"/>
        <w:rPr/>
      </w:pPr>
      <w:r>
        <w:rPr>
          <w:i/>
        </w:rPr>
        <w:t>Figure 4: Share of EU Countries with a Specific Policy on Immediate Open Access to Publications</w:t>
      </w:r>
    </w:p>
    <w:p>
      <w:pPr>
        <w:pStyle w:val="normal1"/>
        <w:widowControl w:val="false"/>
        <w:spacing w:lineRule="auto" w:line="240"/>
        <w:rPr/>
      </w:pPr>
      <w:r>
        <w:rPr/>
      </w:r>
    </w:p>
    <w:p>
      <w:pPr>
        <w:pStyle w:val="normal1"/>
        <w:widowControl w:val="false"/>
        <w:spacing w:lineRule="auto" w:line="240"/>
        <w:rPr/>
      </w:pPr>
      <w:r>
        <w:rPr/>
        <w:t xml:space="preserve">Another sub-question related to having a national policy on open access to publications is </w:t>
      </w:r>
      <w:r>
        <w:rPr>
          <w:i/>
        </w:rPr>
        <w:t xml:space="preserve">Is there a specific policy on retention of </w:t>
      </w:r>
      <w:r>
        <w:rPr>
          <w:i/>
          <w:iCs/>
        </w:rPr>
        <w:t>Intellectual Property Rights (IPR)</w:t>
      </w:r>
      <w:r>
        <w:rPr>
          <w:i/>
        </w:rPr>
        <w:t xml:space="preserve"> on publications?</w:t>
      </w:r>
      <w:r>
        <w:rPr/>
        <w:t xml:space="preserve"> (Q1.4) followed by </w:t>
      </w:r>
      <w:r>
        <w:rPr>
          <w:i/>
        </w:rPr>
        <w:t>Is this policy mandatory?</w:t>
      </w:r>
      <w:r>
        <w:rPr/>
        <w:t xml:space="preserve"> (Q1.4.1). {</w:t>
      </w:r>
      <w:r>
        <w:rPr>
          <w:shd w:fill="FFFF00" w:val="clear"/>
        </w:rPr>
        <w:t>Question6.4</w:t>
      </w:r>
      <w:r>
        <w:rPr/>
        <w:t>} of responding EU countries have a specific policy on retention of IPR on publications, whereby {</w:t>
      </w:r>
      <w:r>
        <w:rPr>
          <w:shd w:fill="FFFF00" w:val="clear"/>
        </w:rPr>
        <w:t>Question6.4.1</w:t>
      </w:r>
      <w:r>
        <w:rPr/>
        <w:t>} of those policies are mandatory as shown in Figures 5 and 6.</w:t>
      </w:r>
    </w:p>
    <w:p>
      <w:pPr>
        <w:pStyle w:val="normal1"/>
        <w:widowControl w:val="false"/>
        <w:spacing w:lineRule="auto" w:line="240"/>
        <w:rPr/>
      </w:pPr>
      <w:r>
        <w:rPr/>
      </w:r>
    </w:p>
    <w:p>
      <w:pPr>
        <w:pStyle w:val="normal1"/>
        <w:jc w:val="center"/>
        <w:rPr>
          <w:i/>
        </w:rPr>
      </w:pPr>
      <w:r>
        <w:rPr>
          <w:i/>
          <w:highlight w:val="yellow"/>
        </w:rPr>
        <w:t>{%chartImage3}</w:t>
      </w:r>
    </w:p>
    <w:p>
      <w:pPr>
        <w:pStyle w:val="normal1"/>
        <w:jc w:val="center"/>
        <w:rPr/>
      </w:pPr>
      <w:r>
        <w:rPr/>
      </w:r>
    </w:p>
    <w:p>
      <w:pPr>
        <w:pStyle w:val="normal1"/>
        <w:jc w:val="center"/>
        <w:rPr/>
      </w:pPr>
      <w:r>
        <w:rPr>
          <w:i/>
        </w:rPr>
        <w:t>Figure 5: Map of EU Countries with a Specific Policy on Retention of IPR on Publications</w:t>
      </w:r>
    </w:p>
    <w:p>
      <w:pPr>
        <w:pStyle w:val="normal1"/>
        <w:widowControl w:val="false"/>
        <w:spacing w:lineRule="auto" w:line="240"/>
        <w:rPr/>
      </w:pPr>
      <w:r>
        <w:rPr/>
      </w:r>
    </w:p>
    <w:p>
      <w:pPr>
        <w:pStyle w:val="normal1"/>
        <w:jc w:val="center"/>
        <w:rPr>
          <w:i/>
        </w:rPr>
      </w:pPr>
      <w:r>
        <w:rPr>
          <w:highlight w:val="yellow"/>
        </w:rPr>
        <w:t>{%pieChartImage_2_0}</w:t>
      </w:r>
    </w:p>
    <w:p>
      <w:pPr>
        <w:pStyle w:val="normal1"/>
        <w:jc w:val="center"/>
        <w:rPr>
          <w:i/>
        </w:rPr>
      </w:pPr>
      <w:r>
        <w:rPr>
          <w:i/>
          <w:highlight w:val="yellow"/>
        </w:rPr>
        <w:t>{%pieChartImage_2_1}</w:t>
      </w:r>
    </w:p>
    <w:p>
      <w:pPr>
        <w:pStyle w:val="normal1"/>
        <w:jc w:val="center"/>
        <w:rPr/>
      </w:pPr>
      <w:r>
        <w:rPr/>
      </w:r>
    </w:p>
    <w:p>
      <w:pPr>
        <w:pStyle w:val="normal1"/>
        <w:jc w:val="center"/>
        <w:rPr/>
      </w:pPr>
      <w:r>
        <w:rPr>
          <w:i/>
        </w:rPr>
        <w:t>Figure 6: Share of EU Countries with a Specific Policy on Retention of IPR on Publications</w:t>
      </w:r>
    </w:p>
    <w:p>
      <w:pPr>
        <w:pStyle w:val="normal1"/>
        <w:widowControl w:val="false"/>
        <w:spacing w:lineRule="auto" w:line="240"/>
        <w:rPr/>
      </w:pPr>
      <w:r>
        <w:rPr/>
      </w:r>
    </w:p>
    <w:p>
      <w:pPr>
        <w:pStyle w:val="normal1"/>
        <w:widowControl w:val="false"/>
        <w:spacing w:lineRule="auto" w:line="240"/>
        <w:rPr/>
      </w:pPr>
      <w:r>
        <w:rPr/>
        <w:t xml:space="preserve">A final sub-question related to having a national policy on open access to publications is </w:t>
      </w:r>
      <w:r>
        <w:rPr>
          <w:i/>
        </w:rPr>
        <w:t>Is there a specific policy on open licensing of publications?</w:t>
      </w:r>
      <w:r>
        <w:rPr/>
        <w:t xml:space="preserve"> (Q1.5) followed by </w:t>
      </w:r>
      <w:r>
        <w:rPr>
          <w:i/>
        </w:rPr>
        <w:t>Is this policy mandatory?</w:t>
      </w:r>
      <w:r>
        <w:rPr/>
        <w:t xml:space="preserve"> (Q1.5.1). {</w:t>
      </w:r>
      <w:r>
        <w:rPr>
          <w:shd w:fill="FFFF00" w:val="clear"/>
        </w:rPr>
        <w:t>Question6.5</w:t>
      </w:r>
      <w:r>
        <w:rPr/>
        <w:t>} of responding EU countries have a specific policy on open licensing of publications, whereby {</w:t>
      </w:r>
      <w:r>
        <w:rPr>
          <w:shd w:fill="FFFF00" w:val="clear"/>
        </w:rPr>
        <w:t>Question6.5.1</w:t>
      </w:r>
      <w:r>
        <w:rPr/>
        <w:t>} of those policies are mandatory as shown in Figures 7 and 8.</w:t>
      </w:r>
    </w:p>
    <w:p>
      <w:pPr>
        <w:pStyle w:val="normal1"/>
        <w:widowControl w:val="false"/>
        <w:spacing w:lineRule="auto" w:line="240"/>
        <w:rPr/>
      </w:pPr>
      <w:r>
        <w:rPr/>
      </w:r>
    </w:p>
    <w:p>
      <w:pPr>
        <w:pStyle w:val="normal1"/>
        <w:jc w:val="center"/>
        <w:rPr>
          <w:i/>
        </w:rPr>
      </w:pPr>
      <w:r>
        <w:rPr>
          <w:i/>
          <w:highlight w:val="yellow"/>
        </w:rPr>
        <w:t>{%chartImage4}</w:t>
      </w:r>
    </w:p>
    <w:p>
      <w:pPr>
        <w:pStyle w:val="normal1"/>
        <w:jc w:val="center"/>
        <w:rPr/>
      </w:pPr>
      <w:r>
        <w:rPr/>
      </w:r>
    </w:p>
    <w:p>
      <w:pPr>
        <w:pStyle w:val="normal1"/>
        <w:jc w:val="center"/>
        <w:rPr/>
      </w:pPr>
      <w:r>
        <w:rPr>
          <w:i/>
        </w:rPr>
        <w:t>Figure 7: Map of EU Countries with a Specific Policy on Open Licensing of Publications</w:t>
      </w:r>
    </w:p>
    <w:p>
      <w:pPr>
        <w:pStyle w:val="normal1"/>
        <w:widowControl w:val="false"/>
        <w:spacing w:lineRule="auto" w:line="240"/>
        <w:rPr/>
      </w:pPr>
      <w:r>
        <w:rPr/>
      </w:r>
    </w:p>
    <w:p>
      <w:pPr>
        <w:pStyle w:val="normal1"/>
        <w:jc w:val="center"/>
        <w:rPr>
          <w:i/>
        </w:rPr>
      </w:pPr>
      <w:r>
        <w:rPr>
          <w:highlight w:val="yellow"/>
        </w:rPr>
        <w:t>{%pieChartImage_3_0}</w:t>
      </w:r>
    </w:p>
    <w:p>
      <w:pPr>
        <w:pStyle w:val="normal1"/>
        <w:jc w:val="center"/>
        <w:rPr>
          <w:i/>
        </w:rPr>
      </w:pPr>
      <w:r>
        <w:rPr>
          <w:i/>
          <w:highlight w:val="yellow"/>
        </w:rPr>
        <w:t>{%pieChartImage_3_1}</w:t>
      </w:r>
    </w:p>
    <w:p>
      <w:pPr>
        <w:pStyle w:val="normal1"/>
        <w:jc w:val="center"/>
        <w:rPr/>
      </w:pPr>
      <w:r>
        <w:rPr/>
      </w:r>
    </w:p>
    <w:p>
      <w:pPr>
        <w:pStyle w:val="normal1"/>
        <w:jc w:val="center"/>
        <w:rPr/>
      </w:pPr>
      <w:r>
        <w:rPr>
          <w:i/>
        </w:rPr>
        <w:t>Figure 8: Share of EU Countries with a Specific Policy on Open Licensing of Publications</w:t>
      </w:r>
    </w:p>
    <w:p>
      <w:pPr>
        <w:pStyle w:val="normal1"/>
        <w:widowControl w:val="false"/>
        <w:spacing w:lineRule="auto" w:line="240"/>
        <w:rPr/>
      </w:pPr>
      <w:r>
        <w:rPr/>
      </w:r>
    </w:p>
    <w:p>
      <w:pPr>
        <w:pStyle w:val="normal1"/>
        <w:widowControl w:val="false"/>
        <w:numPr>
          <w:ilvl w:val="2"/>
          <w:numId w:val="1"/>
        </w:numPr>
        <w:spacing w:lineRule="auto" w:line="240"/>
        <w:rPr/>
      </w:pPr>
      <w:r>
        <w:rPr/>
        <w:t>Financial Strategy on Publications</w:t>
      </w:r>
    </w:p>
    <w:p>
      <w:pPr>
        <w:pStyle w:val="normal1"/>
        <w:widowControl w:val="false"/>
        <w:spacing w:lineRule="auto" w:line="240"/>
        <w:rPr/>
      </w:pPr>
      <w:r>
        <w:rPr/>
      </w:r>
    </w:p>
    <w:p>
      <w:pPr>
        <w:pStyle w:val="normal1"/>
        <w:widowControl w:val="false"/>
        <w:spacing w:lineRule="auto" w:line="240"/>
        <w:rPr/>
      </w:pPr>
      <w:r>
        <w:rPr/>
        <w:t>The second main policy question on open access to publications in Survey {</w:t>
      </w:r>
      <w:r>
        <w:rPr>
          <w:highlight w:val="yellow"/>
        </w:rPr>
        <w:t>Year}</w:t>
      </w:r>
      <w:r>
        <w:rPr/>
        <w:t xml:space="preserve"> is </w:t>
      </w:r>
      <w:r>
        <w:rPr>
          <w:i/>
        </w:rPr>
        <w:t>Does your country have a financial strategy on open access to publications?</w:t>
      </w:r>
      <w:r>
        <w:rPr/>
        <w:t xml:space="preserve"> (Q2). A financial strategy hereby refers to any self-standing strategy or strategy which is included in an overarching strategy at national or regional levels. {</w:t>
      </w:r>
      <w:r>
        <w:rPr>
          <w:shd w:fill="FFFF00" w:val="clear"/>
        </w:rPr>
        <w:t>Question7</w:t>
      </w:r>
      <w:r>
        <w:rPr/>
        <w:t>} of responding EU countries have a financial strategy on open access to publications as shown in Figures 9 and 10.</w:t>
      </w:r>
    </w:p>
    <w:p>
      <w:pPr>
        <w:pStyle w:val="normal1"/>
        <w:widowControl w:val="false"/>
        <w:spacing w:lineRule="auto" w:line="240"/>
        <w:rPr/>
      </w:pPr>
      <w:r>
        <w:rPr/>
      </w:r>
    </w:p>
    <w:p>
      <w:pPr>
        <w:pStyle w:val="normal1"/>
        <w:jc w:val="center"/>
        <w:rPr>
          <w:i/>
        </w:rPr>
      </w:pPr>
      <w:r>
        <w:rPr>
          <w:i/>
          <w:highlight w:val="yellow"/>
        </w:rPr>
        <w:t>{%chartImage5}</w:t>
      </w:r>
    </w:p>
    <w:p>
      <w:pPr>
        <w:pStyle w:val="normal1"/>
        <w:jc w:val="center"/>
        <w:rPr/>
      </w:pPr>
      <w:r>
        <w:rPr/>
      </w:r>
    </w:p>
    <w:p>
      <w:pPr>
        <w:pStyle w:val="normal1"/>
        <w:jc w:val="center"/>
        <w:rPr/>
      </w:pPr>
      <w:r>
        <w:rPr>
          <w:i/>
        </w:rPr>
        <w:t>Figure 9: Map of EU Countries with a Financial Strategy on Open Access to Publications</w:t>
      </w:r>
    </w:p>
    <w:p>
      <w:pPr>
        <w:pStyle w:val="normal1"/>
        <w:widowControl w:val="false"/>
        <w:spacing w:lineRule="auto" w:line="240"/>
        <w:rPr/>
      </w:pPr>
      <w:r>
        <w:rPr/>
      </w:r>
    </w:p>
    <w:p>
      <w:pPr>
        <w:pStyle w:val="normal1"/>
        <w:jc w:val="center"/>
        <w:rPr>
          <w:i/>
        </w:rPr>
      </w:pPr>
      <w:r>
        <w:rPr>
          <w:i/>
          <w:highlight w:val="yellow"/>
        </w:rPr>
        <w:t>{%pieChartImage_4_0}</w:t>
      </w:r>
    </w:p>
    <w:p>
      <w:pPr>
        <w:pStyle w:val="normal1"/>
        <w:jc w:val="center"/>
        <w:rPr/>
      </w:pPr>
      <w:r>
        <w:rPr/>
      </w:r>
    </w:p>
    <w:p>
      <w:pPr>
        <w:pStyle w:val="normal1"/>
        <w:jc w:val="center"/>
        <w:rPr/>
      </w:pPr>
      <w:r>
        <w:rPr>
          <w:i/>
        </w:rPr>
        <w:t xml:space="preserve">Figure 10: Share of EU Countries with a Financial Strategy on Open Access to Publications </w:t>
      </w:r>
    </w:p>
    <w:p>
      <w:pPr>
        <w:pStyle w:val="normal1"/>
        <w:widowControl w:val="false"/>
        <w:spacing w:lineRule="auto" w:line="240"/>
        <w:rPr/>
      </w:pPr>
      <w:r>
        <w:rPr/>
      </w:r>
    </w:p>
    <w:p>
      <w:pPr>
        <w:pStyle w:val="normal1"/>
        <w:widowControl w:val="false"/>
        <w:numPr>
          <w:ilvl w:val="1"/>
          <w:numId w:val="1"/>
        </w:numPr>
        <w:spacing w:lineRule="auto" w:line="240"/>
        <w:rPr/>
      </w:pPr>
      <w:r>
        <w:rPr/>
        <w:t>Practices</w:t>
      </w:r>
    </w:p>
    <w:p>
      <w:pPr>
        <w:pStyle w:val="normal1"/>
        <w:widowControl w:val="false"/>
        <w:spacing w:lineRule="auto" w:line="240"/>
        <w:rPr/>
      </w:pPr>
      <w:r>
        <w:rPr/>
      </w:r>
    </w:p>
    <w:p>
      <w:pPr>
        <w:pStyle w:val="normal1"/>
        <w:widowControl w:val="false"/>
        <w:numPr>
          <w:ilvl w:val="2"/>
          <w:numId w:val="1"/>
        </w:numPr>
        <w:spacing w:lineRule="auto" w:line="240"/>
        <w:rPr/>
      </w:pPr>
      <w:r>
        <w:rPr/>
        <w:t>National Monitoring on Publications</w:t>
      </w:r>
    </w:p>
    <w:p>
      <w:pPr>
        <w:pStyle w:val="normal1"/>
        <w:widowControl w:val="false"/>
        <w:spacing w:lineRule="auto" w:line="240"/>
        <w:rPr/>
      </w:pPr>
      <w:r>
        <w:rPr/>
      </w:r>
    </w:p>
    <w:p>
      <w:pPr>
        <w:pStyle w:val="normal1"/>
        <w:widowControl w:val="false"/>
        <w:spacing w:lineRule="auto" w:line="240"/>
        <w:rPr/>
      </w:pPr>
      <w:r>
        <w:rPr/>
        <w:t>The first main practice question on open access to publications in Survey {</w:t>
      </w:r>
      <w:r>
        <w:rPr>
          <w:highlight w:val="yellow"/>
        </w:rPr>
        <w:t>Year}</w:t>
      </w:r>
      <w:r>
        <w:rPr/>
        <w:t xml:space="preserve"> is </w:t>
      </w:r>
      <w:r>
        <w:rPr>
          <w:i/>
        </w:rPr>
        <w:t>Does your country have a national monitoring on open access to publications?</w:t>
      </w:r>
      <w:r>
        <w:rPr/>
        <w:t xml:space="preserve"> (Q49). National monitoring hereby refers to any monitoring of policies or practices at national or regional levels. {</w:t>
      </w:r>
      <w:r>
        <w:rPr>
          <w:highlight w:val="yellow"/>
        </w:rPr>
        <w:t>Question54}</w:t>
      </w:r>
      <w:r>
        <w:rPr/>
        <w:t xml:space="preserve"> of responding EU countries have a national monitoring on open access to publications as shown in Figures 11 and 12.</w:t>
      </w:r>
    </w:p>
    <w:p>
      <w:pPr>
        <w:pStyle w:val="normal1"/>
        <w:widowControl w:val="false"/>
        <w:spacing w:lineRule="auto" w:line="240"/>
        <w:rPr/>
      </w:pPr>
      <w:r>
        <w:rPr/>
      </w:r>
    </w:p>
    <w:p>
      <w:pPr>
        <w:pStyle w:val="normal1"/>
        <w:jc w:val="center"/>
        <w:rPr>
          <w:i/>
        </w:rPr>
      </w:pPr>
      <w:r>
        <w:rPr>
          <w:i/>
          <w:highlight w:val="yellow"/>
        </w:rPr>
        <w:t>{%chartImage6}</w:t>
      </w:r>
    </w:p>
    <w:p>
      <w:pPr>
        <w:pStyle w:val="normal1"/>
        <w:jc w:val="center"/>
        <w:rPr/>
      </w:pPr>
      <w:r>
        <w:rPr/>
      </w:r>
    </w:p>
    <w:p>
      <w:pPr>
        <w:pStyle w:val="normal1"/>
        <w:jc w:val="center"/>
        <w:rPr/>
      </w:pPr>
      <w:r>
        <w:rPr>
          <w:i/>
        </w:rPr>
        <w:t>Figure 11: Map of EU Countries with a National Monitoring on Open Access to Publications</w:t>
      </w:r>
    </w:p>
    <w:p>
      <w:pPr>
        <w:pStyle w:val="normal1"/>
        <w:widowControl w:val="false"/>
        <w:spacing w:lineRule="auto" w:line="240"/>
        <w:rPr/>
      </w:pPr>
      <w:r>
        <w:rPr/>
      </w:r>
    </w:p>
    <w:p>
      <w:pPr>
        <w:pStyle w:val="normal1"/>
        <w:jc w:val="center"/>
        <w:rPr>
          <w:i/>
        </w:rPr>
      </w:pPr>
      <w:r>
        <w:rPr>
          <w:i/>
          <w:highlight w:val="yellow"/>
        </w:rPr>
        <w:t>{%pieChartImage_5_0}</w:t>
      </w:r>
    </w:p>
    <w:p>
      <w:pPr>
        <w:pStyle w:val="normal1"/>
        <w:jc w:val="center"/>
        <w:rPr/>
      </w:pPr>
      <w:r>
        <w:rPr/>
      </w:r>
    </w:p>
    <w:p>
      <w:pPr>
        <w:pStyle w:val="normal1"/>
        <w:jc w:val="center"/>
        <w:rPr/>
      </w:pPr>
      <w:r>
        <w:rPr>
          <w:i/>
        </w:rPr>
        <w:t>Figure 12: Share of EU Countries with a National Monitoring on Open Access to Publications</w:t>
      </w:r>
    </w:p>
    <w:p>
      <w:pPr>
        <w:pStyle w:val="normal1"/>
        <w:widowControl w:val="false"/>
        <w:spacing w:lineRule="auto" w:line="240"/>
        <w:rPr/>
      </w:pPr>
      <w:r>
        <w:rPr/>
      </w:r>
    </w:p>
    <w:p>
      <w:pPr>
        <w:pStyle w:val="normal1"/>
        <w:widowControl w:val="false"/>
        <w:numPr>
          <w:ilvl w:val="2"/>
          <w:numId w:val="1"/>
        </w:numPr>
        <w:spacing w:lineRule="auto" w:line="240"/>
        <w:rPr/>
      </w:pPr>
      <w:r>
        <w:rPr/>
        <w:t>National Investments in Publications</w:t>
      </w:r>
    </w:p>
    <w:p>
      <w:pPr>
        <w:pStyle w:val="normal1"/>
        <w:widowControl w:val="false"/>
        <w:spacing w:lineRule="auto" w:line="240"/>
        <w:rPr/>
      </w:pPr>
      <w:r>
        <w:rPr/>
      </w:r>
    </w:p>
    <w:p>
      <w:pPr>
        <w:pStyle w:val="normal1"/>
        <w:widowControl w:val="false"/>
        <w:spacing w:lineRule="auto" w:line="240"/>
        <w:rPr/>
      </w:pPr>
      <w:r>
        <w:rPr/>
        <w:t>The second main practice question on open access to publications in Survey {</w:t>
      </w:r>
      <w:r>
        <w:rPr>
          <w:highlight w:val="yellow"/>
        </w:rPr>
        <w:t>Year}</w:t>
      </w:r>
      <w:r>
        <w:rPr/>
        <w:t xml:space="preserve"> is </w:t>
      </w:r>
      <w:r>
        <w:rPr>
          <w:i/>
        </w:rPr>
        <w:t>How much did your country financially invest in open access to publications in {</w:t>
      </w:r>
      <w:r>
        <w:rPr>
          <w:i/>
          <w:highlight w:val="yellow"/>
        </w:rPr>
        <w:t>Fisca</w:t>
      </w:r>
      <w:r>
        <w:rPr>
          <w:i/>
        </w:rPr>
        <w:t>lYear} in millions of Euros?</w:t>
      </w:r>
      <w:r>
        <w:rPr/>
        <w:t xml:space="preserve"> (Q51). {</w:t>
      </w:r>
      <w:r>
        <w:rPr>
          <w:highlight w:val="yellow"/>
        </w:rPr>
        <w:t>Question56[0]}</w:t>
      </w:r>
      <w:r>
        <w:rPr/>
        <w:t xml:space="preserve"> of responding EU countries are not investing or have not stated the number of investments in open access to publications. {</w:t>
      </w:r>
      <w:r>
        <w:rPr>
          <w:highlight w:val="yellow"/>
        </w:rPr>
        <w:t>Question56[1]}</w:t>
      </w:r>
      <w:r>
        <w:rPr/>
        <w:t xml:space="preserve"> of EU countries invested &gt;0 to 50 €K, {</w:t>
      </w:r>
      <w:r>
        <w:rPr>
          <w:highlight w:val="yellow"/>
        </w:rPr>
        <w:t>Question56[2]}</w:t>
      </w:r>
      <w:r>
        <w:rPr/>
        <w:t xml:space="preserve"> &gt;50 to 100 €K, {</w:t>
      </w:r>
      <w:r>
        <w:rPr>
          <w:highlight w:val="yellow"/>
        </w:rPr>
        <w:t>Question56[3]}</w:t>
      </w:r>
      <w:r>
        <w:rPr/>
        <w:t xml:space="preserve"> &gt;100 to 250 €K, {</w:t>
      </w:r>
      <w:r>
        <w:rPr>
          <w:highlight w:val="yellow"/>
        </w:rPr>
        <w:t>Question56[4]}</w:t>
      </w:r>
      <w:r>
        <w:rPr/>
        <w:t xml:space="preserve"> &gt;250 to 500 €K, {</w:t>
      </w:r>
      <w:r>
        <w:rPr>
          <w:highlight w:val="yellow"/>
        </w:rPr>
        <w:t>Question56[5]}</w:t>
      </w:r>
      <w:r>
        <w:rPr/>
        <w:t xml:space="preserve"> &gt;500 to 1000 €K, and {</w:t>
      </w:r>
      <w:r>
        <w:rPr>
          <w:shd w:fill="FFFF00" w:val="clear"/>
        </w:rPr>
        <w:t>Question56[6]</w:t>
      </w:r>
      <w:r>
        <w:rPr/>
        <w:t>} &gt;1000 €K per 1000 FTE researchers as shown in Figure 13.</w:t>
      </w:r>
      <w:r>
        <w:rPr/>
        <w:t xml:space="preserve"> The total amount invested by responding EU countries in open access to publications was €</w:t>
      </w:r>
      <w:r>
        <w:rPr>
          <w:highlight w:val="yellow"/>
        </w:rPr>
        <w:t>{Question56_invested}</w:t>
      </w:r>
      <w:r>
        <w:rPr/>
        <w:t xml:space="preserve"> million.</w:t>
      </w:r>
    </w:p>
    <w:p>
      <w:pPr>
        <w:pStyle w:val="normal1"/>
        <w:widowControl w:val="false"/>
        <w:spacing w:lineRule="auto" w:line="240"/>
        <w:rPr/>
      </w:pPr>
      <w:r>
        <w:rPr/>
      </w:r>
    </w:p>
    <w:p>
      <w:pPr>
        <w:pStyle w:val="normal1"/>
        <w:jc w:val="center"/>
        <w:rPr>
          <w:i/>
        </w:rPr>
      </w:pPr>
      <w:r>
        <w:rPr>
          <w:i/>
          <w:highlight w:val="yellow"/>
        </w:rPr>
        <w:t>{%chartImage7}</w:t>
      </w:r>
    </w:p>
    <w:p>
      <w:pPr>
        <w:pStyle w:val="normal1"/>
        <w:jc w:val="center"/>
        <w:rPr/>
      </w:pPr>
      <w:r>
        <w:rPr/>
      </w:r>
    </w:p>
    <w:p>
      <w:pPr>
        <w:pStyle w:val="normal1"/>
        <w:jc w:val="center"/>
        <w:rPr/>
      </w:pPr>
      <w:r>
        <w:rPr>
          <w:i/>
        </w:rPr>
        <w:t xml:space="preserve">Figure 13: </w:t>
      </w:r>
      <w:bookmarkStart w:id="3" w:name="__DdeLink__2403_2503287465"/>
      <w:r>
        <w:rPr>
          <w:i/>
        </w:rPr>
        <w:t>Number of EU Countries with National Investments in Open Access to Publications per 1000 FTE Researchers</w:t>
      </w:r>
      <w:bookmarkEnd w:id="3"/>
    </w:p>
    <w:p>
      <w:pPr>
        <w:pStyle w:val="normal1"/>
        <w:widowControl w:val="false"/>
        <w:spacing w:lineRule="auto" w:line="240"/>
        <w:rPr/>
      </w:pPr>
      <w:r>
        <w:rPr/>
      </w:r>
    </w:p>
    <w:p>
      <w:pPr>
        <w:pStyle w:val="normal1"/>
        <w:widowControl w:val="false"/>
        <w:numPr>
          <w:ilvl w:val="1"/>
          <w:numId w:val="1"/>
        </w:numPr>
        <w:spacing w:lineRule="auto" w:line="240"/>
        <w:rPr/>
      </w:pPr>
      <w:r>
        <w:rPr/>
        <w:t>Impacts</w:t>
      </w:r>
    </w:p>
    <w:p>
      <w:pPr>
        <w:pStyle w:val="normal1"/>
        <w:widowControl w:val="false"/>
        <w:spacing w:lineRule="auto" w:line="240"/>
        <w:rPr/>
      </w:pPr>
      <w:r>
        <w:rPr/>
      </w:r>
    </w:p>
    <w:p>
      <w:pPr>
        <w:pStyle w:val="normal1"/>
        <w:widowControl w:val="false"/>
        <w:numPr>
          <w:ilvl w:val="2"/>
          <w:numId w:val="1"/>
        </w:numPr>
        <w:spacing w:lineRule="auto" w:line="240"/>
        <w:rPr/>
      </w:pPr>
      <w:r>
        <w:rPr/>
        <w:t>Yearly Progress in Policies on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Question6[0]}</w:t>
      </w:r>
      <w:r>
        <w:rPr/>
        <w:t xml:space="preserve"> in national policies on open access to publications in EU countries in </w:t>
      </w:r>
      <w:r>
        <w:rPr>
          <w:shd w:fill="auto" w:val="clear"/>
        </w:rPr>
        <w:t>Survey {</w:t>
      </w:r>
      <w:r>
        <w:rPr>
          <w:highlight w:val="yellow"/>
        </w:rPr>
        <w:t>Year}</w:t>
      </w:r>
      <w:r>
        <w:rPr/>
        <w:t xml:space="preserve"> from the previous year and {</w:t>
      </w:r>
      <w:r>
        <w:rPr>
          <w:highlight w:val="yellow"/>
        </w:rPr>
        <w:t>Question6[1]}</w:t>
      </w:r>
      <w:r>
        <w:rPr/>
        <w:t xml:space="preserve"> since Survey 2022, whereby there is {</w:t>
      </w:r>
      <w:r>
        <w:rPr>
          <w:highlight w:val="yellow"/>
        </w:rPr>
        <w:t>Question6[2]}</w:t>
      </w:r>
      <w:r>
        <w:rPr/>
        <w:t xml:space="preserve"> in mandatory policies in </w:t>
      </w:r>
      <w:r>
        <w:rPr>
          <w:shd w:fill="auto" w:val="clear"/>
        </w:rPr>
        <w:t>Survey</w:t>
      </w:r>
      <w:r>
        <w:rPr/>
        <w:t xml:space="preserve"> {</w:t>
      </w:r>
      <w:r>
        <w:rPr>
          <w:shd w:fill="FFFF00" w:val="clear"/>
        </w:rPr>
        <w:t>Year</w:t>
      </w:r>
      <w:r>
        <w:rPr/>
        <w:t>} from the previous year and {</w:t>
      </w:r>
      <w:r>
        <w:rPr>
          <w:highlight w:val="yellow"/>
        </w:rPr>
        <w:t>Question6[3]}</w:t>
      </w:r>
      <w:r>
        <w:rPr/>
        <w:t xml:space="preserve"> since Survey 2022 as shown in Figure 14.</w:t>
      </w:r>
    </w:p>
    <w:p>
      <w:pPr>
        <w:pStyle w:val="normal1"/>
        <w:widowControl w:val="false"/>
        <w:spacing w:lineRule="auto" w:line="240"/>
        <w:rPr/>
      </w:pPr>
      <w:r>
        <w:rPr/>
      </w:r>
    </w:p>
    <w:p>
      <w:pPr>
        <w:pStyle w:val="normal1"/>
        <w:jc w:val="center"/>
        <w:rPr>
          <w:i/>
        </w:rPr>
      </w:pPr>
      <w:r>
        <w:rPr>
          <w:i/>
          <w:highlight w:val="yellow"/>
        </w:rPr>
        <w:t>{%chartImage8}</w:t>
      </w:r>
    </w:p>
    <w:p>
      <w:pPr>
        <w:pStyle w:val="normal1"/>
        <w:jc w:val="center"/>
        <w:rPr/>
      </w:pPr>
      <w:r>
        <w:rPr/>
      </w:r>
    </w:p>
    <w:p>
      <w:pPr>
        <w:pStyle w:val="normal1"/>
        <w:jc w:val="center"/>
        <w:rPr/>
      </w:pPr>
      <w:r>
        <w:rPr>
          <w:i/>
        </w:rPr>
        <w:t>Figure 14: Progress in EU Countries with a National Policy on Open Access to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Question6.3[0]}</w:t>
      </w:r>
      <w:r>
        <w:rPr/>
        <w:t xml:space="preserve"> in specific policies on immediate open access to publications in EU countries </w:t>
      </w:r>
      <w:r>
        <w:rPr>
          <w:shd w:fill="auto" w:val="clear"/>
        </w:rPr>
        <w:t>in Survey {</w:t>
      </w:r>
      <w:r>
        <w:rPr>
          <w:highlight w:val="yellow"/>
        </w:rPr>
        <w:t>Year}</w:t>
      </w:r>
      <w:r>
        <w:rPr/>
        <w:t xml:space="preserve"> from the previous year and {</w:t>
      </w:r>
      <w:r>
        <w:rPr>
          <w:highlight w:val="yellow"/>
        </w:rPr>
        <w:t>Question6.3[1]</w:t>
      </w:r>
      <w:r>
        <w:rPr/>
        <w:t>} since Survey 2022, whereby there is {</w:t>
      </w:r>
      <w:r>
        <w:rPr>
          <w:highlight w:val="yellow"/>
        </w:rPr>
        <w:t>Question6.3[2]</w:t>
      </w:r>
      <w:r>
        <w:rPr/>
        <w:t xml:space="preserve">} in mandatory policies in </w:t>
      </w:r>
      <w:r>
        <w:rPr>
          <w:shd w:fill="auto" w:val="clear"/>
        </w:rPr>
        <w:t>Survey</w:t>
      </w:r>
      <w:r>
        <w:rPr/>
        <w:t xml:space="preserve"> {</w:t>
      </w:r>
      <w:r>
        <w:rPr>
          <w:shd w:fill="FFFF00" w:val="clear"/>
        </w:rPr>
        <w:t>Year</w:t>
      </w:r>
      <w:r>
        <w:rPr/>
        <w:t>} from the previous year and {</w:t>
      </w:r>
      <w:r>
        <w:rPr>
          <w:highlight w:val="yellow"/>
        </w:rPr>
        <w:t>Question6[3]}</w:t>
      </w:r>
      <w:r>
        <w:rPr/>
        <w:t xml:space="preserve"> since Survey 2022 as shown in Figure 15.</w:t>
      </w:r>
    </w:p>
    <w:p>
      <w:pPr>
        <w:pStyle w:val="normal1"/>
        <w:widowControl w:val="false"/>
        <w:spacing w:lineRule="auto" w:line="240"/>
        <w:rPr/>
      </w:pPr>
      <w:r>
        <w:rPr/>
      </w:r>
    </w:p>
    <w:p>
      <w:pPr>
        <w:pStyle w:val="normal1"/>
        <w:jc w:val="center"/>
        <w:rPr>
          <w:i/>
        </w:rPr>
      </w:pPr>
      <w:r>
        <w:rPr>
          <w:i/>
          <w:highlight w:val="yellow"/>
        </w:rPr>
        <w:t>{%chartImage9}</w:t>
      </w:r>
    </w:p>
    <w:p>
      <w:pPr>
        <w:pStyle w:val="normal1"/>
        <w:jc w:val="center"/>
        <w:rPr/>
      </w:pPr>
      <w:r>
        <w:rPr/>
      </w:r>
    </w:p>
    <w:p>
      <w:pPr>
        <w:pStyle w:val="normal1"/>
        <w:jc w:val="center"/>
        <w:rPr/>
      </w:pPr>
      <w:r>
        <w:rPr>
          <w:i/>
        </w:rPr>
        <w:t>Figure 15: Progress in EU Countries with a Specific Policy on Immediate Open Access to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Question6.4[0]</w:t>
      </w:r>
      <w:r>
        <w:rPr/>
        <w:t xml:space="preserve">} in specific policies on retention of IPR on publications in EU countries </w:t>
      </w:r>
      <w:r>
        <w:rPr>
          <w:shd w:fill="auto" w:val="clear"/>
        </w:rPr>
        <w:t>in Survey {</w:t>
      </w:r>
      <w:r>
        <w:rPr>
          <w:highlight w:val="yellow"/>
        </w:rPr>
        <w:t>Year}</w:t>
      </w:r>
      <w:r>
        <w:rPr/>
        <w:t xml:space="preserve"> from the previous year and {</w:t>
      </w:r>
      <w:r>
        <w:rPr>
          <w:highlight w:val="yellow"/>
        </w:rPr>
        <w:t>Question6.4[1]</w:t>
      </w:r>
      <w:r>
        <w:rPr/>
        <w:t>} since Survey 2022, whereby there is {</w:t>
      </w:r>
      <w:r>
        <w:rPr>
          <w:highlight w:val="yellow"/>
        </w:rPr>
        <w:t>Question6.4[2]</w:t>
      </w:r>
      <w:r>
        <w:rPr/>
        <w:t xml:space="preserve">} in mandatory policies in </w:t>
      </w:r>
      <w:r>
        <w:rPr>
          <w:shd w:fill="auto" w:val="clear"/>
        </w:rPr>
        <w:t>Survey</w:t>
      </w:r>
      <w:r>
        <w:rPr/>
        <w:t xml:space="preserve"> {</w:t>
      </w:r>
      <w:r>
        <w:rPr>
          <w:shd w:fill="FFFF00" w:val="clear"/>
        </w:rPr>
        <w:t>Year</w:t>
      </w:r>
      <w:r>
        <w:rPr/>
        <w:t>} from the previous year and {</w:t>
      </w:r>
      <w:r>
        <w:rPr>
          <w:highlight w:val="yellow"/>
        </w:rPr>
        <w:t>Question6[3]}</w:t>
      </w:r>
      <w:r>
        <w:rPr/>
        <w:t xml:space="preserve"> since Survey 2022 as shown in Figure 16.</w:t>
      </w:r>
    </w:p>
    <w:p>
      <w:pPr>
        <w:pStyle w:val="normal1"/>
        <w:widowControl w:val="false"/>
        <w:spacing w:lineRule="auto" w:line="240"/>
        <w:rPr/>
      </w:pPr>
      <w:r>
        <w:rPr/>
      </w:r>
    </w:p>
    <w:p>
      <w:pPr>
        <w:pStyle w:val="normal1"/>
        <w:jc w:val="center"/>
        <w:rPr>
          <w:i/>
        </w:rPr>
      </w:pPr>
      <w:r>
        <w:rPr>
          <w:i/>
          <w:highlight w:val="yellow"/>
        </w:rPr>
        <w:t>{%chartImage10}</w:t>
      </w:r>
    </w:p>
    <w:p>
      <w:pPr>
        <w:pStyle w:val="normal1"/>
        <w:jc w:val="center"/>
        <w:rPr/>
      </w:pPr>
      <w:r>
        <w:rPr/>
      </w:r>
    </w:p>
    <w:p>
      <w:pPr>
        <w:pStyle w:val="normal1"/>
        <w:jc w:val="center"/>
        <w:rPr/>
      </w:pPr>
      <w:r>
        <w:rPr>
          <w:i/>
        </w:rPr>
        <w:t>Figure 16: Progress in EU Countries with a Specific Policy on Retention of IPR on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Question6.5[0]</w:t>
      </w:r>
      <w:r>
        <w:rPr/>
        <w:t xml:space="preserve">} in specific policies on open licensing of publications in EU countries </w:t>
      </w:r>
      <w:r>
        <w:rPr>
          <w:shd w:fill="auto" w:val="clear"/>
        </w:rPr>
        <w:t>in Survey {</w:t>
      </w:r>
      <w:r>
        <w:rPr>
          <w:highlight w:val="yellow"/>
        </w:rPr>
        <w:t>Year}</w:t>
      </w:r>
      <w:r>
        <w:rPr/>
        <w:t xml:space="preserve"> from the previous year and {</w:t>
      </w:r>
      <w:r>
        <w:rPr>
          <w:highlight w:val="yellow"/>
        </w:rPr>
        <w:t>Question6.5[1]</w:t>
      </w:r>
      <w:r>
        <w:rPr/>
        <w:t>} since Survey 2022, whereby there is {</w:t>
      </w:r>
      <w:r>
        <w:rPr>
          <w:highlight w:val="yellow"/>
        </w:rPr>
        <w:t>Question6.5[2]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highlight w:val="yellow"/>
        </w:rPr>
        <w:t>Question6[3]}</w:t>
      </w:r>
      <w:r>
        <w:rPr/>
        <w:t xml:space="preserve"> since Survey 2022 as shown in Figure 17.</w:t>
      </w:r>
    </w:p>
    <w:p>
      <w:pPr>
        <w:pStyle w:val="normal1"/>
        <w:widowControl w:val="false"/>
        <w:spacing w:lineRule="auto" w:line="240"/>
        <w:rPr/>
      </w:pPr>
      <w:r>
        <w:rPr/>
      </w:r>
    </w:p>
    <w:p>
      <w:pPr>
        <w:pStyle w:val="normal1"/>
        <w:jc w:val="center"/>
        <w:rPr>
          <w:i/>
        </w:rPr>
      </w:pPr>
      <w:r>
        <w:rPr>
          <w:i/>
          <w:highlight w:val="yellow"/>
        </w:rPr>
        <w:t>{%chartImage11}</w:t>
      </w:r>
    </w:p>
    <w:p>
      <w:pPr>
        <w:pStyle w:val="normal1"/>
        <w:jc w:val="center"/>
        <w:rPr/>
      </w:pPr>
      <w:r>
        <w:rPr/>
      </w:r>
    </w:p>
    <w:p>
      <w:pPr>
        <w:pStyle w:val="normal1"/>
        <w:jc w:val="center"/>
        <w:rPr/>
      </w:pPr>
      <w:r>
        <w:rPr>
          <w:i/>
        </w:rPr>
        <w:t>Figure 17: Progress in EU Countries with a Specific Policy on Open Licensing of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Question7[0]</w:t>
      </w:r>
      <w:r>
        <w:rPr/>
        <w:t>} in financial strategies on open access to publications in EU countr</w:t>
      </w:r>
      <w:r>
        <w:rPr>
          <w:shd w:fill="auto" w:val="clear"/>
        </w:rPr>
        <w:t>ies in Survey {</w:t>
      </w:r>
      <w:r>
        <w:rPr>
          <w:highlight w:val="yellow"/>
        </w:rPr>
        <w:t>Year}</w:t>
      </w:r>
      <w:r>
        <w:rPr/>
        <w:t xml:space="preserve"> from the previous year and {</w:t>
      </w:r>
      <w:r>
        <w:rPr>
          <w:highlight w:val="yellow"/>
        </w:rPr>
        <w:t>Question7[1]}</w:t>
      </w:r>
      <w:r>
        <w:rPr/>
        <w:t xml:space="preserve"> since Survey 2022 as shown in Figure 18.</w:t>
      </w:r>
    </w:p>
    <w:p>
      <w:pPr>
        <w:pStyle w:val="normal1"/>
        <w:widowControl w:val="false"/>
        <w:spacing w:lineRule="auto" w:line="240"/>
        <w:rPr/>
      </w:pPr>
      <w:r>
        <w:rPr/>
      </w:r>
    </w:p>
    <w:p>
      <w:pPr>
        <w:pStyle w:val="normal1"/>
        <w:jc w:val="center"/>
        <w:rPr>
          <w:i/>
        </w:rPr>
      </w:pPr>
      <w:r>
        <w:rPr>
          <w:i/>
          <w:highlight w:val="yellow"/>
        </w:rPr>
        <w:t>{%chartImage12}</w:t>
      </w:r>
    </w:p>
    <w:p>
      <w:pPr>
        <w:pStyle w:val="normal1"/>
        <w:jc w:val="center"/>
        <w:rPr/>
      </w:pPr>
      <w:r>
        <w:rPr/>
      </w:r>
    </w:p>
    <w:p>
      <w:pPr>
        <w:pStyle w:val="normal1"/>
        <w:jc w:val="center"/>
        <w:rPr/>
      </w:pPr>
      <w:r>
        <w:rPr>
          <w:i/>
        </w:rPr>
        <w:t>Figure 18: Progress in EU Countries with a Financial Strategy on Open Access to Publications</w:t>
      </w:r>
    </w:p>
    <w:p>
      <w:pPr>
        <w:pStyle w:val="normal1"/>
        <w:widowControl w:val="false"/>
        <w:spacing w:lineRule="auto" w:line="240"/>
        <w:rPr/>
      </w:pPr>
      <w:r>
        <w:rPr/>
      </w:r>
    </w:p>
    <w:p>
      <w:pPr>
        <w:pStyle w:val="normal1"/>
        <w:widowControl w:val="false"/>
        <w:numPr>
          <w:ilvl w:val="2"/>
          <w:numId w:val="1"/>
        </w:numPr>
        <w:spacing w:lineRule="auto" w:line="240"/>
        <w:rPr/>
      </w:pPr>
      <w:r>
        <w:rPr/>
        <w:t>Progress in Practices on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Question54[0]</w:t>
      </w:r>
      <w:r>
        <w:rPr/>
        <w:t>} in national monitoring on open access to publications in EU countr</w:t>
      </w:r>
      <w:r>
        <w:rPr>
          <w:shd w:fill="auto" w:val="clear"/>
        </w:rPr>
        <w:t>ies in Survey {</w:t>
      </w:r>
      <w:r>
        <w:rPr>
          <w:highlight w:val="yellow"/>
        </w:rPr>
        <w:t>Year}</w:t>
      </w:r>
      <w:r>
        <w:rPr/>
        <w:t xml:space="preserve"> from the previous year and {</w:t>
      </w:r>
      <w:r>
        <w:rPr>
          <w:highlight w:val="yellow"/>
        </w:rPr>
        <w:t>Question54[1]}</w:t>
      </w:r>
      <w:r>
        <w:rPr/>
        <w:t xml:space="preserve"> since Survey 2022 as shown in Figure 19.</w:t>
      </w:r>
    </w:p>
    <w:p>
      <w:pPr>
        <w:pStyle w:val="normal1"/>
        <w:widowControl w:val="false"/>
        <w:spacing w:lineRule="auto" w:line="240"/>
        <w:rPr/>
      </w:pPr>
      <w:r>
        <w:rPr/>
      </w:r>
    </w:p>
    <w:p>
      <w:pPr>
        <w:pStyle w:val="normal1"/>
        <w:jc w:val="center"/>
        <w:rPr>
          <w:i/>
        </w:rPr>
      </w:pPr>
      <w:r>
        <w:rPr>
          <w:i/>
          <w:highlight w:val="yellow"/>
        </w:rPr>
        <w:t>{%chartImage13}</w:t>
      </w:r>
    </w:p>
    <w:p>
      <w:pPr>
        <w:pStyle w:val="normal1"/>
        <w:jc w:val="center"/>
        <w:rPr/>
      </w:pPr>
      <w:r>
        <w:rPr/>
      </w:r>
    </w:p>
    <w:p>
      <w:pPr>
        <w:pStyle w:val="normal1"/>
        <w:jc w:val="center"/>
        <w:rPr/>
      </w:pPr>
      <w:r>
        <w:rPr>
          <w:i/>
        </w:rPr>
        <w:t>Figure 19: Progress in EU Countries with a National Monitoring on Open Access to Publications</w:t>
      </w:r>
    </w:p>
    <w:p>
      <w:pPr>
        <w:pStyle w:val="normal1"/>
        <w:widowControl w:val="false"/>
        <w:spacing w:lineRule="auto" w:line="240"/>
        <w:rPr/>
      </w:pPr>
      <w:r>
        <w:rPr/>
      </w:r>
    </w:p>
    <w:p>
      <w:pPr>
        <w:pStyle w:val="normal1"/>
        <w:widowControl w:val="false"/>
        <w:spacing w:lineRule="auto" w:line="240"/>
        <w:rPr/>
      </w:pPr>
      <w:r>
        <w:rPr/>
        <w:t>There is {</w:t>
      </w:r>
      <w:r>
        <w:rPr>
          <w:highlight w:val="yellow"/>
        </w:rPr>
        <w:t>Question56_trend[0]</w:t>
      </w:r>
      <w:r>
        <w:rPr/>
        <w:t>} in national investments in open access to publications per 1000 FTE researchers in EU countr</w:t>
      </w:r>
      <w:r>
        <w:rPr>
          <w:shd w:fill="auto" w:val="clear"/>
        </w:rPr>
        <w:t>ies in Survey {</w:t>
      </w:r>
      <w:r>
        <w:rPr>
          <w:highlight w:val="yellow"/>
        </w:rPr>
        <w:t>Year}</w:t>
      </w:r>
      <w:r>
        <w:rPr/>
        <w:t xml:space="preserve"> from the previous year and {</w:t>
      </w:r>
      <w:r>
        <w:rPr>
          <w:highlight w:val="yellow"/>
        </w:rPr>
        <w:t>Question56_trend[1]</w:t>
      </w:r>
      <w:r>
        <w:rPr/>
        <w:t>} since Survey 2022, as shown in Figure 20.</w:t>
      </w:r>
    </w:p>
    <w:p>
      <w:pPr>
        <w:pStyle w:val="normal1"/>
        <w:widowControl w:val="false"/>
        <w:spacing w:lineRule="auto" w:line="240"/>
        <w:rPr/>
      </w:pPr>
      <w:r>
        <w:rPr/>
      </w:r>
    </w:p>
    <w:p>
      <w:pPr>
        <w:pStyle w:val="normal1"/>
        <w:jc w:val="center"/>
        <w:rPr>
          <w:i/>
        </w:rPr>
      </w:pPr>
      <w:r>
        <w:rPr>
          <w:i/>
          <w:highlight w:val="yellow"/>
        </w:rPr>
        <w:t>{%chartImage14}</w:t>
      </w:r>
    </w:p>
    <w:p>
      <w:pPr>
        <w:pStyle w:val="normal1"/>
        <w:jc w:val="center"/>
        <w:rPr/>
      </w:pPr>
      <w:r>
        <w:rPr/>
      </w:r>
    </w:p>
    <w:p>
      <w:pPr>
        <w:pStyle w:val="normal1"/>
        <w:jc w:val="center"/>
        <w:rPr>
          <w:shd w:fill="FF9900" w:val="clear"/>
        </w:rPr>
      </w:pPr>
      <w:r>
        <w:rPr>
          <w:i/>
        </w:rPr>
        <w:t>Figure 20: Progress in EU Countries with National Investments in Open Access to Publications per 1000 FTE Researchers</w:t>
      </w:r>
    </w:p>
    <w:p>
      <w:pPr>
        <w:pStyle w:val="normal2"/>
        <w:widowControl w:val="false"/>
        <w:spacing w:lineRule="auto" w:line="240"/>
        <w:rPr/>
      </w:pPr>
      <w:r>
        <w:rPr/>
      </w:r>
    </w:p>
    <w:p>
      <w:pPr>
        <w:pStyle w:val="normal2"/>
        <w:widowControl w:val="false"/>
        <w:numPr>
          <w:ilvl w:val="0"/>
          <w:numId w:val="1"/>
        </w:numPr>
        <w:spacing w:lineRule="auto" w:line="240"/>
        <w:rPr>
          <w:b/>
          <w:bCs/>
        </w:rPr>
      </w:pPr>
      <w:r>
        <w:rPr>
          <w:b/>
          <w:bCs/>
        </w:rPr>
        <w:t>Data</w:t>
      </w:r>
    </w:p>
    <w:p>
      <w:pPr>
        <w:pStyle w:val="normal2"/>
        <w:widowControl w:val="false"/>
        <w:spacing w:lineRule="auto" w:line="240"/>
        <w:rPr/>
      </w:pPr>
      <w:r>
        <w:rPr/>
      </w:r>
    </w:p>
    <w:p>
      <w:pPr>
        <w:pStyle w:val="normal2"/>
        <w:widowControl w:val="false"/>
        <w:spacing w:lineRule="auto" w:line="240"/>
        <w:rPr/>
      </w:pPr>
      <w:r>
        <w:rPr/>
        <w:t>The data category consists of three main topics: data management, FAIR data, and open data.</w:t>
      </w:r>
    </w:p>
    <w:p>
      <w:pPr>
        <w:pStyle w:val="normal2"/>
        <w:widowControl w:val="false"/>
        <w:spacing w:lineRule="auto" w:line="240"/>
        <w:rPr/>
      </w:pPr>
      <w:r>
        <w:rPr/>
      </w:r>
    </w:p>
    <w:p>
      <w:pPr>
        <w:pStyle w:val="normal2"/>
        <w:widowControl w:val="false"/>
        <w:numPr>
          <w:ilvl w:val="1"/>
          <w:numId w:val="1"/>
        </w:numPr>
        <w:spacing w:lineRule="auto" w:line="240"/>
        <w:rPr/>
      </w:pPr>
      <w:r>
        <w:rPr/>
        <w:t>Policies</w:t>
      </w:r>
    </w:p>
    <w:p>
      <w:pPr>
        <w:pStyle w:val="normal2"/>
        <w:widowControl w:val="false"/>
        <w:spacing w:lineRule="auto" w:line="240"/>
        <w:rPr/>
      </w:pPr>
      <w:r>
        <w:rPr/>
      </w:r>
    </w:p>
    <w:p>
      <w:pPr>
        <w:pStyle w:val="normal2"/>
        <w:widowControl w:val="false"/>
        <w:numPr>
          <w:ilvl w:val="2"/>
          <w:numId w:val="1"/>
        </w:numPr>
        <w:spacing w:lineRule="auto" w:line="240"/>
        <w:rPr/>
      </w:pPr>
      <w:r>
        <w:rPr/>
        <w:t>National Policies on Data</w:t>
      </w:r>
    </w:p>
    <w:p>
      <w:pPr>
        <w:pStyle w:val="normal2"/>
        <w:widowControl w:val="false"/>
        <w:spacing w:lineRule="auto" w:line="240"/>
        <w:rPr/>
      </w:pPr>
      <w:r>
        <w:rPr/>
      </w:r>
    </w:p>
    <w:p>
      <w:pPr>
        <w:pStyle w:val="normal2"/>
        <w:widowControl w:val="false"/>
        <w:spacing w:lineRule="auto" w:line="240"/>
        <w:rPr/>
      </w:pPr>
      <w:r>
        <w:rPr/>
        <w:t>The first main policy question on data management in Survey {</w:t>
      </w:r>
      <w:r>
        <w:rPr>
          <w:highlight w:val="yellow"/>
        </w:rPr>
        <w:t>Year}</w:t>
      </w:r>
      <w:r>
        <w:rPr/>
        <w:t xml:space="preserve"> is </w:t>
      </w:r>
      <w:r>
        <w:rPr>
          <w:i/>
          <w:iCs/>
        </w:rPr>
        <w:t xml:space="preserve">Does your country have a </w:t>
      </w:r>
      <w:bookmarkStart w:id="4" w:name="__DdeLink__4078_473164209"/>
      <w:r>
        <w:rPr>
          <w:i/>
          <w:iCs/>
        </w:rPr>
        <w:t>national policy on data management</w:t>
      </w:r>
      <w:bookmarkEnd w:id="4"/>
      <w:r>
        <w:rPr>
          <w:i/>
          <w:iCs/>
        </w:rPr>
        <w:t>?</w:t>
      </w:r>
      <w:r>
        <w:rPr/>
        <w:t xml:space="preserve"> (Q5) followed by </w:t>
      </w:r>
      <w:r>
        <w:rPr>
          <w:i/>
          <w:iCs/>
        </w:rPr>
        <w:t>Is this policy mandatory?</w:t>
      </w:r>
      <w:r>
        <w:rPr/>
        <w:t xml:space="preserve"> (Q5.1). {</w:t>
      </w:r>
      <w:r>
        <w:rPr>
          <w:shd w:fill="FFFF00" w:val="clear"/>
        </w:rPr>
        <w:t>Question10</w:t>
      </w:r>
      <w:r>
        <w:rPr/>
        <w:t>} of responding EU countries have a national policy on data management, whereby {</w:t>
      </w:r>
      <w:r>
        <w:rPr>
          <w:shd w:fill="FFFF00" w:val="clear"/>
        </w:rPr>
        <w:t>Question10.1</w:t>
      </w:r>
      <w:r>
        <w:rPr/>
        <w:t>} are mandatory as shown in Figures 21 and 22.</w:t>
      </w:r>
    </w:p>
    <w:p>
      <w:pPr>
        <w:pStyle w:val="normal2"/>
        <w:widowControl w:val="false"/>
        <w:spacing w:lineRule="auto" w:line="240"/>
        <w:rPr/>
      </w:pPr>
      <w:r>
        <w:rPr/>
      </w:r>
    </w:p>
    <w:p>
      <w:pPr>
        <w:pStyle w:val="normal1"/>
        <w:jc w:val="center"/>
        <w:rPr>
          <w:i/>
        </w:rPr>
      </w:pPr>
      <w:r>
        <w:rPr>
          <w:i/>
          <w:highlight w:val="yellow"/>
        </w:rPr>
        <w:t>{%chartImage15}</w:t>
      </w:r>
    </w:p>
    <w:p>
      <w:pPr>
        <w:pStyle w:val="normal2"/>
        <w:jc w:val="center"/>
        <w:rPr/>
      </w:pPr>
      <w:r>
        <w:rPr/>
      </w:r>
    </w:p>
    <w:p>
      <w:pPr>
        <w:pStyle w:val="normal2"/>
        <w:jc w:val="center"/>
        <w:rPr>
          <w:i/>
          <w:iCs/>
        </w:rPr>
      </w:pPr>
      <w:r>
        <w:rPr>
          <w:i/>
          <w:iCs/>
        </w:rPr>
        <w:t>Figure 21: Map of EU Countries with a National Policy on Data Management</w:t>
      </w:r>
    </w:p>
    <w:p>
      <w:pPr>
        <w:pStyle w:val="normal2"/>
        <w:widowControl w:val="false"/>
        <w:spacing w:lineRule="auto" w:line="240"/>
        <w:rPr/>
      </w:pPr>
      <w:r>
        <w:rPr/>
      </w:r>
    </w:p>
    <w:p>
      <w:pPr>
        <w:pStyle w:val="normal1"/>
        <w:jc w:val="center"/>
        <w:rPr>
          <w:i/>
        </w:rPr>
      </w:pPr>
      <w:r>
        <w:rPr>
          <w:i/>
          <w:highlight w:val="yellow"/>
        </w:rPr>
        <w:t>{%pieChartImage_14_0}</w:t>
      </w:r>
    </w:p>
    <w:p>
      <w:pPr>
        <w:pStyle w:val="normal1"/>
        <w:jc w:val="center"/>
        <w:rPr>
          <w:i/>
        </w:rPr>
      </w:pPr>
      <w:r>
        <w:rPr>
          <w:i/>
          <w:highlight w:val="yellow"/>
        </w:rPr>
        <w:t>{%pieChartImage_14_1}</w:t>
      </w:r>
    </w:p>
    <w:p>
      <w:pPr>
        <w:pStyle w:val="normal2"/>
        <w:jc w:val="center"/>
        <w:rPr/>
      </w:pPr>
      <w:r>
        <w:rPr/>
      </w:r>
    </w:p>
    <w:p>
      <w:pPr>
        <w:pStyle w:val="normal2"/>
        <w:jc w:val="center"/>
        <w:rPr/>
      </w:pPr>
      <w:r>
        <w:rPr>
          <w:i/>
          <w:iCs/>
        </w:rPr>
        <w:t>Figure 22: Share of EU Countries with a National Policy on Data Management</w:t>
      </w:r>
    </w:p>
    <w:p>
      <w:pPr>
        <w:pStyle w:val="normal2"/>
        <w:rPr/>
      </w:pPr>
      <w:r>
        <w:rPr/>
      </w:r>
    </w:p>
    <w:p>
      <w:pPr>
        <w:pStyle w:val="normal2"/>
        <w:widowControl w:val="false"/>
        <w:spacing w:lineRule="auto" w:line="240"/>
        <w:rPr/>
      </w:pPr>
      <w:r>
        <w:rPr/>
        <w:t xml:space="preserve">The first main policy question on FAIR data in Survey </w:t>
      </w:r>
      <w:bookmarkStart w:id="5" w:name="_Hlk213851171"/>
      <w:r>
        <w:rPr/>
        <w:t>{</w:t>
      </w:r>
      <w:r>
        <w:rPr>
          <w:highlight w:val="yellow"/>
        </w:rPr>
        <w:t>Year}</w:t>
      </w:r>
      <w:r>
        <w:rPr/>
        <w:t xml:space="preserve"> </w:t>
      </w:r>
      <w:bookmarkEnd w:id="5"/>
      <w:r>
        <w:rPr/>
        <w:t xml:space="preserve">is </w:t>
      </w:r>
      <w:r>
        <w:rPr>
          <w:i/>
          <w:iCs/>
        </w:rPr>
        <w:t>Does your country have a national policy on FAIR data?</w:t>
      </w:r>
      <w:r>
        <w:rPr/>
        <w:t xml:space="preserve"> (Q9) followed by </w:t>
      </w:r>
      <w:r>
        <w:rPr>
          <w:i/>
          <w:iCs/>
        </w:rPr>
        <w:t>Is this policy mandatory?</w:t>
      </w:r>
      <w:r>
        <w:rPr/>
        <w:t xml:space="preserve"> (Q9.1). {</w:t>
      </w:r>
      <w:r>
        <w:rPr>
          <w:shd w:fill="FFFF00" w:val="clear"/>
        </w:rPr>
        <w:t>Question14</w:t>
      </w:r>
      <w:r>
        <w:rPr/>
        <w:t>} of responding EU countries have a national policy on FAIR data, whereby {</w:t>
      </w:r>
      <w:r>
        <w:rPr>
          <w:shd w:fill="FFFF00" w:val="clear"/>
        </w:rPr>
        <w:t>Question14.1</w:t>
      </w:r>
      <w:r>
        <w:rPr/>
        <w:t>} are mandatory as shown in Figures 23 and 24.</w:t>
      </w:r>
    </w:p>
    <w:p>
      <w:pPr>
        <w:pStyle w:val="normal2"/>
        <w:widowControl w:val="false"/>
        <w:spacing w:lineRule="auto" w:line="240"/>
        <w:rPr/>
      </w:pPr>
      <w:r>
        <w:rPr/>
      </w:r>
    </w:p>
    <w:p>
      <w:pPr>
        <w:pStyle w:val="normal1"/>
        <w:jc w:val="center"/>
        <w:rPr>
          <w:i/>
        </w:rPr>
      </w:pPr>
      <w:r>
        <w:rPr>
          <w:i/>
          <w:highlight w:val="yellow"/>
        </w:rPr>
        <w:t>{%chartImage16}</w:t>
      </w:r>
    </w:p>
    <w:p>
      <w:pPr>
        <w:pStyle w:val="normal2"/>
        <w:jc w:val="center"/>
        <w:rPr/>
      </w:pPr>
      <w:r>
        <w:rPr/>
      </w:r>
    </w:p>
    <w:p>
      <w:pPr>
        <w:pStyle w:val="normal2"/>
        <w:jc w:val="center"/>
        <w:rPr>
          <w:i/>
          <w:iCs/>
        </w:rPr>
      </w:pPr>
      <w:r>
        <w:rPr>
          <w:i/>
          <w:iCs/>
        </w:rPr>
        <w:t>Figure 23: Map of EU Countries with a National Policy on FAIR Data</w:t>
      </w:r>
    </w:p>
    <w:p>
      <w:pPr>
        <w:pStyle w:val="normal2"/>
        <w:widowControl w:val="false"/>
        <w:spacing w:lineRule="auto" w:line="240"/>
        <w:rPr/>
      </w:pPr>
      <w:r>
        <w:rPr/>
      </w:r>
    </w:p>
    <w:p>
      <w:pPr>
        <w:pStyle w:val="normal1"/>
        <w:jc w:val="center"/>
        <w:rPr>
          <w:i/>
        </w:rPr>
      </w:pPr>
      <w:r>
        <w:rPr>
          <w:i/>
          <w:highlight w:val="yellow"/>
        </w:rPr>
        <w:t>{%pieChartImage_15_0}</w:t>
      </w:r>
    </w:p>
    <w:p>
      <w:pPr>
        <w:pStyle w:val="normal1"/>
        <w:jc w:val="center"/>
        <w:rPr>
          <w:i/>
        </w:rPr>
      </w:pPr>
      <w:r>
        <w:rPr>
          <w:i/>
          <w:highlight w:val="yellow"/>
        </w:rPr>
        <w:t>{%pieChartImage_15_</w:t>
      </w:r>
      <w:r>
        <w:rPr>
          <w:i/>
        </w:rPr>
        <w:t>1}</w:t>
      </w:r>
    </w:p>
    <w:p>
      <w:pPr>
        <w:pStyle w:val="normal2"/>
        <w:jc w:val="center"/>
        <w:rPr/>
      </w:pPr>
      <w:r>
        <w:rPr/>
      </w:r>
    </w:p>
    <w:p>
      <w:pPr>
        <w:pStyle w:val="normal2"/>
        <w:jc w:val="center"/>
        <w:rPr/>
      </w:pPr>
      <w:r>
        <w:rPr>
          <w:i/>
          <w:iCs/>
        </w:rPr>
        <w:t>Figure 24: Share of EU Countries with a National Policy on FAIR Data</w:t>
      </w:r>
    </w:p>
    <w:p>
      <w:pPr>
        <w:pStyle w:val="normal2"/>
        <w:rPr/>
      </w:pPr>
      <w:r>
        <w:rPr/>
      </w:r>
    </w:p>
    <w:p>
      <w:pPr>
        <w:pStyle w:val="normal2"/>
        <w:widowControl w:val="false"/>
        <w:spacing w:lineRule="auto" w:line="240"/>
        <w:rPr/>
      </w:pPr>
      <w:r>
        <w:rPr/>
        <w:t>The first main policy question on open data in Survey {</w:t>
      </w:r>
      <w:r>
        <w:rPr>
          <w:highlight w:val="yellow"/>
        </w:rPr>
        <w:t>Year}</w:t>
      </w:r>
      <w:r>
        <w:rPr/>
        <w:t xml:space="preserve"> is </w:t>
      </w:r>
      <w:r>
        <w:rPr>
          <w:i/>
          <w:iCs/>
        </w:rPr>
        <w:t>Does your country have a national policy on open data?</w:t>
      </w:r>
      <w:r>
        <w:rPr/>
        <w:t xml:space="preserve"> (Q13) followed by </w:t>
      </w:r>
      <w:r>
        <w:rPr>
          <w:i/>
          <w:iCs/>
        </w:rPr>
        <w:t>Is this policy mandatory?</w:t>
      </w:r>
      <w:r>
        <w:rPr/>
        <w:t xml:space="preserve"> (Q13.1). {</w:t>
      </w:r>
      <w:r>
        <w:rPr>
          <w:shd w:fill="FFFF00" w:val="clear"/>
        </w:rPr>
        <w:t>Question18</w:t>
      </w:r>
      <w:r>
        <w:rPr/>
        <w:t>} of responding EU countries have a national policy on open data, whereby {</w:t>
      </w:r>
      <w:r>
        <w:rPr>
          <w:shd w:fill="FFFF00" w:val="clear"/>
        </w:rPr>
        <w:t>Question18.1</w:t>
      </w:r>
      <w:r>
        <w:rPr/>
        <w:t>} are mandatory as shown in Figures 25 and 26.</w:t>
      </w:r>
    </w:p>
    <w:p>
      <w:pPr>
        <w:pStyle w:val="normal2"/>
        <w:rPr/>
      </w:pPr>
      <w:r>
        <w:rPr/>
      </w:r>
    </w:p>
    <w:p>
      <w:pPr>
        <w:pStyle w:val="normal1"/>
        <w:jc w:val="center"/>
        <w:rPr>
          <w:i/>
        </w:rPr>
      </w:pPr>
      <w:r>
        <w:rPr>
          <w:i/>
          <w:highlight w:val="yellow"/>
        </w:rPr>
        <w:t>{%chartImage17}</w:t>
      </w:r>
    </w:p>
    <w:p>
      <w:pPr>
        <w:pStyle w:val="normal2"/>
        <w:jc w:val="center"/>
        <w:rPr/>
      </w:pPr>
      <w:r>
        <w:rPr/>
      </w:r>
    </w:p>
    <w:p>
      <w:pPr>
        <w:pStyle w:val="normal2"/>
        <w:jc w:val="center"/>
        <w:rPr>
          <w:i/>
          <w:iCs/>
        </w:rPr>
      </w:pPr>
      <w:r>
        <w:rPr>
          <w:i/>
          <w:iCs/>
        </w:rPr>
        <w:t>Figure 25: Map of EU Countries with a National Policy on Open Data</w:t>
      </w:r>
    </w:p>
    <w:p>
      <w:pPr>
        <w:pStyle w:val="normal2"/>
        <w:widowControl w:val="false"/>
        <w:spacing w:lineRule="auto" w:line="240"/>
        <w:rPr/>
      </w:pPr>
      <w:r>
        <w:rPr/>
      </w:r>
    </w:p>
    <w:p>
      <w:pPr>
        <w:pStyle w:val="normal1"/>
        <w:jc w:val="center"/>
        <w:rPr>
          <w:i/>
        </w:rPr>
      </w:pPr>
      <w:r>
        <w:rPr>
          <w:i/>
          <w:highlight w:val="yellow"/>
        </w:rPr>
        <w:t>{%pieChartImage_16_0}</w:t>
      </w:r>
    </w:p>
    <w:p>
      <w:pPr>
        <w:pStyle w:val="normal1"/>
        <w:jc w:val="center"/>
        <w:rPr>
          <w:i/>
        </w:rPr>
      </w:pPr>
      <w:r>
        <w:rPr>
          <w:i/>
          <w:highlight w:val="yellow"/>
        </w:rPr>
        <w:t>{%pieChartImage_16_1}</w:t>
      </w:r>
    </w:p>
    <w:p>
      <w:pPr>
        <w:pStyle w:val="normal2"/>
        <w:rPr/>
      </w:pPr>
      <w:r>
        <w:rPr/>
      </w:r>
    </w:p>
    <w:p>
      <w:pPr>
        <w:pStyle w:val="normal2"/>
        <w:jc w:val="center"/>
        <w:rPr/>
      </w:pPr>
      <w:r>
        <w:rPr>
          <w:i/>
          <w:iCs/>
        </w:rPr>
        <w:t>Figure 26: Share of EU Countries with a National Policy on Open Data</w:t>
      </w:r>
    </w:p>
    <w:p>
      <w:pPr>
        <w:pStyle w:val="normal2"/>
        <w:widowControl w:val="false"/>
        <w:spacing w:lineRule="auto" w:line="240"/>
        <w:rPr/>
      </w:pPr>
      <w:r>
        <w:rPr/>
      </w:r>
    </w:p>
    <w:p>
      <w:pPr>
        <w:pStyle w:val="normal2"/>
        <w:widowControl w:val="false"/>
        <w:numPr>
          <w:ilvl w:val="2"/>
          <w:numId w:val="1"/>
        </w:numPr>
        <w:spacing w:lineRule="auto" w:line="240"/>
        <w:rPr/>
      </w:pPr>
      <w:r>
        <w:rPr/>
        <w:t>Financial Strategies on Data</w:t>
      </w:r>
    </w:p>
    <w:p>
      <w:pPr>
        <w:pStyle w:val="normal2"/>
        <w:widowControl w:val="false"/>
        <w:spacing w:lineRule="auto" w:line="240"/>
        <w:rPr/>
      </w:pPr>
      <w:r>
        <w:rPr/>
      </w:r>
    </w:p>
    <w:p>
      <w:pPr>
        <w:pStyle w:val="normal2"/>
        <w:widowControl w:val="false"/>
        <w:spacing w:lineRule="auto" w:line="240"/>
        <w:rPr/>
      </w:pPr>
      <w:r>
        <w:rPr/>
        <w:t>The second main policy question on data management in Survey {</w:t>
      </w:r>
      <w:r>
        <w:rPr>
          <w:highlight w:val="yellow"/>
        </w:rPr>
        <w:t>Year}</w:t>
      </w:r>
      <w:r>
        <w:rPr/>
        <w:t xml:space="preserve"> is </w:t>
      </w:r>
      <w:r>
        <w:rPr>
          <w:i/>
          <w:iCs/>
        </w:rPr>
        <w:t>Does your country have a financial strategy on data management?</w:t>
      </w:r>
      <w:r>
        <w:rPr/>
        <w:t xml:space="preserve"> (Q6). {</w:t>
      </w:r>
      <w:r>
        <w:rPr>
          <w:shd w:fill="FFFF00" w:val="clear"/>
        </w:rPr>
        <w:t>Question11</w:t>
      </w:r>
      <w:r>
        <w:rPr/>
        <w:t>} of responding EU countries have a financial strategy on data management as shown in Figures 27 and 28.</w:t>
      </w:r>
    </w:p>
    <w:p>
      <w:pPr>
        <w:pStyle w:val="normal2"/>
        <w:widowControl w:val="false"/>
        <w:spacing w:lineRule="auto" w:line="240"/>
        <w:rPr/>
      </w:pPr>
      <w:r>
        <w:rPr/>
      </w:r>
    </w:p>
    <w:p>
      <w:pPr>
        <w:pStyle w:val="normal1"/>
        <w:jc w:val="center"/>
        <w:rPr>
          <w:i/>
        </w:rPr>
      </w:pPr>
      <w:r>
        <w:rPr>
          <w:i/>
          <w:highlight w:val="yellow"/>
        </w:rPr>
        <w:t>{%chartImage18}</w:t>
      </w:r>
    </w:p>
    <w:p>
      <w:pPr>
        <w:pStyle w:val="normal2"/>
        <w:jc w:val="center"/>
        <w:rPr/>
      </w:pPr>
      <w:r>
        <w:rPr/>
      </w:r>
    </w:p>
    <w:p>
      <w:pPr>
        <w:pStyle w:val="normal2"/>
        <w:jc w:val="center"/>
        <w:rPr>
          <w:i/>
          <w:iCs/>
        </w:rPr>
      </w:pPr>
      <w:r>
        <w:rPr>
          <w:i/>
          <w:iCs/>
        </w:rPr>
        <w:t>Figure 27: Map of EU Countries with a Financial Strategy on Data Management</w:t>
      </w:r>
    </w:p>
    <w:p>
      <w:pPr>
        <w:pStyle w:val="normal2"/>
        <w:widowControl w:val="false"/>
        <w:spacing w:lineRule="auto" w:line="240"/>
        <w:rPr/>
      </w:pPr>
      <w:r>
        <w:rPr/>
      </w:r>
    </w:p>
    <w:p>
      <w:pPr>
        <w:pStyle w:val="normal1"/>
        <w:jc w:val="center"/>
        <w:rPr>
          <w:i/>
        </w:rPr>
      </w:pPr>
      <w:r>
        <w:rPr>
          <w:i/>
          <w:highlight w:val="yellow"/>
        </w:rPr>
        <w:t>{%pieChartImage_17_0}</w:t>
      </w:r>
    </w:p>
    <w:p>
      <w:pPr>
        <w:pStyle w:val="normal2"/>
        <w:rPr/>
      </w:pPr>
      <w:r>
        <w:rPr/>
      </w:r>
    </w:p>
    <w:p>
      <w:pPr>
        <w:pStyle w:val="normal2"/>
        <w:jc w:val="center"/>
        <w:rPr/>
      </w:pPr>
      <w:r>
        <w:rPr>
          <w:i/>
          <w:iCs/>
        </w:rPr>
        <w:t>Figure 28: Share of EU Countries with a Financial Strategy on Data Management</w:t>
      </w:r>
    </w:p>
    <w:p>
      <w:pPr>
        <w:pStyle w:val="normal2"/>
        <w:rPr/>
      </w:pPr>
      <w:r>
        <w:rPr/>
      </w:r>
    </w:p>
    <w:p>
      <w:pPr>
        <w:pStyle w:val="normal2"/>
        <w:widowControl w:val="false"/>
        <w:spacing w:lineRule="auto" w:line="240"/>
        <w:rPr/>
      </w:pPr>
      <w:r>
        <w:rPr/>
        <w:t>The second main policy question on FAIR data in Survey {</w:t>
      </w:r>
      <w:r>
        <w:rPr>
          <w:highlight w:val="yellow"/>
        </w:rPr>
        <w:t>Year}</w:t>
      </w:r>
      <w:r>
        <w:rPr/>
        <w:t xml:space="preserve"> is </w:t>
      </w:r>
      <w:r>
        <w:rPr>
          <w:i/>
          <w:iCs/>
        </w:rPr>
        <w:t>Does your country have a financial strategy on FAIR data?</w:t>
      </w:r>
      <w:r>
        <w:rPr/>
        <w:t xml:space="preserve"> (Q10). {</w:t>
      </w:r>
      <w:r>
        <w:rPr>
          <w:shd w:fill="FFFF00" w:val="clear"/>
        </w:rPr>
        <w:t>Question15</w:t>
      </w:r>
      <w:r>
        <w:rPr/>
        <w:t>} of responding EU countries have a financial strategy on FAIR data as shown in Figures 29 and 30.</w:t>
      </w:r>
    </w:p>
    <w:p>
      <w:pPr>
        <w:pStyle w:val="normal2"/>
        <w:rPr/>
      </w:pPr>
      <w:r>
        <w:rPr/>
      </w:r>
    </w:p>
    <w:p>
      <w:pPr>
        <w:pStyle w:val="normal1"/>
        <w:jc w:val="center"/>
        <w:rPr>
          <w:i/>
        </w:rPr>
      </w:pPr>
      <w:r>
        <w:rPr>
          <w:i/>
          <w:highlight w:val="yellow"/>
        </w:rPr>
        <w:t>{%chartImage19}</w:t>
      </w:r>
    </w:p>
    <w:p>
      <w:pPr>
        <w:pStyle w:val="normal2"/>
        <w:jc w:val="center"/>
        <w:rPr/>
      </w:pPr>
      <w:r>
        <w:rPr/>
      </w:r>
    </w:p>
    <w:p>
      <w:pPr>
        <w:pStyle w:val="normal2"/>
        <w:jc w:val="center"/>
        <w:rPr>
          <w:i/>
          <w:iCs/>
        </w:rPr>
      </w:pPr>
      <w:r>
        <w:rPr>
          <w:i/>
          <w:iCs/>
        </w:rPr>
        <w:t>Figure 29: Map of EU Countries with a Financial Strategy on FAIR Data</w:t>
      </w:r>
    </w:p>
    <w:p>
      <w:pPr>
        <w:pStyle w:val="normal2"/>
        <w:widowControl w:val="false"/>
        <w:spacing w:lineRule="auto" w:line="240"/>
        <w:rPr/>
      </w:pPr>
      <w:r>
        <w:rPr/>
      </w:r>
    </w:p>
    <w:p>
      <w:pPr>
        <w:pStyle w:val="normal1"/>
        <w:jc w:val="center"/>
        <w:rPr>
          <w:i/>
        </w:rPr>
      </w:pPr>
      <w:r>
        <w:rPr>
          <w:i/>
          <w:highlight w:val="yellow"/>
        </w:rPr>
        <w:t>{%pieChartImage_18_0}</w:t>
      </w:r>
    </w:p>
    <w:p>
      <w:pPr>
        <w:pStyle w:val="normal2"/>
        <w:jc w:val="center"/>
        <w:rPr/>
      </w:pPr>
      <w:r>
        <w:rPr/>
      </w:r>
    </w:p>
    <w:p>
      <w:pPr>
        <w:pStyle w:val="normal2"/>
        <w:jc w:val="center"/>
        <w:rPr/>
      </w:pPr>
      <w:r>
        <w:rPr>
          <w:i/>
          <w:iCs/>
        </w:rPr>
        <w:t>Figure 30: Share of EU Countries with a Financial Strategy on FAIR Data</w:t>
      </w:r>
    </w:p>
    <w:p>
      <w:pPr>
        <w:pStyle w:val="normal2"/>
        <w:rPr/>
      </w:pPr>
      <w:r>
        <w:rPr/>
      </w:r>
    </w:p>
    <w:p>
      <w:pPr>
        <w:pStyle w:val="normal2"/>
        <w:widowControl w:val="false"/>
        <w:spacing w:lineRule="auto" w:line="240"/>
        <w:rPr/>
      </w:pPr>
      <w:r>
        <w:rPr/>
        <w:t>The second main policy question on open data in Survey {</w:t>
      </w:r>
      <w:r>
        <w:rPr>
          <w:highlight w:val="yellow"/>
        </w:rPr>
        <w:t>Year}</w:t>
      </w:r>
      <w:r>
        <w:rPr/>
        <w:t xml:space="preserve"> is </w:t>
      </w:r>
      <w:r>
        <w:rPr>
          <w:i/>
          <w:iCs/>
        </w:rPr>
        <w:t>Does your country have a financial strategy on open data?</w:t>
      </w:r>
      <w:r>
        <w:rPr/>
        <w:t xml:space="preserve"> (Q14). {</w:t>
      </w:r>
      <w:r>
        <w:rPr>
          <w:shd w:fill="FFFF00" w:val="clear"/>
        </w:rPr>
        <w:t>Question19</w:t>
      </w:r>
      <w:r>
        <w:rPr/>
        <w:t>} of responding EU countries have a financial strategy on open data as shown in Figures 31 and 32.</w:t>
      </w:r>
    </w:p>
    <w:p>
      <w:pPr>
        <w:pStyle w:val="normal2"/>
        <w:widowControl w:val="false"/>
        <w:spacing w:lineRule="auto" w:line="240"/>
        <w:rPr/>
      </w:pPr>
      <w:r>
        <w:rPr/>
      </w:r>
    </w:p>
    <w:p>
      <w:pPr>
        <w:pStyle w:val="normal1"/>
        <w:jc w:val="center"/>
        <w:rPr>
          <w:i/>
        </w:rPr>
      </w:pPr>
      <w:r>
        <w:rPr>
          <w:i/>
          <w:highlight w:val="yellow"/>
        </w:rPr>
        <w:t>{%chartImage20}</w:t>
      </w:r>
    </w:p>
    <w:p>
      <w:pPr>
        <w:pStyle w:val="normal2"/>
        <w:jc w:val="center"/>
        <w:rPr/>
      </w:pPr>
      <w:r>
        <w:rPr/>
      </w:r>
    </w:p>
    <w:p>
      <w:pPr>
        <w:pStyle w:val="normal2"/>
        <w:jc w:val="center"/>
        <w:rPr>
          <w:i/>
          <w:iCs/>
        </w:rPr>
      </w:pPr>
      <w:r>
        <w:rPr>
          <w:i/>
          <w:iCs/>
        </w:rPr>
        <w:t>Figure 31: Map of EU Countries with a Financial Strategy on Open Data</w:t>
      </w:r>
    </w:p>
    <w:p>
      <w:pPr>
        <w:pStyle w:val="normal2"/>
        <w:widowControl w:val="false"/>
        <w:spacing w:lineRule="auto" w:line="240"/>
        <w:rPr/>
      </w:pPr>
      <w:r>
        <w:rPr/>
      </w:r>
    </w:p>
    <w:p>
      <w:pPr>
        <w:pStyle w:val="normal1"/>
        <w:jc w:val="center"/>
        <w:rPr>
          <w:i/>
        </w:rPr>
      </w:pPr>
      <w:r>
        <w:rPr>
          <w:i/>
          <w:highlight w:val="yellow"/>
        </w:rPr>
        <w:t>{%pieChartImage_19_0}</w:t>
      </w:r>
    </w:p>
    <w:p>
      <w:pPr>
        <w:pStyle w:val="normal2"/>
        <w:jc w:val="center"/>
        <w:rPr/>
      </w:pPr>
      <w:r>
        <w:rPr/>
      </w:r>
    </w:p>
    <w:p>
      <w:pPr>
        <w:pStyle w:val="normal2"/>
        <w:jc w:val="center"/>
        <w:rPr/>
      </w:pPr>
      <w:r>
        <w:rPr>
          <w:i/>
          <w:iCs/>
        </w:rPr>
        <w:t>Figure 32: Share of EU Countries with a Financial Strategy on Open Data</w:t>
      </w:r>
    </w:p>
    <w:p>
      <w:pPr>
        <w:pStyle w:val="normal2"/>
        <w:widowControl w:val="false"/>
        <w:spacing w:lineRule="auto" w:line="240"/>
        <w:rPr/>
      </w:pPr>
      <w:r>
        <w:rPr/>
      </w:r>
    </w:p>
    <w:p>
      <w:pPr>
        <w:pStyle w:val="normal2"/>
        <w:widowControl w:val="false"/>
        <w:numPr>
          <w:ilvl w:val="1"/>
          <w:numId w:val="1"/>
        </w:numPr>
        <w:spacing w:lineRule="auto" w:line="240"/>
        <w:rPr/>
      </w:pPr>
      <w:r>
        <w:rPr/>
        <w:t>Practices</w:t>
      </w:r>
    </w:p>
    <w:p>
      <w:pPr>
        <w:pStyle w:val="normal2"/>
        <w:widowControl w:val="false"/>
        <w:spacing w:lineRule="auto" w:line="240"/>
        <w:rPr/>
      </w:pPr>
      <w:r>
        <w:rPr/>
      </w:r>
    </w:p>
    <w:p>
      <w:pPr>
        <w:pStyle w:val="normal2"/>
        <w:widowControl w:val="false"/>
        <w:numPr>
          <w:ilvl w:val="2"/>
          <w:numId w:val="1"/>
        </w:numPr>
        <w:spacing w:lineRule="auto" w:line="240"/>
        <w:rPr/>
      </w:pPr>
      <w:r>
        <w:rPr/>
        <w:t>National Monitoring on Data</w:t>
      </w:r>
    </w:p>
    <w:p>
      <w:pPr>
        <w:pStyle w:val="normal2"/>
        <w:widowControl w:val="false"/>
        <w:spacing w:lineRule="auto" w:line="240"/>
        <w:rPr/>
      </w:pPr>
      <w:r>
        <w:rPr/>
      </w:r>
    </w:p>
    <w:p>
      <w:pPr>
        <w:pStyle w:val="normal2"/>
        <w:widowControl w:val="false"/>
        <w:spacing w:lineRule="auto" w:line="240"/>
        <w:rPr/>
      </w:pPr>
      <w:r>
        <w:rPr/>
        <w:t>The first main practice question on data management in Survey {</w:t>
      </w:r>
      <w:r>
        <w:rPr>
          <w:highlight w:val="yellow"/>
        </w:rPr>
        <w:t>Year}</w:t>
      </w:r>
      <w:r>
        <w:rPr/>
        <w:t xml:space="preserve"> is </w:t>
      </w:r>
      <w:r>
        <w:rPr>
          <w:i/>
          <w:iCs/>
        </w:rPr>
        <w:t>Does your country have a national monitoring on data management?</w:t>
      </w:r>
      <w:r>
        <w:rPr/>
        <w:t xml:space="preserve"> (Q53). {</w:t>
      </w:r>
      <w:r>
        <w:rPr>
          <w:shd w:fill="FFFF00" w:val="clear"/>
        </w:rPr>
        <w:t>Question58</w:t>
      </w:r>
      <w:r>
        <w:rPr/>
        <w:t>} of responding EU countries have a national monitoring on data management as shown in Figures 33 and 34.</w:t>
      </w:r>
    </w:p>
    <w:p>
      <w:pPr>
        <w:pStyle w:val="normal2"/>
        <w:widowControl w:val="false"/>
        <w:spacing w:lineRule="auto" w:line="240"/>
        <w:rPr/>
      </w:pPr>
      <w:r>
        <w:rPr/>
      </w:r>
    </w:p>
    <w:p>
      <w:pPr>
        <w:pStyle w:val="normal1"/>
        <w:jc w:val="center"/>
        <w:rPr>
          <w:i/>
        </w:rPr>
      </w:pPr>
      <w:r>
        <w:rPr>
          <w:i/>
          <w:highlight w:val="yellow"/>
        </w:rPr>
        <w:t>{%chartImage21}</w:t>
      </w:r>
    </w:p>
    <w:p>
      <w:pPr>
        <w:pStyle w:val="normal2"/>
        <w:jc w:val="center"/>
        <w:rPr/>
      </w:pPr>
      <w:r>
        <w:rPr/>
      </w:r>
    </w:p>
    <w:p>
      <w:pPr>
        <w:pStyle w:val="normal2"/>
        <w:jc w:val="center"/>
        <w:rPr>
          <w:i/>
          <w:iCs/>
        </w:rPr>
      </w:pPr>
      <w:r>
        <w:rPr>
          <w:i/>
          <w:iCs/>
        </w:rPr>
        <w:t>Figure 33: Map of EU Countries with a National Monitoring on Data Management</w:t>
      </w:r>
    </w:p>
    <w:p>
      <w:pPr>
        <w:pStyle w:val="normal2"/>
        <w:widowControl w:val="false"/>
        <w:spacing w:lineRule="auto" w:line="240"/>
        <w:rPr/>
      </w:pPr>
      <w:r>
        <w:rPr/>
      </w:r>
    </w:p>
    <w:p>
      <w:pPr>
        <w:pStyle w:val="normal1"/>
        <w:jc w:val="center"/>
        <w:rPr>
          <w:i/>
        </w:rPr>
      </w:pPr>
      <w:r>
        <w:rPr>
          <w:i/>
          <w:highlight w:val="yellow"/>
        </w:rPr>
        <w:t>{%pieChartImage_20_0}</w:t>
      </w:r>
    </w:p>
    <w:p>
      <w:pPr>
        <w:pStyle w:val="normal2"/>
        <w:jc w:val="center"/>
        <w:rPr/>
      </w:pPr>
      <w:r>
        <w:rPr/>
      </w:r>
    </w:p>
    <w:p>
      <w:pPr>
        <w:pStyle w:val="normal2"/>
        <w:jc w:val="center"/>
        <w:rPr/>
      </w:pPr>
      <w:r>
        <w:rPr>
          <w:i/>
          <w:iCs/>
        </w:rPr>
        <w:t>Figure 34: Share of EU Countries with a National Monitoring on Data Management</w:t>
      </w:r>
    </w:p>
    <w:p>
      <w:pPr>
        <w:pStyle w:val="normal2"/>
        <w:rPr/>
      </w:pPr>
      <w:r>
        <w:rPr/>
      </w:r>
    </w:p>
    <w:p>
      <w:pPr>
        <w:pStyle w:val="normal2"/>
        <w:widowControl w:val="false"/>
        <w:spacing w:lineRule="auto" w:line="240"/>
        <w:rPr/>
      </w:pPr>
      <w:r>
        <w:rPr/>
        <w:t>The first main practice question on FAIR data in Survey {</w:t>
      </w:r>
      <w:r>
        <w:rPr>
          <w:highlight w:val="yellow"/>
        </w:rPr>
        <w:t>Year}</w:t>
      </w:r>
      <w:r>
        <w:rPr/>
        <w:t xml:space="preserve"> is </w:t>
      </w:r>
      <w:r>
        <w:rPr>
          <w:i/>
          <w:iCs/>
        </w:rPr>
        <w:t>Does your country have a national monitoring on FAIR data?</w:t>
      </w:r>
      <w:r>
        <w:rPr/>
        <w:t xml:space="preserve"> (Q57). {</w:t>
      </w:r>
      <w:r>
        <w:rPr>
          <w:shd w:fill="FFFF00" w:val="clear"/>
        </w:rPr>
        <w:t>Question62</w:t>
      </w:r>
      <w:r>
        <w:rPr/>
        <w:t>} of responding EU countries have a national monitoring on FAIR data as shown in Figures 35 and 36.</w:t>
      </w:r>
    </w:p>
    <w:p>
      <w:pPr>
        <w:pStyle w:val="normal2"/>
        <w:widowControl w:val="false"/>
        <w:spacing w:lineRule="auto" w:line="240"/>
        <w:rPr/>
      </w:pPr>
      <w:r>
        <w:rPr/>
      </w:r>
    </w:p>
    <w:p>
      <w:pPr>
        <w:pStyle w:val="normal1"/>
        <w:jc w:val="center"/>
        <w:rPr>
          <w:i/>
        </w:rPr>
      </w:pPr>
      <w:r>
        <w:rPr>
          <w:i/>
          <w:highlight w:val="yellow"/>
        </w:rPr>
        <w:t>{%chartImage22}</w:t>
      </w:r>
    </w:p>
    <w:p>
      <w:pPr>
        <w:pStyle w:val="normal2"/>
        <w:jc w:val="center"/>
        <w:rPr/>
      </w:pPr>
      <w:r>
        <w:rPr/>
      </w:r>
    </w:p>
    <w:p>
      <w:pPr>
        <w:pStyle w:val="normal2"/>
        <w:jc w:val="center"/>
        <w:rPr>
          <w:i/>
          <w:iCs/>
        </w:rPr>
      </w:pPr>
      <w:r>
        <w:rPr>
          <w:i/>
          <w:iCs/>
        </w:rPr>
        <w:t>Figure 35: Map of EU Countries with a National Monitoring on FAIR Data</w:t>
      </w:r>
    </w:p>
    <w:p>
      <w:pPr>
        <w:pStyle w:val="normal2"/>
        <w:widowControl w:val="false"/>
        <w:spacing w:lineRule="auto" w:line="240"/>
        <w:rPr/>
      </w:pPr>
      <w:r>
        <w:rPr/>
      </w:r>
    </w:p>
    <w:p>
      <w:pPr>
        <w:pStyle w:val="normal1"/>
        <w:jc w:val="center"/>
        <w:rPr>
          <w:i/>
        </w:rPr>
      </w:pPr>
      <w:r>
        <w:rPr>
          <w:i/>
          <w:highlight w:val="yellow"/>
        </w:rPr>
        <w:t>{%pieChartImage_21_0}</w:t>
      </w:r>
    </w:p>
    <w:p>
      <w:pPr>
        <w:pStyle w:val="normal2"/>
        <w:jc w:val="center"/>
        <w:rPr/>
      </w:pPr>
      <w:r>
        <w:rPr/>
      </w:r>
    </w:p>
    <w:p>
      <w:pPr>
        <w:pStyle w:val="normal2"/>
        <w:jc w:val="center"/>
        <w:rPr/>
      </w:pPr>
      <w:r>
        <w:rPr>
          <w:i/>
          <w:iCs/>
        </w:rPr>
        <w:t>Figure 36: Share of EU Countries with a National Monitoring on FAIR Data</w:t>
      </w:r>
    </w:p>
    <w:p>
      <w:pPr>
        <w:pStyle w:val="normal2"/>
        <w:rPr/>
      </w:pPr>
      <w:r>
        <w:rPr/>
      </w:r>
    </w:p>
    <w:p>
      <w:pPr>
        <w:pStyle w:val="normal2"/>
        <w:widowControl w:val="false"/>
        <w:spacing w:lineRule="auto" w:line="240"/>
        <w:rPr/>
      </w:pPr>
      <w:r>
        <w:rPr/>
        <w:t>The first main practice question on open data in Survey {</w:t>
      </w:r>
      <w:r>
        <w:rPr>
          <w:highlight w:val="yellow"/>
        </w:rPr>
        <w:t>Year}</w:t>
      </w:r>
      <w:r>
        <w:rPr/>
        <w:t xml:space="preserve"> is </w:t>
      </w:r>
      <w:r>
        <w:rPr>
          <w:i/>
          <w:iCs/>
        </w:rPr>
        <w:t>Does your country have a national monitoring on open data?</w:t>
      </w:r>
      <w:r>
        <w:rPr/>
        <w:t xml:space="preserve"> (Q61). {</w:t>
      </w:r>
      <w:r>
        <w:rPr>
          <w:shd w:fill="FFFF00" w:val="clear"/>
        </w:rPr>
        <w:t>Question66</w:t>
      </w:r>
      <w:r>
        <w:rPr/>
        <w:t>} of responding EU countries have a national monitoring on open data as shown in Figures 37 and 38.</w:t>
      </w:r>
    </w:p>
    <w:p>
      <w:pPr>
        <w:pStyle w:val="normal2"/>
        <w:widowControl w:val="false"/>
        <w:spacing w:lineRule="auto" w:line="240"/>
        <w:rPr/>
      </w:pPr>
      <w:r>
        <w:rPr/>
      </w:r>
    </w:p>
    <w:p>
      <w:pPr>
        <w:pStyle w:val="normal1"/>
        <w:jc w:val="center"/>
        <w:rPr>
          <w:i/>
        </w:rPr>
      </w:pPr>
      <w:r>
        <w:rPr>
          <w:i/>
          <w:highlight w:val="yellow"/>
        </w:rPr>
        <w:t>{%chartImage23}</w:t>
      </w:r>
    </w:p>
    <w:p>
      <w:pPr>
        <w:pStyle w:val="normal2"/>
        <w:jc w:val="center"/>
        <w:rPr/>
      </w:pPr>
      <w:r>
        <w:rPr/>
      </w:r>
    </w:p>
    <w:p>
      <w:pPr>
        <w:pStyle w:val="normal2"/>
        <w:jc w:val="center"/>
        <w:rPr>
          <w:i/>
          <w:iCs/>
        </w:rPr>
      </w:pPr>
      <w:r>
        <w:rPr>
          <w:i/>
          <w:iCs/>
        </w:rPr>
        <w:t>Figure 37: Map of EU Countries with a National Monitoring on Open Data</w:t>
      </w:r>
    </w:p>
    <w:p>
      <w:pPr>
        <w:pStyle w:val="normal2"/>
        <w:widowControl w:val="false"/>
        <w:spacing w:lineRule="auto" w:line="240"/>
        <w:rPr/>
      </w:pPr>
      <w:r>
        <w:rPr/>
      </w:r>
    </w:p>
    <w:p>
      <w:pPr>
        <w:pStyle w:val="normal1"/>
        <w:jc w:val="center"/>
        <w:rPr>
          <w:i/>
        </w:rPr>
      </w:pPr>
      <w:r>
        <w:rPr>
          <w:i/>
          <w:highlight w:val="yellow"/>
        </w:rPr>
        <w:t>{%pieChartImage_22_0}</w:t>
      </w:r>
    </w:p>
    <w:p>
      <w:pPr>
        <w:pStyle w:val="normal2"/>
        <w:rPr/>
      </w:pPr>
      <w:r>
        <w:rPr/>
      </w:r>
    </w:p>
    <w:p>
      <w:pPr>
        <w:pStyle w:val="normal2"/>
        <w:jc w:val="center"/>
        <w:rPr/>
      </w:pPr>
      <w:r>
        <w:rPr>
          <w:i/>
          <w:iCs/>
        </w:rPr>
        <w:t>Figure 38: Share of EU Countries with a National Monitoring on Open Data</w:t>
      </w:r>
    </w:p>
    <w:p>
      <w:pPr>
        <w:pStyle w:val="normal2"/>
        <w:widowControl w:val="false"/>
        <w:spacing w:lineRule="auto" w:line="240"/>
        <w:rPr/>
      </w:pPr>
      <w:r>
        <w:rPr/>
      </w:r>
    </w:p>
    <w:p>
      <w:pPr>
        <w:pStyle w:val="normal2"/>
        <w:widowControl w:val="false"/>
        <w:numPr>
          <w:ilvl w:val="2"/>
          <w:numId w:val="1"/>
        </w:numPr>
        <w:spacing w:lineRule="auto" w:line="240"/>
        <w:rPr/>
      </w:pPr>
      <w:r>
        <w:rPr/>
        <w:t>National Investments in Data</w:t>
      </w:r>
    </w:p>
    <w:p>
      <w:pPr>
        <w:pStyle w:val="normal2"/>
        <w:widowControl w:val="false"/>
        <w:spacing w:lineRule="auto" w:line="240"/>
        <w:rPr/>
      </w:pPr>
      <w:r>
        <w:rPr/>
      </w:r>
    </w:p>
    <w:p>
      <w:pPr>
        <w:pStyle w:val="normal2"/>
        <w:widowControl w:val="false"/>
        <w:spacing w:lineRule="auto" w:line="240"/>
        <w:rPr/>
      </w:pPr>
      <w:r>
        <w:rPr/>
        <w:t>The second main practice question on data management in Survey {</w:t>
      </w:r>
      <w:r>
        <w:rPr>
          <w:highlight w:val="yellow"/>
        </w:rPr>
        <w:t>Year}</w:t>
      </w:r>
      <w:r>
        <w:rPr/>
        <w:t xml:space="preserve"> is </w:t>
      </w:r>
      <w:r>
        <w:rPr>
          <w:i/>
          <w:iCs/>
        </w:rPr>
        <w:t xml:space="preserve">How much did your country financially invest in data management in </w:t>
      </w:r>
      <w:r>
        <w:rPr/>
        <w:t>{</w:t>
      </w:r>
      <w:r>
        <w:rPr>
          <w:highlight w:val="yellow"/>
        </w:rPr>
        <w:t>Fisca</w:t>
      </w:r>
      <w:r>
        <w:rPr>
          <w:i/>
          <w:iCs/>
        </w:rPr>
        <w:t>lYear} in millions of Euros?</w:t>
      </w:r>
      <w:r>
        <w:rPr/>
        <w:t xml:space="preserve"> (Q55). {</w:t>
      </w:r>
      <w:r>
        <w:rPr>
          <w:shd w:fill="FFFF00" w:val="clear"/>
        </w:rPr>
        <w:t>Question60[0]</w:t>
      </w:r>
      <w:r>
        <w:rPr/>
        <w:t>} of responding EU countries are not investing or have not stated the amount of investments in data management. {</w:t>
      </w:r>
      <w:r>
        <w:rPr>
          <w:shd w:fill="FFFF00" w:val="clear"/>
        </w:rPr>
        <w:t>Question60[1]</w:t>
      </w:r>
      <w:r>
        <w:rPr/>
        <w:t>} of EU countries invested &gt;0 to 50 €K, {</w:t>
      </w:r>
      <w:r>
        <w:rPr>
          <w:shd w:fill="FFFF00" w:val="clear"/>
        </w:rPr>
        <w:t>Question60[2]</w:t>
      </w:r>
      <w:r>
        <w:rPr/>
        <w:t>} &gt;50 to 100 €K, {</w:t>
      </w:r>
      <w:r>
        <w:rPr>
          <w:shd w:fill="FFFF00" w:val="clear"/>
        </w:rPr>
        <w:t>Question60[3]</w:t>
      </w:r>
      <w:r>
        <w:rPr/>
        <w:t>} &gt;100 to 250 €K, {</w:t>
      </w:r>
      <w:r>
        <w:rPr>
          <w:shd w:fill="FFFF00" w:val="clear"/>
        </w:rPr>
        <w:t>Question60[4]</w:t>
      </w:r>
      <w:r>
        <w:rPr/>
        <w:t>} &gt;250 to 500 €K, {</w:t>
      </w:r>
      <w:r>
        <w:rPr>
          <w:shd w:fill="FFFF00" w:val="clear"/>
        </w:rPr>
        <w:t>Question60[5]</w:t>
      </w:r>
      <w:r>
        <w:rPr/>
        <w:t>} &gt;500 to 1000 €K, and {</w:t>
      </w:r>
      <w:r>
        <w:rPr>
          <w:shd w:fill="FFFF00" w:val="clear"/>
        </w:rPr>
        <w:t>Question60[6]</w:t>
      </w:r>
      <w:r>
        <w:rPr/>
        <w:t>} &gt;1000 €K per 1000 FTE researchers as shown in Figure 39.</w:t>
      </w:r>
    </w:p>
    <w:p>
      <w:pPr>
        <w:pStyle w:val="normal2"/>
        <w:widowControl w:val="false"/>
        <w:spacing w:lineRule="auto" w:line="240"/>
        <w:rPr/>
      </w:pPr>
      <w:r>
        <w:rPr/>
      </w:r>
    </w:p>
    <w:p>
      <w:pPr>
        <w:pStyle w:val="normal1"/>
        <w:jc w:val="center"/>
        <w:rPr>
          <w:i/>
        </w:rPr>
      </w:pPr>
      <w:r>
        <w:rPr>
          <w:i/>
          <w:highlight w:val="yellow"/>
        </w:rPr>
        <w:t>{%chartImage24}</w:t>
      </w:r>
    </w:p>
    <w:p>
      <w:pPr>
        <w:pStyle w:val="normal2"/>
        <w:widowControl w:val="false"/>
        <w:spacing w:lineRule="auto" w:line="240"/>
        <w:rPr/>
      </w:pPr>
      <w:r>
        <w:rPr/>
      </w:r>
    </w:p>
    <w:p>
      <w:pPr>
        <w:pStyle w:val="normal2"/>
        <w:jc w:val="center"/>
        <w:rPr/>
      </w:pPr>
      <w:r>
        <w:rPr>
          <w:i/>
          <w:iCs/>
        </w:rPr>
        <w:t>Figure 39: Number of EU Countries with National Investments in Data Management per 1000 FTE Researchers</w:t>
      </w:r>
    </w:p>
    <w:p>
      <w:pPr>
        <w:pStyle w:val="normal2"/>
        <w:widowControl w:val="false"/>
        <w:spacing w:lineRule="auto" w:line="240"/>
        <w:rPr/>
      </w:pPr>
      <w:r>
        <w:rPr/>
      </w:r>
    </w:p>
    <w:p>
      <w:pPr>
        <w:pStyle w:val="normal2"/>
        <w:widowControl w:val="false"/>
        <w:spacing w:lineRule="auto" w:line="240"/>
        <w:rPr/>
      </w:pPr>
      <w:r>
        <w:rPr/>
        <w:t>The second main practice question on FAIR data in Survey {</w:t>
      </w:r>
      <w:r>
        <w:rPr>
          <w:highlight w:val="yellow"/>
        </w:rPr>
        <w:t>Year}</w:t>
      </w:r>
      <w:r>
        <w:rPr/>
        <w:t xml:space="preserve"> is </w:t>
      </w:r>
      <w:r>
        <w:rPr>
          <w:i/>
          <w:iCs/>
        </w:rPr>
        <w:t xml:space="preserve">How much did your country financially invest in FAIR data in </w:t>
      </w:r>
      <w:r>
        <w:rPr/>
        <w:t>{</w:t>
      </w:r>
      <w:r>
        <w:rPr>
          <w:highlight w:val="yellow"/>
        </w:rPr>
        <w:t>Fisca</w:t>
      </w:r>
      <w:r>
        <w:rPr>
          <w:i/>
          <w:iCs/>
        </w:rPr>
        <w:t>lYear} in millions of Euros?</w:t>
      </w:r>
      <w:r>
        <w:rPr/>
        <w:t xml:space="preserve"> (Q59). {</w:t>
      </w:r>
      <w:r>
        <w:rPr>
          <w:shd w:fill="FFFF00" w:val="clear"/>
        </w:rPr>
        <w:t>Question64[0]</w:t>
      </w:r>
      <w:r>
        <w:rPr/>
        <w:t>} of responding EU countries are not investing or have not stated the number of investments in FAIR data. {</w:t>
      </w:r>
      <w:r>
        <w:rPr>
          <w:shd w:fill="FFFF00" w:val="clear"/>
        </w:rPr>
        <w:t>Question64[1]</w:t>
      </w:r>
      <w:r>
        <w:rPr/>
        <w:t>} of EU countries invested &gt;0 to 50 €K, {</w:t>
      </w:r>
      <w:r>
        <w:rPr>
          <w:shd w:fill="FFFF00" w:val="clear"/>
        </w:rPr>
        <w:t>Question64[2]</w:t>
      </w:r>
      <w:r>
        <w:rPr/>
        <w:t>} &gt;50 to 100 €K, {</w:t>
      </w:r>
      <w:r>
        <w:rPr>
          <w:shd w:fill="FFFF00" w:val="clear"/>
        </w:rPr>
        <w:t>Question64[3]</w:t>
      </w:r>
      <w:r>
        <w:rPr/>
        <w:t>} &gt;100 to 250 €K, {</w:t>
      </w:r>
      <w:r>
        <w:rPr>
          <w:shd w:fill="FFFF00" w:val="clear"/>
        </w:rPr>
        <w:t>Question64[4]</w:t>
      </w:r>
      <w:r>
        <w:rPr/>
        <w:t>} &gt;250 to 500 €K, {</w:t>
      </w:r>
      <w:r>
        <w:rPr>
          <w:shd w:fill="FFFF00" w:val="clear"/>
        </w:rPr>
        <w:t>Question64[5]</w:t>
      </w:r>
      <w:r>
        <w:rPr/>
        <w:t>} &gt;500 to 1000 €K, and {</w:t>
      </w:r>
      <w:r>
        <w:rPr>
          <w:shd w:fill="FFFF00" w:val="clear"/>
        </w:rPr>
        <w:t>Question64[6]</w:t>
      </w:r>
      <w:r>
        <w:rPr/>
        <w:t>} &gt;1000 €K per 1000 FTE researchers as shown in Figure 40.</w:t>
      </w:r>
    </w:p>
    <w:p>
      <w:pPr>
        <w:pStyle w:val="normal2"/>
        <w:widowControl w:val="false"/>
        <w:spacing w:lineRule="auto" w:line="240"/>
        <w:rPr/>
      </w:pPr>
      <w:r>
        <w:rPr/>
      </w:r>
    </w:p>
    <w:p>
      <w:pPr>
        <w:pStyle w:val="normal1"/>
        <w:jc w:val="center"/>
        <w:rPr>
          <w:i/>
        </w:rPr>
      </w:pPr>
      <w:r>
        <w:rPr>
          <w:i/>
          <w:highlight w:val="yellow"/>
        </w:rPr>
        <w:t>{%chartImage25}</w:t>
      </w:r>
    </w:p>
    <w:p>
      <w:pPr>
        <w:pStyle w:val="normal2"/>
        <w:widowControl w:val="false"/>
        <w:spacing w:lineRule="auto" w:line="240"/>
        <w:rPr/>
      </w:pPr>
      <w:r>
        <w:rPr/>
      </w:r>
    </w:p>
    <w:p>
      <w:pPr>
        <w:pStyle w:val="normal2"/>
        <w:jc w:val="center"/>
        <w:rPr/>
      </w:pPr>
      <w:r>
        <w:rPr>
          <w:i/>
          <w:iCs/>
        </w:rPr>
        <w:t>Figure 40: Number of EU Countries with National Investments in FAIR Data per 1000 FTE Researchers</w:t>
      </w:r>
    </w:p>
    <w:p>
      <w:pPr>
        <w:pStyle w:val="normal2"/>
        <w:widowControl w:val="false"/>
        <w:spacing w:lineRule="auto" w:line="240"/>
        <w:rPr/>
      </w:pPr>
      <w:r>
        <w:rPr/>
      </w:r>
    </w:p>
    <w:p>
      <w:pPr>
        <w:pStyle w:val="normal2"/>
        <w:widowControl w:val="false"/>
        <w:spacing w:lineRule="auto" w:line="240"/>
        <w:rPr/>
      </w:pPr>
      <w:r>
        <w:rPr/>
        <w:t>The second main practice question on open data in Survey {</w:t>
      </w:r>
      <w:r>
        <w:rPr>
          <w:highlight w:val="yellow"/>
        </w:rPr>
        <w:t>Year}</w:t>
      </w:r>
      <w:r>
        <w:rPr/>
        <w:t xml:space="preserve"> is </w:t>
      </w:r>
      <w:r>
        <w:rPr>
          <w:i/>
          <w:iCs/>
        </w:rPr>
        <w:t xml:space="preserve">How much did your country financially invest in open data in </w:t>
      </w:r>
      <w:r>
        <w:rPr/>
        <w:t>{</w:t>
      </w:r>
      <w:r>
        <w:rPr>
          <w:highlight w:val="yellow"/>
        </w:rPr>
        <w:t>Fisca</w:t>
      </w:r>
      <w:r>
        <w:rPr>
          <w:i/>
          <w:iCs/>
        </w:rPr>
        <w:t>lYear} in millions of Euros?</w:t>
      </w:r>
      <w:r>
        <w:rPr/>
        <w:t xml:space="preserve"> (Q63). {</w:t>
      </w:r>
      <w:r>
        <w:rPr>
          <w:shd w:fill="FFFF00" w:val="clear"/>
        </w:rPr>
        <w:t>Question68[0]</w:t>
      </w:r>
      <w:r>
        <w:rPr/>
        <w:t>} of responding EU countries are not investing or have not stated the number of investments in open data. {</w:t>
      </w:r>
      <w:r>
        <w:rPr>
          <w:shd w:fill="FFFF00" w:val="clear"/>
        </w:rPr>
        <w:t>Question68[1]</w:t>
      </w:r>
      <w:r>
        <w:rPr/>
        <w:t>} of EU countries invested &gt;0 to 50 €K, {</w:t>
      </w:r>
      <w:r>
        <w:rPr>
          <w:shd w:fill="FFFF00" w:val="clear"/>
        </w:rPr>
        <w:t>Question68[2]</w:t>
      </w:r>
      <w:r>
        <w:rPr/>
        <w:t>} &gt;50 to 100 €K, {</w:t>
      </w:r>
      <w:r>
        <w:rPr>
          <w:shd w:fill="FFFF00" w:val="clear"/>
        </w:rPr>
        <w:t>Question68[3]</w:t>
      </w:r>
      <w:r>
        <w:rPr/>
        <w:t>} &gt;100 to 250 €K, {</w:t>
      </w:r>
      <w:r>
        <w:rPr>
          <w:shd w:fill="FFFF00" w:val="clear"/>
        </w:rPr>
        <w:t>Question68[4]</w:t>
      </w:r>
      <w:r>
        <w:rPr/>
        <w:t>} &gt;250 to 500 €K, {</w:t>
      </w:r>
      <w:r>
        <w:rPr>
          <w:shd w:fill="FFFF00" w:val="clear"/>
        </w:rPr>
        <w:t>Question68[5]</w:t>
      </w:r>
      <w:r>
        <w:rPr/>
        <w:t>} &gt;500 to 1000 €K, and {</w:t>
      </w:r>
      <w:r>
        <w:rPr>
          <w:shd w:fill="FFFF00" w:val="clear"/>
        </w:rPr>
        <w:t>Question68[6]</w:t>
      </w:r>
      <w:r>
        <w:rPr/>
        <w:t>} &gt;1000 €K per 1000 FTE researchers as shown in Figure 41.</w:t>
      </w:r>
    </w:p>
    <w:p>
      <w:pPr>
        <w:pStyle w:val="normal2"/>
        <w:widowControl w:val="false"/>
        <w:spacing w:lineRule="auto" w:line="240"/>
        <w:rPr/>
      </w:pPr>
      <w:r>
        <w:rPr/>
      </w:r>
    </w:p>
    <w:p>
      <w:pPr>
        <w:pStyle w:val="normal1"/>
        <w:jc w:val="center"/>
        <w:rPr>
          <w:i/>
        </w:rPr>
      </w:pPr>
      <w:r>
        <w:rPr>
          <w:i/>
          <w:highlight w:val="yellow"/>
        </w:rPr>
        <w:t>{%chartImage26}</w:t>
      </w:r>
    </w:p>
    <w:p>
      <w:pPr>
        <w:pStyle w:val="normal2"/>
        <w:widowControl w:val="false"/>
        <w:spacing w:lineRule="auto" w:line="240"/>
        <w:rPr/>
      </w:pPr>
      <w:r>
        <w:rPr/>
      </w:r>
    </w:p>
    <w:p>
      <w:pPr>
        <w:pStyle w:val="normal2"/>
        <w:jc w:val="center"/>
        <w:rPr/>
      </w:pPr>
      <w:r>
        <w:rPr>
          <w:i/>
          <w:iCs/>
        </w:rPr>
        <w:t>Figure 41: Number of EU Countries with National Investments in Open Data per 1000 FTE Researchers</w:t>
      </w:r>
    </w:p>
    <w:p>
      <w:pPr>
        <w:pStyle w:val="normal2"/>
        <w:widowControl w:val="false"/>
        <w:spacing w:lineRule="auto" w:line="240"/>
        <w:rPr/>
      </w:pPr>
      <w:r>
        <w:rPr/>
      </w:r>
    </w:p>
    <w:p>
      <w:pPr>
        <w:pStyle w:val="normal2"/>
        <w:widowControl w:val="false"/>
        <w:numPr>
          <w:ilvl w:val="1"/>
          <w:numId w:val="1"/>
        </w:numPr>
        <w:spacing w:lineRule="auto" w:line="240"/>
        <w:rPr/>
      </w:pPr>
      <w:r>
        <w:rPr/>
        <w:t>Impact</w:t>
      </w:r>
    </w:p>
    <w:p>
      <w:pPr>
        <w:pStyle w:val="normal2"/>
        <w:widowControl w:val="false"/>
        <w:spacing w:lineRule="auto" w:line="240"/>
        <w:rPr/>
      </w:pPr>
      <w:r>
        <w:rPr/>
      </w:r>
    </w:p>
    <w:p>
      <w:pPr>
        <w:pStyle w:val="normal2"/>
        <w:widowControl w:val="false"/>
        <w:numPr>
          <w:ilvl w:val="2"/>
          <w:numId w:val="1"/>
        </w:numPr>
        <w:spacing w:lineRule="auto" w:line="240"/>
        <w:rPr/>
      </w:pPr>
      <w:r>
        <w:rPr/>
        <w:t>Progress in Policies on Data</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Question10[0]</w:t>
      </w:r>
      <w:r>
        <w:rPr/>
        <w:t>} in national policies on data management in EU countr</w:t>
      </w:r>
      <w:r>
        <w:rPr>
          <w:shd w:fill="auto" w:val="clear"/>
        </w:rPr>
        <w:t>ies in Survey {</w:t>
      </w:r>
      <w:r>
        <w:rPr>
          <w:highlight w:val="yellow"/>
        </w:rPr>
        <w:t>Year}</w:t>
      </w:r>
      <w:r>
        <w:rPr/>
        <w:t xml:space="preserve"> from the previous year and {</w:t>
      </w:r>
      <w:r>
        <w:rPr>
          <w:shd w:fill="FFFF00" w:val="clear"/>
        </w:rPr>
        <w:t>Question10[1]</w:t>
      </w:r>
      <w:r>
        <w:rPr/>
        <w:t>} since Survey 2022, whereby there is {</w:t>
      </w:r>
      <w:r>
        <w:rPr>
          <w:shd w:fill="FFFF00" w:val="clear"/>
        </w:rPr>
        <w:t>Question10[2]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shd w:fill="FFFF00" w:val="clear"/>
        </w:rPr>
        <w:t>Question10[3]</w:t>
      </w:r>
      <w:r>
        <w:rPr/>
        <w:t>} since Survey 2022 as shown in Figure 42.</w:t>
      </w:r>
    </w:p>
    <w:p>
      <w:pPr>
        <w:pStyle w:val="normal2"/>
        <w:widowControl w:val="false"/>
        <w:spacing w:lineRule="auto" w:line="240"/>
        <w:rPr/>
      </w:pPr>
      <w:r>
        <w:rPr/>
      </w:r>
    </w:p>
    <w:p>
      <w:pPr>
        <w:pStyle w:val="normal1"/>
        <w:jc w:val="center"/>
        <w:rPr>
          <w:i/>
        </w:rPr>
      </w:pPr>
      <w:r>
        <w:rPr>
          <w:i/>
          <w:highlight w:val="yellow"/>
        </w:rPr>
        <w:t>{%chartImage27}</w:t>
      </w:r>
    </w:p>
    <w:p>
      <w:pPr>
        <w:pStyle w:val="normal2"/>
        <w:jc w:val="center"/>
        <w:rPr/>
      </w:pPr>
      <w:r>
        <w:rPr/>
      </w:r>
    </w:p>
    <w:p>
      <w:pPr>
        <w:pStyle w:val="normal2"/>
        <w:jc w:val="center"/>
        <w:rPr/>
      </w:pPr>
      <w:r>
        <w:rPr>
          <w:i/>
          <w:iCs/>
        </w:rPr>
        <w:t>Figure 42: Progress in EU Countries with a National Policy on Data Management</w:t>
      </w:r>
    </w:p>
    <w:p>
      <w:pPr>
        <w:pStyle w:val="normal2"/>
        <w:rPr/>
      </w:pPr>
      <w:r>
        <w:rPr/>
      </w:r>
    </w:p>
    <w:p>
      <w:pPr>
        <w:pStyle w:val="normal2"/>
        <w:widowControl w:val="false"/>
        <w:spacing w:lineRule="auto" w:line="240"/>
        <w:rPr/>
      </w:pPr>
      <w:r>
        <w:rPr/>
        <w:t>There is {</w:t>
      </w:r>
      <w:r>
        <w:rPr>
          <w:shd w:fill="FFFF00" w:val="clear"/>
        </w:rPr>
        <w:t>Question14[0]</w:t>
      </w:r>
      <w:r>
        <w:rPr/>
        <w:t>} in national policies on FAIR data in EU countr</w:t>
      </w:r>
      <w:r>
        <w:rPr>
          <w:shd w:fill="auto" w:val="clear"/>
        </w:rPr>
        <w:t>ies in Survey {</w:t>
      </w:r>
      <w:r>
        <w:rPr>
          <w:highlight w:val="yellow"/>
        </w:rPr>
        <w:t>Year}</w:t>
      </w:r>
      <w:r>
        <w:rPr/>
        <w:t xml:space="preserve"> from the previous year and {</w:t>
      </w:r>
      <w:r>
        <w:rPr>
          <w:shd w:fill="FFFF00" w:val="clear"/>
        </w:rPr>
        <w:t>Question14[1]</w:t>
      </w:r>
      <w:r>
        <w:rPr/>
        <w:t>} since Survey 2022, whereby there is {</w:t>
      </w:r>
      <w:r>
        <w:rPr>
          <w:shd w:fill="FFFF00" w:val="clear"/>
        </w:rPr>
        <w:t>Question14[2]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shd w:fill="FFFF00" w:val="clear"/>
        </w:rPr>
        <w:t>Question14[3]</w:t>
      </w:r>
      <w:r>
        <w:rPr/>
        <w:t>} since Survey 2022 as shown in Figure 43.</w:t>
      </w:r>
    </w:p>
    <w:p>
      <w:pPr>
        <w:pStyle w:val="normal2"/>
        <w:widowControl w:val="false"/>
        <w:spacing w:lineRule="auto" w:line="240"/>
        <w:rPr/>
      </w:pPr>
      <w:r>
        <w:rPr/>
      </w:r>
    </w:p>
    <w:p>
      <w:pPr>
        <w:pStyle w:val="normal1"/>
        <w:jc w:val="center"/>
        <w:rPr>
          <w:i/>
        </w:rPr>
      </w:pPr>
      <w:r>
        <w:rPr>
          <w:i/>
          <w:highlight w:val="yellow"/>
        </w:rPr>
        <w:t>{%chartImage28}</w:t>
      </w:r>
    </w:p>
    <w:p>
      <w:pPr>
        <w:pStyle w:val="normal2"/>
        <w:jc w:val="center"/>
        <w:rPr/>
      </w:pPr>
      <w:r>
        <w:rPr/>
      </w:r>
    </w:p>
    <w:p>
      <w:pPr>
        <w:pStyle w:val="normal2"/>
        <w:jc w:val="center"/>
        <w:rPr/>
      </w:pPr>
      <w:r>
        <w:rPr>
          <w:i/>
          <w:iCs/>
        </w:rPr>
        <w:t>Figure 43: Progress in EU Countries with a National Policy on FAIR Data</w:t>
      </w:r>
    </w:p>
    <w:p>
      <w:pPr>
        <w:pStyle w:val="normal2"/>
        <w:rPr/>
      </w:pPr>
      <w:r>
        <w:rPr/>
      </w:r>
    </w:p>
    <w:p>
      <w:pPr>
        <w:pStyle w:val="normal2"/>
        <w:widowControl w:val="false"/>
        <w:spacing w:lineRule="auto" w:line="240"/>
        <w:rPr/>
      </w:pPr>
      <w:r>
        <w:rPr/>
        <w:t>There is {</w:t>
      </w:r>
      <w:r>
        <w:rPr>
          <w:shd w:fill="FFFF00" w:val="clear"/>
        </w:rPr>
        <w:t>Question18[0]</w:t>
      </w:r>
      <w:r>
        <w:rPr/>
        <w:t>} in national policies on open data in EU countr</w:t>
      </w:r>
      <w:r>
        <w:rPr>
          <w:shd w:fill="auto" w:val="clear"/>
        </w:rPr>
        <w:t>ies in Survey {</w:t>
      </w:r>
      <w:r>
        <w:rPr>
          <w:highlight w:val="yellow"/>
        </w:rPr>
        <w:t>Year}</w:t>
      </w:r>
      <w:r>
        <w:rPr/>
        <w:t xml:space="preserve"> from the previous year and {</w:t>
      </w:r>
      <w:r>
        <w:rPr>
          <w:shd w:fill="FFFF00" w:val="clear"/>
        </w:rPr>
        <w:t>Question18[1]</w:t>
      </w:r>
      <w:r>
        <w:rPr/>
        <w:t>} since Survey 2022, whereby there is {</w:t>
      </w:r>
      <w:r>
        <w:rPr>
          <w:shd w:fill="FFFF00" w:val="clear"/>
        </w:rPr>
        <w:t>Question18[2]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shd w:fill="FFFF00" w:val="clear"/>
        </w:rPr>
        <w:t>Question18[3]</w:t>
      </w:r>
      <w:r>
        <w:rPr/>
        <w:t>} since Survey 2022 as shown in Figure 44.</w:t>
      </w:r>
    </w:p>
    <w:p>
      <w:pPr>
        <w:pStyle w:val="normal2"/>
        <w:widowControl w:val="false"/>
        <w:spacing w:lineRule="auto" w:line="240"/>
        <w:rPr/>
      </w:pPr>
      <w:r>
        <w:rPr/>
      </w:r>
    </w:p>
    <w:p>
      <w:pPr>
        <w:pStyle w:val="normal1"/>
        <w:jc w:val="center"/>
        <w:rPr>
          <w:i/>
        </w:rPr>
      </w:pPr>
      <w:r>
        <w:rPr>
          <w:i/>
          <w:highlight w:val="yellow"/>
        </w:rPr>
        <w:t>{%chartImage29}</w:t>
      </w:r>
    </w:p>
    <w:p>
      <w:pPr>
        <w:pStyle w:val="normal2"/>
        <w:jc w:val="center"/>
        <w:rPr/>
      </w:pPr>
      <w:r>
        <w:rPr/>
      </w:r>
    </w:p>
    <w:p>
      <w:pPr>
        <w:pStyle w:val="normal2"/>
        <w:jc w:val="center"/>
        <w:rPr/>
      </w:pPr>
      <w:r>
        <w:rPr>
          <w:i/>
          <w:iCs/>
        </w:rPr>
        <w:t>Figure 44: Progress in EU Countries with a National Policy on Open Data</w:t>
      </w:r>
    </w:p>
    <w:p>
      <w:pPr>
        <w:pStyle w:val="normal2"/>
        <w:rPr/>
      </w:pPr>
      <w:r>
        <w:rPr/>
      </w:r>
    </w:p>
    <w:p>
      <w:pPr>
        <w:pStyle w:val="normal2"/>
        <w:widowControl w:val="false"/>
        <w:spacing w:lineRule="auto" w:line="240"/>
        <w:rPr/>
      </w:pPr>
      <w:r>
        <w:rPr/>
        <w:t>There is {</w:t>
      </w:r>
      <w:r>
        <w:rPr>
          <w:shd w:fill="FFFF00" w:val="clear"/>
        </w:rPr>
        <w:t>Question11[0]</w:t>
      </w:r>
      <w:r>
        <w:rPr/>
        <w:t>} in financial strategies on data management in EU countr</w:t>
      </w:r>
      <w:r>
        <w:rPr>
          <w:shd w:fill="auto" w:val="clear"/>
        </w:rPr>
        <w:t>ies in Survey {</w:t>
      </w:r>
      <w:r>
        <w:rPr>
          <w:highlight w:val="yellow"/>
        </w:rPr>
        <w:t>Year}</w:t>
      </w:r>
      <w:r>
        <w:rPr/>
        <w:t xml:space="preserve"> from the previous year and {</w:t>
      </w:r>
      <w:r>
        <w:rPr>
          <w:shd w:fill="FFFF00" w:val="clear"/>
        </w:rPr>
        <w:t>Question11[1]</w:t>
      </w:r>
      <w:r>
        <w:rPr/>
        <w:t>} since Survey 2022 as shown in Figure 45.</w:t>
      </w:r>
    </w:p>
    <w:p>
      <w:pPr>
        <w:pStyle w:val="normal2"/>
        <w:widowControl w:val="false"/>
        <w:spacing w:lineRule="auto" w:line="240"/>
        <w:rPr/>
      </w:pPr>
      <w:r>
        <w:rPr/>
      </w:r>
    </w:p>
    <w:p>
      <w:pPr>
        <w:pStyle w:val="normal1"/>
        <w:jc w:val="center"/>
        <w:rPr>
          <w:i/>
        </w:rPr>
      </w:pPr>
      <w:r>
        <w:rPr>
          <w:i/>
          <w:highlight w:val="yellow"/>
        </w:rPr>
        <w:t>{%chartImage30}</w:t>
      </w:r>
    </w:p>
    <w:p>
      <w:pPr>
        <w:pStyle w:val="normal2"/>
        <w:jc w:val="center"/>
        <w:rPr/>
      </w:pPr>
      <w:r>
        <w:rPr/>
      </w:r>
    </w:p>
    <w:p>
      <w:pPr>
        <w:pStyle w:val="normal2"/>
        <w:jc w:val="center"/>
        <w:rPr/>
      </w:pPr>
      <w:r>
        <w:rPr>
          <w:i/>
          <w:iCs/>
        </w:rPr>
        <w:t>Figure 45: Progress in EU Countries with a Financial Strategy on Data Management</w:t>
      </w:r>
    </w:p>
    <w:p>
      <w:pPr>
        <w:pStyle w:val="normal2"/>
        <w:rPr/>
      </w:pPr>
      <w:r>
        <w:rPr/>
      </w:r>
    </w:p>
    <w:p>
      <w:pPr>
        <w:pStyle w:val="normal2"/>
        <w:widowControl w:val="false"/>
        <w:spacing w:lineRule="auto" w:line="240"/>
        <w:rPr/>
      </w:pPr>
      <w:r>
        <w:rPr/>
        <w:t>There is {</w:t>
      </w:r>
      <w:r>
        <w:rPr>
          <w:shd w:fill="FFFF00" w:val="clear"/>
        </w:rPr>
        <w:t>Question15[0]</w:t>
      </w:r>
      <w:r>
        <w:rPr/>
        <w:t>} in financial strategies on FAIR data in EU countr</w:t>
      </w:r>
      <w:r>
        <w:rPr>
          <w:shd w:fill="auto" w:val="clear"/>
        </w:rPr>
        <w:t>ies in Survey {</w:t>
      </w:r>
      <w:r>
        <w:rPr>
          <w:highlight w:val="yellow"/>
        </w:rPr>
        <w:t>Year}</w:t>
      </w:r>
      <w:r>
        <w:rPr/>
        <w:t xml:space="preserve"> from the previous year and {</w:t>
      </w:r>
      <w:r>
        <w:rPr>
          <w:shd w:fill="FFFF00" w:val="clear"/>
        </w:rPr>
        <w:t>Question15[1]</w:t>
      </w:r>
      <w:r>
        <w:rPr/>
        <w:t>} since Survey 2022 as shown in Figure 46.</w:t>
      </w:r>
    </w:p>
    <w:p>
      <w:pPr>
        <w:pStyle w:val="normal2"/>
        <w:widowControl w:val="false"/>
        <w:spacing w:lineRule="auto" w:line="240"/>
        <w:rPr/>
      </w:pPr>
      <w:r>
        <w:rPr/>
      </w:r>
    </w:p>
    <w:p>
      <w:pPr>
        <w:pStyle w:val="normal1"/>
        <w:jc w:val="center"/>
        <w:rPr>
          <w:i/>
        </w:rPr>
      </w:pPr>
      <w:r>
        <w:rPr>
          <w:i/>
          <w:highlight w:val="yellow"/>
        </w:rPr>
        <w:t>{%chartImage31}</w:t>
      </w:r>
    </w:p>
    <w:p>
      <w:pPr>
        <w:pStyle w:val="normal2"/>
        <w:jc w:val="center"/>
        <w:rPr/>
      </w:pPr>
      <w:r>
        <w:rPr/>
      </w:r>
    </w:p>
    <w:p>
      <w:pPr>
        <w:pStyle w:val="normal2"/>
        <w:jc w:val="center"/>
        <w:rPr/>
      </w:pPr>
      <w:r>
        <w:rPr>
          <w:i/>
          <w:iCs/>
        </w:rPr>
        <w:t>Figure 46: Progress in EU Countries with a Financial Strategy on FAIR Data</w:t>
      </w:r>
    </w:p>
    <w:p>
      <w:pPr>
        <w:pStyle w:val="normal2"/>
        <w:rPr/>
      </w:pPr>
      <w:r>
        <w:rPr/>
      </w:r>
    </w:p>
    <w:p>
      <w:pPr>
        <w:pStyle w:val="normal2"/>
        <w:widowControl w:val="false"/>
        <w:spacing w:lineRule="auto" w:line="240"/>
        <w:rPr/>
      </w:pPr>
      <w:r>
        <w:rPr/>
        <w:t>There is {</w:t>
      </w:r>
      <w:r>
        <w:rPr>
          <w:shd w:fill="FFFF00" w:val="clear"/>
        </w:rPr>
        <w:t>Question19[0]</w:t>
      </w:r>
      <w:r>
        <w:rPr/>
        <w:t>} in financial strategies on open data in EU countr</w:t>
      </w:r>
      <w:r>
        <w:rPr>
          <w:shd w:fill="auto" w:val="clear"/>
        </w:rPr>
        <w:t>ies in Survey {</w:t>
      </w:r>
      <w:r>
        <w:rPr>
          <w:highlight w:val="yellow"/>
        </w:rPr>
        <w:t>Year}</w:t>
      </w:r>
      <w:r>
        <w:rPr/>
        <w:t xml:space="preserve"> from the previous year and {</w:t>
      </w:r>
      <w:r>
        <w:rPr>
          <w:shd w:fill="FFFF00" w:val="clear"/>
        </w:rPr>
        <w:t>Question19[1]</w:t>
      </w:r>
      <w:r>
        <w:rPr/>
        <w:t>} since Survey 2022 as shown in Figure 47.</w:t>
      </w:r>
    </w:p>
    <w:p>
      <w:pPr>
        <w:pStyle w:val="normal2"/>
        <w:widowControl w:val="false"/>
        <w:spacing w:lineRule="auto" w:line="240"/>
        <w:rPr/>
      </w:pPr>
      <w:r>
        <w:rPr/>
      </w:r>
    </w:p>
    <w:p>
      <w:pPr>
        <w:pStyle w:val="normal1"/>
        <w:jc w:val="center"/>
        <w:rPr>
          <w:i/>
        </w:rPr>
      </w:pPr>
      <w:r>
        <w:rPr>
          <w:i/>
          <w:highlight w:val="yellow"/>
        </w:rPr>
        <w:t>{%chartImage32}</w:t>
      </w:r>
    </w:p>
    <w:p>
      <w:pPr>
        <w:pStyle w:val="normal2"/>
        <w:jc w:val="center"/>
        <w:rPr/>
      </w:pPr>
      <w:r>
        <w:rPr/>
      </w:r>
    </w:p>
    <w:p>
      <w:pPr>
        <w:pStyle w:val="normal2"/>
        <w:jc w:val="center"/>
        <w:rPr/>
      </w:pPr>
      <w:r>
        <w:rPr>
          <w:i/>
          <w:iCs/>
        </w:rPr>
        <w:t>Figure 47: Progress in EU Countries with a Financial Strategy on Open Data</w:t>
      </w:r>
    </w:p>
    <w:p>
      <w:pPr>
        <w:pStyle w:val="normal2"/>
        <w:rPr/>
      </w:pPr>
      <w:r>
        <w:rPr/>
      </w:r>
    </w:p>
    <w:p>
      <w:pPr>
        <w:pStyle w:val="normal2"/>
        <w:widowControl w:val="false"/>
        <w:numPr>
          <w:ilvl w:val="2"/>
          <w:numId w:val="1"/>
        </w:numPr>
        <w:spacing w:lineRule="auto" w:line="240"/>
        <w:rPr/>
      </w:pPr>
      <w:r>
        <w:rPr/>
        <w:t>Progress in Practices on Data</w:t>
      </w:r>
    </w:p>
    <w:p>
      <w:pPr>
        <w:pStyle w:val="normal2"/>
        <w:widowControl w:val="false"/>
        <w:spacing w:lineRule="auto" w:line="240"/>
        <w:rPr/>
      </w:pPr>
      <w:r>
        <w:rPr/>
      </w:r>
    </w:p>
    <w:p>
      <w:pPr>
        <w:pStyle w:val="normal2"/>
        <w:widowControl w:val="false"/>
        <w:spacing w:lineRule="auto" w:line="240"/>
        <w:rPr/>
      </w:pPr>
      <w:r>
        <w:rPr/>
        <w:t>There has been {</w:t>
      </w:r>
      <w:r>
        <w:rPr>
          <w:shd w:fill="FFFF00" w:val="clear"/>
        </w:rPr>
        <w:t>Question58[0]</w:t>
      </w:r>
      <w:r>
        <w:rPr/>
        <w:t>} in national monitoring on data management in EU countr</w:t>
      </w:r>
      <w:r>
        <w:rPr>
          <w:shd w:fill="auto" w:val="clear"/>
        </w:rPr>
        <w:t>ies in Survey {</w:t>
      </w:r>
      <w:r>
        <w:rPr>
          <w:highlight w:val="yellow"/>
        </w:rPr>
        <w:t>Year}</w:t>
      </w:r>
      <w:r>
        <w:rPr/>
        <w:t xml:space="preserve"> from the previous year and {</w:t>
      </w:r>
      <w:r>
        <w:rPr>
          <w:shd w:fill="FFFF00" w:val="clear"/>
        </w:rPr>
        <w:t>Question58[1]</w:t>
      </w:r>
      <w:r>
        <w:rPr/>
        <w:t>} since Survey 2022 as shown in Figure 48.</w:t>
      </w:r>
    </w:p>
    <w:p>
      <w:pPr>
        <w:pStyle w:val="normal2"/>
        <w:widowControl w:val="false"/>
        <w:spacing w:lineRule="auto" w:line="240"/>
        <w:rPr/>
      </w:pPr>
      <w:r>
        <w:rPr/>
      </w:r>
    </w:p>
    <w:p>
      <w:pPr>
        <w:pStyle w:val="normal1"/>
        <w:jc w:val="center"/>
        <w:rPr>
          <w:i/>
        </w:rPr>
      </w:pPr>
      <w:r>
        <w:rPr>
          <w:i/>
          <w:highlight w:val="yellow"/>
        </w:rPr>
        <w:t>{%chartImage33}</w:t>
      </w:r>
    </w:p>
    <w:p>
      <w:pPr>
        <w:pStyle w:val="normal2"/>
        <w:jc w:val="center"/>
        <w:rPr/>
      </w:pPr>
      <w:r>
        <w:rPr/>
      </w:r>
    </w:p>
    <w:p>
      <w:pPr>
        <w:pStyle w:val="normal2"/>
        <w:jc w:val="center"/>
        <w:rPr/>
      </w:pPr>
      <w:r>
        <w:rPr>
          <w:i/>
          <w:iCs/>
        </w:rPr>
        <w:t>Figure 48: Progress in EU Countries with a National Monitoring on Data Management</w:t>
      </w:r>
    </w:p>
    <w:p>
      <w:pPr>
        <w:pStyle w:val="normal2"/>
        <w:rPr/>
      </w:pPr>
      <w:r>
        <w:rPr/>
      </w:r>
    </w:p>
    <w:p>
      <w:pPr>
        <w:pStyle w:val="normal2"/>
        <w:widowControl w:val="false"/>
        <w:spacing w:lineRule="auto" w:line="240"/>
        <w:rPr/>
      </w:pPr>
      <w:r>
        <w:rPr/>
        <w:t>There is {</w:t>
      </w:r>
      <w:r>
        <w:rPr>
          <w:shd w:fill="FFFF00" w:val="clear"/>
        </w:rPr>
        <w:t>Question62[0]</w:t>
      </w:r>
      <w:r>
        <w:rPr/>
        <w:t>} in national monitoring on FAIR data in EU countr</w:t>
      </w:r>
      <w:r>
        <w:rPr>
          <w:shd w:fill="auto" w:val="clear"/>
        </w:rPr>
        <w:t>ies in Survey {</w:t>
      </w:r>
      <w:r>
        <w:rPr>
          <w:highlight w:val="yellow"/>
        </w:rPr>
        <w:t>Year}</w:t>
      </w:r>
      <w:r>
        <w:rPr/>
        <w:t xml:space="preserve"> from the previous year and {</w:t>
      </w:r>
      <w:r>
        <w:rPr>
          <w:shd w:fill="FFFF00" w:val="clear"/>
        </w:rPr>
        <w:t>Question62[1]</w:t>
      </w:r>
      <w:r>
        <w:rPr/>
        <w:t>} since Survey 2022 as shown in Figure 49.</w:t>
      </w:r>
    </w:p>
    <w:p>
      <w:pPr>
        <w:pStyle w:val="normal2"/>
        <w:widowControl w:val="false"/>
        <w:spacing w:lineRule="auto" w:line="240"/>
        <w:rPr/>
      </w:pPr>
      <w:r>
        <w:rPr/>
      </w:r>
    </w:p>
    <w:p>
      <w:pPr>
        <w:pStyle w:val="normal1"/>
        <w:jc w:val="center"/>
        <w:rPr>
          <w:i/>
        </w:rPr>
      </w:pPr>
      <w:r>
        <w:rPr>
          <w:i/>
          <w:highlight w:val="yellow"/>
        </w:rPr>
        <w:t>{%chartImage34}</w:t>
      </w:r>
    </w:p>
    <w:p>
      <w:pPr>
        <w:pStyle w:val="normal2"/>
        <w:jc w:val="center"/>
        <w:rPr/>
      </w:pPr>
      <w:r>
        <w:rPr/>
      </w:r>
    </w:p>
    <w:p>
      <w:pPr>
        <w:pStyle w:val="normal2"/>
        <w:jc w:val="center"/>
        <w:rPr/>
      </w:pPr>
      <w:r>
        <w:rPr>
          <w:i/>
          <w:iCs/>
        </w:rPr>
        <w:t>Figure 49: Progress in EU Countries with a National Monitoring on FAIR Data</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Question66[0]</w:t>
      </w:r>
      <w:r>
        <w:rPr/>
        <w:t>} in national monitoring on open data in EU countr</w:t>
      </w:r>
      <w:r>
        <w:rPr>
          <w:shd w:fill="auto" w:val="clear"/>
        </w:rPr>
        <w:t>ies in Survey {</w:t>
      </w:r>
      <w:r>
        <w:rPr>
          <w:highlight w:val="yellow"/>
        </w:rPr>
        <w:t>Year}</w:t>
      </w:r>
      <w:r>
        <w:rPr/>
        <w:t xml:space="preserve"> from the previous year and {</w:t>
      </w:r>
      <w:r>
        <w:rPr>
          <w:shd w:fill="FFFF00" w:val="clear"/>
        </w:rPr>
        <w:t>Question66[1]</w:t>
      </w:r>
      <w:r>
        <w:rPr/>
        <w:t>} since Survey 2022 as shown in Figure 50.</w:t>
      </w:r>
    </w:p>
    <w:p>
      <w:pPr>
        <w:pStyle w:val="normal2"/>
        <w:widowControl w:val="false"/>
        <w:spacing w:lineRule="auto" w:line="240"/>
        <w:rPr/>
      </w:pPr>
      <w:r>
        <w:rPr/>
      </w:r>
    </w:p>
    <w:p>
      <w:pPr>
        <w:pStyle w:val="normal1"/>
        <w:jc w:val="center"/>
        <w:rPr>
          <w:i/>
        </w:rPr>
      </w:pPr>
      <w:r>
        <w:rPr>
          <w:i/>
          <w:highlight w:val="yellow"/>
        </w:rPr>
        <w:t>{%chartImage35}</w:t>
      </w:r>
    </w:p>
    <w:p>
      <w:pPr>
        <w:pStyle w:val="normal2"/>
        <w:jc w:val="center"/>
        <w:rPr/>
      </w:pPr>
      <w:r>
        <w:rPr/>
      </w:r>
    </w:p>
    <w:p>
      <w:pPr>
        <w:pStyle w:val="normal2"/>
        <w:jc w:val="center"/>
        <w:rPr>
          <w:i/>
          <w:iCs/>
        </w:rPr>
      </w:pPr>
      <w:r>
        <w:rPr>
          <w:i/>
          <w:iCs/>
        </w:rPr>
        <w:t>Figure 50: Progress in EU Countries with a National Monitoring on Open Data</w:t>
      </w:r>
    </w:p>
    <w:p>
      <w:pPr>
        <w:pStyle w:val="normal2"/>
        <w:widowControl w:val="false"/>
        <w:spacing w:lineRule="auto" w:line="240"/>
        <w:rPr/>
      </w:pPr>
      <w:r>
        <w:rPr/>
      </w:r>
    </w:p>
    <w:p>
      <w:pPr>
        <w:pStyle w:val="normal2"/>
        <w:widowControl w:val="false"/>
        <w:spacing w:lineRule="auto" w:line="240"/>
        <w:rPr/>
      </w:pPr>
      <w:r>
        <w:rPr/>
        <w:t>There is furthermore {</w:t>
      </w:r>
      <w:r>
        <w:rPr>
          <w:shd w:fill="FFFF00" w:val="clear"/>
        </w:rPr>
        <w:t>Question60_trend[0]</w:t>
      </w:r>
      <w:r>
        <w:rPr/>
        <w:t>} in national investments in data management per 1000 FTE researchers in EU countr</w:t>
      </w:r>
      <w:r>
        <w:rPr>
          <w:shd w:fill="auto" w:val="clear"/>
        </w:rPr>
        <w:t>ies in Survey {</w:t>
      </w:r>
      <w:r>
        <w:rPr>
          <w:highlight w:val="yellow"/>
        </w:rPr>
        <w:t>Year}</w:t>
      </w:r>
      <w:r>
        <w:rPr/>
        <w:t xml:space="preserve"> from the previous year and {</w:t>
      </w:r>
      <w:r>
        <w:rPr>
          <w:shd w:fill="FFFF00" w:val="clear"/>
        </w:rPr>
        <w:t>Question60_trend[1]</w:t>
      </w:r>
      <w:r>
        <w:rPr/>
        <w:t>} since Survey 2022 as shown in Figure 51.</w:t>
      </w:r>
    </w:p>
    <w:p>
      <w:pPr>
        <w:pStyle w:val="normal2"/>
        <w:widowControl w:val="false"/>
        <w:spacing w:lineRule="auto" w:line="240"/>
        <w:rPr/>
      </w:pPr>
      <w:r>
        <w:rPr/>
      </w:r>
    </w:p>
    <w:p>
      <w:pPr>
        <w:pStyle w:val="normal1"/>
        <w:jc w:val="center"/>
        <w:rPr>
          <w:i/>
        </w:rPr>
      </w:pPr>
      <w:r>
        <w:rPr>
          <w:i/>
          <w:highlight w:val="yellow"/>
        </w:rPr>
        <w:t>{%chartImage36}</w:t>
      </w:r>
    </w:p>
    <w:p>
      <w:pPr>
        <w:pStyle w:val="normal2"/>
        <w:jc w:val="center"/>
        <w:rPr/>
      </w:pPr>
      <w:r>
        <w:rPr/>
      </w:r>
    </w:p>
    <w:p>
      <w:pPr>
        <w:pStyle w:val="normal2"/>
        <w:jc w:val="center"/>
        <w:rPr/>
      </w:pPr>
      <w:r>
        <w:rPr>
          <w:i/>
          <w:iCs/>
        </w:rPr>
        <w:t>Figure 51: Progress in EU Countries with National Investments in Data Management per 1000 FTE Researchers</w:t>
      </w:r>
    </w:p>
    <w:p>
      <w:pPr>
        <w:pStyle w:val="normal2"/>
        <w:rPr/>
      </w:pPr>
      <w:r>
        <w:rPr/>
      </w:r>
    </w:p>
    <w:p>
      <w:pPr>
        <w:pStyle w:val="normal2"/>
        <w:widowControl w:val="false"/>
        <w:spacing w:lineRule="auto" w:line="240"/>
        <w:rPr/>
      </w:pPr>
      <w:r>
        <w:rPr/>
        <w:t>There is {</w:t>
      </w:r>
      <w:r>
        <w:rPr>
          <w:shd w:fill="FFFF00" w:val="clear"/>
        </w:rPr>
        <w:t>Question64_trend[0]</w:t>
      </w:r>
      <w:r>
        <w:rPr/>
        <w:t>} in national investments in FAIR data per 1000 FTE researchers in EU countr</w:t>
      </w:r>
      <w:r>
        <w:rPr>
          <w:shd w:fill="auto" w:val="clear"/>
        </w:rPr>
        <w:t>ies in Survey {</w:t>
      </w:r>
      <w:r>
        <w:rPr>
          <w:highlight w:val="yellow"/>
        </w:rPr>
        <w:t>Year}</w:t>
      </w:r>
      <w:r>
        <w:rPr/>
        <w:t xml:space="preserve"> from the previous year and {</w:t>
      </w:r>
      <w:r>
        <w:rPr>
          <w:shd w:fill="FFFF00" w:val="clear"/>
        </w:rPr>
        <w:t>Question64_trend[1]</w:t>
      </w:r>
      <w:r>
        <w:rPr/>
        <w:t>} since Survey 2022 as shown in Figure 52.</w:t>
      </w:r>
    </w:p>
    <w:p>
      <w:pPr>
        <w:pStyle w:val="normal2"/>
        <w:widowControl w:val="false"/>
        <w:spacing w:lineRule="auto" w:line="240"/>
        <w:rPr/>
      </w:pPr>
      <w:r>
        <w:rPr/>
      </w:r>
    </w:p>
    <w:p>
      <w:pPr>
        <w:pStyle w:val="normal1"/>
        <w:jc w:val="center"/>
        <w:rPr>
          <w:i/>
        </w:rPr>
      </w:pPr>
      <w:r>
        <w:rPr>
          <w:i/>
          <w:highlight w:val="yellow"/>
        </w:rPr>
        <w:t>{%chartImage37}</w:t>
      </w:r>
    </w:p>
    <w:p>
      <w:pPr>
        <w:pStyle w:val="normal2"/>
        <w:jc w:val="center"/>
        <w:rPr/>
      </w:pPr>
      <w:r>
        <w:rPr/>
      </w:r>
    </w:p>
    <w:p>
      <w:pPr>
        <w:pStyle w:val="normal2"/>
        <w:jc w:val="center"/>
        <w:rPr/>
      </w:pPr>
      <w:r>
        <w:rPr>
          <w:i/>
          <w:iCs/>
        </w:rPr>
        <w:t>Figure 52: Progress in EU Countries with National Investments in FAIR Data per 1000 FTE Researchers</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Question68_trend[0]</w:t>
      </w:r>
      <w:r>
        <w:rPr/>
        <w:t>} in national investments in open data per 1000 FTE researchers in EU countr</w:t>
      </w:r>
      <w:r>
        <w:rPr>
          <w:shd w:fill="auto" w:val="clear"/>
        </w:rPr>
        <w:t>ies in Survey {</w:t>
      </w:r>
      <w:r>
        <w:rPr>
          <w:highlight w:val="yellow"/>
        </w:rPr>
        <w:t>Year}</w:t>
      </w:r>
      <w:r>
        <w:rPr/>
        <w:t xml:space="preserve"> from the previous year and {</w:t>
      </w:r>
      <w:r>
        <w:rPr>
          <w:shd w:fill="FFFF00" w:val="clear"/>
        </w:rPr>
        <w:t>Question68_trend[1]</w:t>
      </w:r>
      <w:r>
        <w:rPr/>
        <w:t>} since Survey 2022 as shown in Figure 53.</w:t>
      </w:r>
    </w:p>
    <w:p>
      <w:pPr>
        <w:pStyle w:val="normal2"/>
        <w:widowControl w:val="false"/>
        <w:spacing w:lineRule="auto" w:line="240"/>
        <w:rPr/>
      </w:pPr>
      <w:r>
        <w:rPr/>
      </w:r>
    </w:p>
    <w:p>
      <w:pPr>
        <w:pStyle w:val="normal1"/>
        <w:jc w:val="center"/>
        <w:rPr>
          <w:i/>
        </w:rPr>
      </w:pPr>
      <w:r>
        <w:rPr>
          <w:i/>
          <w:highlight w:val="yellow"/>
        </w:rPr>
        <w:t>{%chartImage38}</w:t>
      </w:r>
    </w:p>
    <w:p>
      <w:pPr>
        <w:pStyle w:val="normal2"/>
        <w:jc w:val="center"/>
        <w:rPr/>
      </w:pPr>
      <w:r>
        <w:rPr/>
      </w:r>
    </w:p>
    <w:p>
      <w:pPr>
        <w:pStyle w:val="normal2"/>
        <w:jc w:val="center"/>
        <w:rPr/>
      </w:pPr>
      <w:r>
        <w:rPr>
          <w:i/>
          <w:iCs/>
        </w:rPr>
        <w:t>Figure 53: Progress in EU Countries with National Investments in Open Data per 1000 FTE Researchers</w:t>
      </w:r>
    </w:p>
    <w:p>
      <w:pPr>
        <w:pStyle w:val="normal2"/>
        <w:rPr/>
      </w:pPr>
      <w:r>
        <w:rPr/>
      </w:r>
    </w:p>
    <w:p>
      <w:pPr>
        <w:pStyle w:val="normal2"/>
        <w:widowControl w:val="false"/>
        <w:numPr>
          <w:ilvl w:val="0"/>
          <w:numId w:val="1"/>
        </w:numPr>
        <w:spacing w:lineRule="auto" w:line="240"/>
        <w:rPr>
          <w:b/>
          <w:bCs/>
        </w:rPr>
      </w:pPr>
      <w:r>
        <w:rPr>
          <w:b/>
          <w:bCs/>
        </w:rPr>
        <w:t>Software</w:t>
      </w:r>
    </w:p>
    <w:p>
      <w:pPr>
        <w:pStyle w:val="normal2"/>
        <w:widowControl w:val="false"/>
        <w:spacing w:lineRule="auto" w:line="240"/>
        <w:rPr/>
      </w:pPr>
      <w:r>
        <w:rPr/>
      </w:r>
    </w:p>
    <w:p>
      <w:pPr>
        <w:pStyle w:val="normal2"/>
        <w:widowControl w:val="false"/>
        <w:spacing w:lineRule="auto" w:line="240"/>
        <w:rPr/>
      </w:pPr>
      <w:r>
        <w:rPr/>
        <w:t>The software category consists of one main topic: open source software.</w:t>
      </w:r>
    </w:p>
    <w:p>
      <w:pPr>
        <w:pStyle w:val="normal2"/>
        <w:widowControl w:val="false"/>
        <w:spacing w:lineRule="auto" w:line="240"/>
        <w:rPr/>
      </w:pPr>
      <w:r>
        <w:rPr/>
      </w:r>
    </w:p>
    <w:p>
      <w:pPr>
        <w:pStyle w:val="normal2"/>
        <w:widowControl w:val="false"/>
        <w:numPr>
          <w:ilvl w:val="1"/>
          <w:numId w:val="1"/>
        </w:numPr>
        <w:spacing w:lineRule="auto" w:line="240"/>
        <w:rPr/>
      </w:pPr>
      <w:r>
        <w:rPr/>
        <w:t>Policies</w:t>
      </w:r>
    </w:p>
    <w:p>
      <w:pPr>
        <w:pStyle w:val="normal2"/>
        <w:widowControl w:val="false"/>
        <w:spacing w:lineRule="auto" w:line="240"/>
        <w:rPr/>
      </w:pPr>
      <w:r>
        <w:rPr/>
      </w:r>
    </w:p>
    <w:p>
      <w:pPr>
        <w:pStyle w:val="normal2"/>
        <w:widowControl w:val="false"/>
        <w:numPr>
          <w:ilvl w:val="2"/>
          <w:numId w:val="1"/>
        </w:numPr>
        <w:spacing w:lineRule="auto" w:line="240"/>
        <w:rPr/>
      </w:pPr>
      <w:r>
        <w:rPr/>
        <w:t>National Policy on Software</w:t>
      </w:r>
    </w:p>
    <w:p>
      <w:pPr>
        <w:pStyle w:val="normal2"/>
        <w:widowControl w:val="false"/>
        <w:spacing w:lineRule="auto" w:line="240"/>
        <w:rPr/>
      </w:pPr>
      <w:r>
        <w:rPr/>
      </w:r>
    </w:p>
    <w:p>
      <w:pPr>
        <w:pStyle w:val="normal2"/>
        <w:widowControl w:val="false"/>
        <w:spacing w:lineRule="auto" w:line="240"/>
        <w:rPr/>
      </w:pPr>
      <w:r>
        <w:rPr/>
        <w:t>The first main policy question on open-source software in Survey {</w:t>
      </w:r>
      <w:r>
        <w:rPr>
          <w:highlight w:val="yellow"/>
        </w:rPr>
        <w:t>Year}</w:t>
      </w:r>
      <w:r>
        <w:rPr/>
        <w:t xml:space="preserve"> is </w:t>
      </w:r>
      <w:r>
        <w:rPr>
          <w:i/>
          <w:iCs/>
        </w:rPr>
        <w:t>Does your country have a national policy on open-source software?</w:t>
      </w:r>
      <w:r>
        <w:rPr/>
        <w:t xml:space="preserve"> (Q17) followed by </w:t>
      </w:r>
      <w:r>
        <w:rPr>
          <w:i/>
          <w:iCs/>
        </w:rPr>
        <w:t>Is this policy mandatory?</w:t>
      </w:r>
      <w:r>
        <w:rPr/>
        <w:t xml:space="preserve"> (Q17.1). {</w:t>
      </w:r>
      <w:r>
        <w:rPr>
          <w:shd w:fill="FFFF00" w:val="clear"/>
        </w:rPr>
        <w:t>Question22</w:t>
      </w:r>
      <w:r>
        <w:rPr/>
        <w:t>} of responding EU countries have a national policy on open-source software whereby {</w:t>
      </w:r>
      <w:r>
        <w:rPr>
          <w:shd w:fill="FFFF00" w:val="clear"/>
        </w:rPr>
        <w:t>Question22.1</w:t>
      </w:r>
      <w:r>
        <w:rPr/>
        <w:t>} are mandatory as shown in Figures 54 and 55.</w:t>
      </w:r>
    </w:p>
    <w:p>
      <w:pPr>
        <w:pStyle w:val="normal2"/>
        <w:widowControl w:val="false"/>
        <w:spacing w:lineRule="auto" w:line="240"/>
        <w:rPr/>
      </w:pPr>
      <w:r>
        <w:rPr/>
      </w:r>
    </w:p>
    <w:p>
      <w:pPr>
        <w:pStyle w:val="normal1"/>
        <w:jc w:val="center"/>
        <w:rPr>
          <w:i/>
        </w:rPr>
      </w:pPr>
      <w:r>
        <w:rPr>
          <w:i/>
          <w:highlight w:val="yellow"/>
        </w:rPr>
        <w:t>{%chartImage39}</w:t>
      </w:r>
    </w:p>
    <w:p>
      <w:pPr>
        <w:pStyle w:val="normal2"/>
        <w:jc w:val="center"/>
        <w:rPr/>
      </w:pPr>
      <w:r>
        <w:rPr/>
      </w:r>
    </w:p>
    <w:p>
      <w:pPr>
        <w:pStyle w:val="normal2"/>
        <w:jc w:val="center"/>
        <w:rPr>
          <w:i/>
          <w:iCs/>
        </w:rPr>
      </w:pPr>
      <w:r>
        <w:rPr>
          <w:i/>
          <w:iCs/>
        </w:rPr>
        <w:t>Figure 54: Map of EU Countries with a National Policy on Open Source Software</w:t>
      </w:r>
    </w:p>
    <w:p>
      <w:pPr>
        <w:pStyle w:val="normal2"/>
        <w:widowControl w:val="false"/>
        <w:spacing w:lineRule="auto" w:line="240"/>
        <w:rPr/>
      </w:pPr>
      <w:r>
        <w:rPr/>
      </w:r>
    </w:p>
    <w:p>
      <w:pPr>
        <w:pStyle w:val="normal1"/>
        <w:jc w:val="center"/>
        <w:rPr>
          <w:i/>
        </w:rPr>
      </w:pPr>
      <w:r>
        <w:rPr>
          <w:i/>
          <w:highlight w:val="yellow"/>
        </w:rPr>
        <w:t>{%pieChartImage_38_0}</w:t>
      </w:r>
    </w:p>
    <w:p>
      <w:pPr>
        <w:pStyle w:val="normal1"/>
        <w:jc w:val="center"/>
        <w:rPr>
          <w:i/>
        </w:rPr>
      </w:pPr>
      <w:r>
        <w:rPr>
          <w:i/>
          <w:highlight w:val="yellow"/>
        </w:rPr>
        <w:t>{%pieChartImage_38_1}</w:t>
      </w:r>
    </w:p>
    <w:p>
      <w:pPr>
        <w:pStyle w:val="normal2"/>
        <w:jc w:val="center"/>
        <w:rPr/>
      </w:pPr>
      <w:r>
        <w:rPr/>
      </w:r>
    </w:p>
    <w:p>
      <w:pPr>
        <w:pStyle w:val="normal2"/>
        <w:jc w:val="center"/>
        <w:rPr/>
      </w:pPr>
      <w:r>
        <w:rPr>
          <w:i/>
          <w:iCs/>
        </w:rPr>
        <w:t>Figure 55: Share of EU Countries with a National Policy on Open-Source Software</w:t>
      </w:r>
    </w:p>
    <w:p>
      <w:pPr>
        <w:pStyle w:val="normal2"/>
        <w:rPr/>
      </w:pPr>
      <w:r>
        <w:rPr/>
      </w:r>
    </w:p>
    <w:p>
      <w:pPr>
        <w:pStyle w:val="normal2"/>
        <w:widowControl w:val="false"/>
        <w:numPr>
          <w:ilvl w:val="2"/>
          <w:numId w:val="1"/>
        </w:numPr>
        <w:spacing w:lineRule="auto" w:line="240"/>
        <w:rPr/>
      </w:pPr>
      <w:r>
        <w:rPr/>
        <w:t>Financial Strategy on Software</w:t>
      </w:r>
    </w:p>
    <w:p>
      <w:pPr>
        <w:pStyle w:val="normal2"/>
        <w:widowControl w:val="false"/>
        <w:spacing w:lineRule="auto" w:line="240"/>
        <w:rPr/>
      </w:pPr>
      <w:r>
        <w:rPr/>
      </w:r>
    </w:p>
    <w:p>
      <w:pPr>
        <w:pStyle w:val="normal2"/>
        <w:widowControl w:val="false"/>
        <w:spacing w:lineRule="auto" w:line="240"/>
        <w:rPr/>
      </w:pPr>
      <w:r>
        <w:rPr/>
        <w:t>The second main policy question on open-source software in Survey {</w:t>
      </w:r>
      <w:r>
        <w:rPr>
          <w:highlight w:val="yellow"/>
        </w:rPr>
        <w:t>Year}</w:t>
      </w:r>
      <w:r>
        <w:rPr/>
        <w:t xml:space="preserve"> is </w:t>
      </w:r>
      <w:r>
        <w:rPr>
          <w:i/>
          <w:iCs/>
        </w:rPr>
        <w:t>Does your country have a financial strategy on open-source software?</w:t>
      </w:r>
      <w:r>
        <w:rPr/>
        <w:t xml:space="preserve"> (Q18). {</w:t>
      </w:r>
      <w:r>
        <w:rPr>
          <w:shd w:fill="FFFF00" w:val="clear"/>
        </w:rPr>
        <w:t>Question23</w:t>
      </w:r>
      <w:r>
        <w:rPr/>
        <w:t>} of responding EU countries have a financial strategy on open-source software.</w:t>
      </w:r>
    </w:p>
    <w:p>
      <w:pPr>
        <w:pStyle w:val="normal2"/>
        <w:rPr/>
      </w:pPr>
      <w:r>
        <w:rPr/>
      </w:r>
    </w:p>
    <w:p>
      <w:pPr>
        <w:pStyle w:val="normal2"/>
        <w:widowControl w:val="false"/>
        <w:spacing w:lineRule="auto" w:line="240"/>
        <w:rPr/>
      </w:pPr>
      <w:r>
        <w:rPr/>
      </w:r>
    </w:p>
    <w:p>
      <w:pPr>
        <w:pStyle w:val="normal2"/>
        <w:widowControl w:val="false"/>
        <w:numPr>
          <w:ilvl w:val="1"/>
          <w:numId w:val="1"/>
        </w:numPr>
        <w:spacing w:lineRule="auto" w:line="240"/>
        <w:rPr/>
      </w:pPr>
      <w:r>
        <w:rPr/>
        <w:t>Practices</w:t>
      </w:r>
    </w:p>
    <w:p>
      <w:pPr>
        <w:pStyle w:val="normal2"/>
        <w:widowControl w:val="false"/>
        <w:spacing w:lineRule="auto" w:line="240"/>
        <w:rPr/>
      </w:pPr>
      <w:r>
        <w:rPr/>
      </w:r>
    </w:p>
    <w:p>
      <w:pPr>
        <w:pStyle w:val="normal2"/>
        <w:widowControl w:val="false"/>
        <w:numPr>
          <w:ilvl w:val="2"/>
          <w:numId w:val="1"/>
        </w:numPr>
        <w:spacing w:lineRule="auto" w:line="240"/>
        <w:rPr/>
      </w:pPr>
      <w:r>
        <w:rPr/>
        <w:t>National Monitoring on Software</w:t>
      </w:r>
    </w:p>
    <w:p>
      <w:pPr>
        <w:pStyle w:val="normal2"/>
        <w:widowControl w:val="false"/>
        <w:spacing w:lineRule="auto" w:line="240"/>
        <w:rPr/>
      </w:pPr>
      <w:r>
        <w:rPr/>
      </w:r>
    </w:p>
    <w:p>
      <w:pPr>
        <w:pStyle w:val="normal2"/>
        <w:widowControl w:val="false"/>
        <w:spacing w:lineRule="auto" w:line="240"/>
        <w:rPr/>
      </w:pPr>
      <w:r>
        <w:rPr/>
        <w:t>The first main practice question on open-source software in Survey {</w:t>
      </w:r>
      <w:r>
        <w:rPr>
          <w:highlight w:val="yellow"/>
        </w:rPr>
        <w:t>Year}</w:t>
      </w:r>
      <w:r>
        <w:rPr/>
        <w:t xml:space="preserve"> is </w:t>
      </w:r>
      <w:r>
        <w:rPr>
          <w:i/>
          <w:iCs/>
        </w:rPr>
        <w:t>Does your country have a national monitoring on open-source software?</w:t>
      </w:r>
      <w:r>
        <w:rPr/>
        <w:t xml:space="preserve"> (Q65). {</w:t>
      </w:r>
      <w:r>
        <w:rPr>
          <w:shd w:fill="FFFF00" w:val="clear"/>
        </w:rPr>
        <w:t>Question70</w:t>
      </w:r>
      <w:r>
        <w:rPr/>
        <w:t>} of responding EU countries have a national monitoring on open-source software as shown in Figures 56 and 57.</w:t>
      </w:r>
    </w:p>
    <w:p>
      <w:pPr>
        <w:pStyle w:val="normal2"/>
        <w:widowControl w:val="false"/>
        <w:spacing w:lineRule="auto" w:line="240"/>
        <w:rPr/>
      </w:pPr>
      <w:r>
        <w:rPr/>
      </w:r>
    </w:p>
    <w:p>
      <w:pPr>
        <w:pStyle w:val="normal1"/>
        <w:jc w:val="center"/>
        <w:rPr>
          <w:i/>
        </w:rPr>
      </w:pPr>
      <w:r>
        <w:rPr>
          <w:i/>
          <w:highlight w:val="yellow"/>
        </w:rPr>
        <w:t>{%chartImage41}</w:t>
      </w:r>
    </w:p>
    <w:p>
      <w:pPr>
        <w:pStyle w:val="normal2"/>
        <w:jc w:val="center"/>
        <w:rPr/>
      </w:pPr>
      <w:r>
        <w:rPr/>
      </w:r>
    </w:p>
    <w:p>
      <w:pPr>
        <w:pStyle w:val="normal2"/>
        <w:jc w:val="center"/>
        <w:rPr/>
      </w:pPr>
      <w:r>
        <w:rPr>
          <w:i/>
          <w:iCs/>
        </w:rPr>
        <w:t>Figure 56: Map of EU Countries with a National Monitoring on Open-Source Software</w:t>
      </w:r>
    </w:p>
    <w:p>
      <w:pPr>
        <w:pStyle w:val="normal2"/>
        <w:widowControl w:val="false"/>
        <w:spacing w:lineRule="auto" w:line="240"/>
        <w:rPr/>
      </w:pPr>
      <w:r>
        <w:rPr/>
      </w:r>
    </w:p>
    <w:p>
      <w:pPr>
        <w:pStyle w:val="normal1"/>
        <w:jc w:val="center"/>
        <w:rPr>
          <w:i/>
        </w:rPr>
      </w:pPr>
      <w:r>
        <w:rPr>
          <w:i/>
          <w:highlight w:val="yellow"/>
        </w:rPr>
        <w:t>{%pieChartImage_40_0}</w:t>
      </w:r>
    </w:p>
    <w:p>
      <w:pPr>
        <w:pStyle w:val="normal2"/>
        <w:jc w:val="center"/>
        <w:rPr/>
      </w:pPr>
      <w:r>
        <w:rPr/>
      </w:r>
    </w:p>
    <w:p>
      <w:pPr>
        <w:pStyle w:val="normal2"/>
        <w:jc w:val="center"/>
        <w:rPr/>
      </w:pPr>
      <w:r>
        <w:rPr>
          <w:i/>
          <w:iCs/>
        </w:rPr>
        <w:t>Figure 57: Share of EU Countries with a National Monitoring on Open-Source Software</w:t>
      </w:r>
    </w:p>
    <w:p>
      <w:pPr>
        <w:pStyle w:val="normal2"/>
        <w:widowControl w:val="false"/>
        <w:spacing w:lineRule="auto" w:line="240"/>
        <w:rPr/>
      </w:pPr>
      <w:r>
        <w:rPr/>
      </w:r>
    </w:p>
    <w:p>
      <w:pPr>
        <w:pStyle w:val="normal2"/>
        <w:widowControl w:val="false"/>
        <w:numPr>
          <w:ilvl w:val="2"/>
          <w:numId w:val="1"/>
        </w:numPr>
        <w:spacing w:lineRule="auto" w:line="240"/>
        <w:rPr/>
      </w:pPr>
      <w:r>
        <w:rPr/>
        <w:t>National Investments in Software</w:t>
      </w:r>
    </w:p>
    <w:p>
      <w:pPr>
        <w:pStyle w:val="normal2"/>
        <w:widowControl w:val="false"/>
        <w:spacing w:lineRule="auto" w:line="240"/>
        <w:rPr/>
      </w:pPr>
      <w:r>
        <w:rPr/>
      </w:r>
    </w:p>
    <w:p>
      <w:pPr>
        <w:pStyle w:val="normal2"/>
        <w:widowControl w:val="false"/>
        <w:spacing w:lineRule="auto" w:line="240"/>
        <w:rPr/>
      </w:pPr>
      <w:r>
        <w:rPr/>
        <w:t>The second main practice question on open-source software in Survey {</w:t>
      </w:r>
      <w:r>
        <w:rPr>
          <w:highlight w:val="yellow"/>
        </w:rPr>
        <w:t>Year}</w:t>
      </w:r>
      <w:r>
        <w:rPr/>
        <w:t xml:space="preserve"> is </w:t>
      </w:r>
      <w:r>
        <w:rPr>
          <w:i/>
          <w:iCs/>
        </w:rPr>
        <w:t xml:space="preserve">How much did your country financially invest in open-source software in </w:t>
      </w:r>
      <w:r>
        <w:rPr/>
        <w:t>{</w:t>
      </w:r>
      <w:r>
        <w:rPr>
          <w:highlight w:val="yellow"/>
        </w:rPr>
        <w:t>Fisca</w:t>
      </w:r>
      <w:r>
        <w:rPr>
          <w:i/>
          <w:iCs/>
        </w:rPr>
        <w:t>lYear} in millions of Euros?</w:t>
      </w:r>
      <w:r>
        <w:rPr/>
        <w:t xml:space="preserve"> (Q67). {</w:t>
      </w:r>
      <w:r>
        <w:rPr>
          <w:shd w:fill="FFFF00" w:val="clear"/>
        </w:rPr>
        <w:t>Question72[0]</w:t>
      </w:r>
      <w:r>
        <w:rPr/>
        <w:t>} of responding EU countries are not investing or have not stated the number of investments in open-source software. {</w:t>
      </w:r>
      <w:r>
        <w:rPr>
          <w:shd w:fill="FFFF00" w:val="clear"/>
        </w:rPr>
        <w:t>Question72[1]</w:t>
      </w:r>
      <w:r>
        <w:rPr/>
        <w:t>} of EU countries invested &gt;0 to 50 €K, {</w:t>
      </w:r>
      <w:r>
        <w:rPr>
          <w:shd w:fill="FFFF00" w:val="clear"/>
        </w:rPr>
        <w:t>Question72[2]</w:t>
      </w:r>
      <w:r>
        <w:rPr/>
        <w:t>} &gt;50 to 100 €K, {</w:t>
      </w:r>
      <w:r>
        <w:rPr>
          <w:shd w:fill="FFFF00" w:val="clear"/>
        </w:rPr>
        <w:t>Question72[3]</w:t>
      </w:r>
      <w:r>
        <w:rPr/>
        <w:t>} &gt;100 to 250 €K, {</w:t>
      </w:r>
      <w:r>
        <w:rPr>
          <w:shd w:fill="FFFF00" w:val="clear"/>
        </w:rPr>
        <w:t>Question72[4]</w:t>
      </w:r>
      <w:r>
        <w:rPr/>
        <w:t>} &gt;250 to 500 €K, {</w:t>
      </w:r>
      <w:r>
        <w:rPr>
          <w:shd w:fill="FFFF00" w:val="clear"/>
        </w:rPr>
        <w:t>Question72[5]</w:t>
      </w:r>
      <w:r>
        <w:rPr/>
        <w:t>} &gt;500 to 1000 €K, and {</w:t>
      </w:r>
      <w:r>
        <w:rPr>
          <w:shd w:fill="FFFF00" w:val="clear"/>
        </w:rPr>
        <w:t>Question72[6]</w:t>
      </w:r>
      <w:r>
        <w:rPr/>
        <w:t>} &gt;1000 €K per 1000 FTE researchers as shown in Figure 58.</w:t>
      </w:r>
    </w:p>
    <w:p>
      <w:pPr>
        <w:pStyle w:val="normal2"/>
        <w:widowControl w:val="false"/>
        <w:spacing w:lineRule="auto" w:line="240"/>
        <w:rPr/>
      </w:pPr>
      <w:r>
        <w:rPr/>
      </w:r>
    </w:p>
    <w:p>
      <w:pPr>
        <w:pStyle w:val="normal1"/>
        <w:jc w:val="center"/>
        <w:rPr>
          <w:i/>
        </w:rPr>
      </w:pPr>
      <w:r>
        <w:rPr>
          <w:i/>
          <w:highlight w:val="yellow"/>
        </w:rPr>
        <w:t>{%chartImage42}</w:t>
      </w:r>
    </w:p>
    <w:p>
      <w:pPr>
        <w:pStyle w:val="normal2"/>
        <w:jc w:val="center"/>
        <w:rPr/>
      </w:pPr>
      <w:r>
        <w:rPr/>
      </w:r>
    </w:p>
    <w:p>
      <w:pPr>
        <w:pStyle w:val="normal2"/>
        <w:jc w:val="center"/>
        <w:rPr/>
      </w:pPr>
      <w:r>
        <w:rPr>
          <w:i/>
          <w:iCs/>
        </w:rPr>
        <w:t>Figure 58: Number of EU Countries with National Investments in Open-Source Software per 1000 FTE Researchers</w:t>
      </w:r>
    </w:p>
    <w:p>
      <w:pPr>
        <w:pStyle w:val="normal2"/>
        <w:widowControl w:val="false"/>
        <w:spacing w:lineRule="auto" w:line="240"/>
        <w:rPr/>
      </w:pPr>
      <w:r>
        <w:rPr/>
      </w:r>
    </w:p>
    <w:p>
      <w:pPr>
        <w:pStyle w:val="normal2"/>
        <w:widowControl w:val="false"/>
        <w:numPr>
          <w:ilvl w:val="1"/>
          <w:numId w:val="1"/>
        </w:numPr>
        <w:spacing w:lineRule="auto" w:line="240"/>
        <w:rPr/>
      </w:pPr>
      <w:r>
        <w:rPr/>
        <w:t>Impacts</w:t>
      </w:r>
    </w:p>
    <w:p>
      <w:pPr>
        <w:pStyle w:val="normal2"/>
        <w:widowControl w:val="false"/>
        <w:spacing w:lineRule="auto" w:line="240"/>
        <w:rPr/>
      </w:pPr>
      <w:r>
        <w:rPr/>
      </w:r>
    </w:p>
    <w:p>
      <w:pPr>
        <w:pStyle w:val="normal2"/>
        <w:widowControl w:val="false"/>
        <w:numPr>
          <w:ilvl w:val="2"/>
          <w:numId w:val="1"/>
        </w:numPr>
        <w:spacing w:lineRule="auto" w:line="240"/>
        <w:rPr/>
      </w:pPr>
      <w:r>
        <w:rPr/>
        <w:t>Progress in Policies on Software</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Question22[0]</w:t>
      </w:r>
      <w:r>
        <w:rPr/>
        <w:t>} in national policies on open-source software in EU countr</w:t>
      </w:r>
      <w:r>
        <w:rPr>
          <w:shd w:fill="auto" w:val="clear"/>
        </w:rPr>
        <w:t>ies in Survey {</w:t>
      </w:r>
      <w:r>
        <w:rPr>
          <w:highlight w:val="yellow"/>
        </w:rPr>
        <w:t>Year}</w:t>
      </w:r>
      <w:r>
        <w:rPr/>
        <w:t xml:space="preserve"> from the previous year and {</w:t>
      </w:r>
      <w:r>
        <w:rPr>
          <w:shd w:fill="FFFF00" w:val="clear"/>
        </w:rPr>
        <w:t>Question22[1]</w:t>
      </w:r>
      <w:r>
        <w:rPr/>
        <w:t>} since Survey 2022, whereby there is {</w:t>
      </w:r>
      <w:r>
        <w:rPr>
          <w:shd w:fill="FFFF00" w:val="clear"/>
        </w:rPr>
        <w:t>Question22[2]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shd w:fill="FFFF00" w:val="clear"/>
        </w:rPr>
        <w:t>Question22[3]</w:t>
      </w:r>
      <w:r>
        <w:rPr/>
        <w:t>} since Survey 2022 as shown in Figure 59.</w:t>
      </w:r>
    </w:p>
    <w:p>
      <w:pPr>
        <w:pStyle w:val="normal2"/>
        <w:widowControl w:val="false"/>
        <w:spacing w:lineRule="auto" w:line="240"/>
        <w:rPr/>
      </w:pPr>
      <w:r>
        <w:rPr/>
      </w:r>
    </w:p>
    <w:p>
      <w:pPr>
        <w:pStyle w:val="normal1"/>
        <w:jc w:val="center"/>
        <w:rPr>
          <w:i/>
        </w:rPr>
      </w:pPr>
      <w:r>
        <w:rPr>
          <w:i/>
          <w:highlight w:val="yellow"/>
        </w:rPr>
        <w:t>{%chartImage43}</w:t>
      </w:r>
    </w:p>
    <w:p>
      <w:pPr>
        <w:pStyle w:val="normal2"/>
        <w:jc w:val="center"/>
        <w:rPr/>
      </w:pPr>
      <w:r>
        <w:rPr/>
      </w:r>
    </w:p>
    <w:p>
      <w:pPr>
        <w:pStyle w:val="normal2"/>
        <w:jc w:val="center"/>
        <w:rPr/>
      </w:pPr>
      <w:r>
        <w:rPr>
          <w:i/>
          <w:iCs/>
        </w:rPr>
        <w:t>Figure 59: Progress in EU Countries with a National Policy on Open-Source Software</w:t>
      </w:r>
    </w:p>
    <w:p>
      <w:pPr>
        <w:pStyle w:val="normal2"/>
        <w:rPr/>
      </w:pPr>
      <w:r>
        <w:rPr/>
      </w:r>
    </w:p>
    <w:p>
      <w:pPr>
        <w:pStyle w:val="normal2"/>
        <w:widowControl w:val="false"/>
        <w:spacing w:lineRule="auto" w:line="240"/>
        <w:rPr/>
      </w:pPr>
      <w:r>
        <w:rPr/>
        <w:t>There is {</w:t>
      </w:r>
      <w:r>
        <w:rPr>
          <w:shd w:fill="FFFF00" w:val="clear"/>
        </w:rPr>
        <w:t>Question23[0]</w:t>
      </w:r>
      <w:r>
        <w:rPr/>
        <w:t>} in financial strategies on open-source software in EU countr</w:t>
      </w:r>
      <w:r>
        <w:rPr>
          <w:shd w:fill="auto" w:val="clear"/>
        </w:rPr>
        <w:t>ies in Survey {</w:t>
      </w:r>
      <w:r>
        <w:rPr>
          <w:highlight w:val="yellow"/>
        </w:rPr>
        <w:t>Year}</w:t>
      </w:r>
      <w:r>
        <w:rPr/>
        <w:t xml:space="preserve"> from the previous year and {</w:t>
      </w:r>
      <w:r>
        <w:rPr>
          <w:shd w:fill="FFFF00" w:val="clear"/>
        </w:rPr>
        <w:t>Question23[1]</w:t>
      </w:r>
      <w:r>
        <w:rPr/>
        <w:t>} since Survey 2022 as shown in Figure 60.</w:t>
      </w:r>
    </w:p>
    <w:p>
      <w:pPr>
        <w:pStyle w:val="normal2"/>
        <w:widowControl w:val="false"/>
        <w:spacing w:lineRule="auto" w:line="240"/>
        <w:rPr/>
      </w:pPr>
      <w:r>
        <w:rPr/>
      </w:r>
    </w:p>
    <w:p>
      <w:pPr>
        <w:pStyle w:val="normal1"/>
        <w:jc w:val="center"/>
        <w:rPr>
          <w:i/>
        </w:rPr>
      </w:pPr>
      <w:r>
        <w:rPr>
          <w:i/>
          <w:highlight w:val="yellow"/>
        </w:rPr>
        <w:t>{%chartImage44}</w:t>
      </w:r>
    </w:p>
    <w:p>
      <w:pPr>
        <w:pStyle w:val="normal2"/>
        <w:jc w:val="center"/>
        <w:rPr/>
      </w:pPr>
      <w:r>
        <w:rPr/>
      </w:r>
    </w:p>
    <w:p>
      <w:pPr>
        <w:pStyle w:val="normal2"/>
        <w:jc w:val="center"/>
        <w:rPr/>
      </w:pPr>
      <w:r>
        <w:rPr>
          <w:i/>
          <w:iCs/>
        </w:rPr>
        <w:t>Figure 60: Progress in EU Countries with a Financial Strategy on Open-Source Software</w:t>
      </w:r>
    </w:p>
    <w:p>
      <w:pPr>
        <w:pStyle w:val="normal2"/>
        <w:widowControl w:val="false"/>
        <w:spacing w:lineRule="auto" w:line="240"/>
        <w:rPr/>
      </w:pPr>
      <w:r>
        <w:rPr/>
      </w:r>
    </w:p>
    <w:p>
      <w:pPr>
        <w:pStyle w:val="normal2"/>
        <w:widowControl w:val="false"/>
        <w:numPr>
          <w:ilvl w:val="2"/>
          <w:numId w:val="1"/>
        </w:numPr>
        <w:spacing w:lineRule="auto" w:line="240"/>
        <w:rPr/>
      </w:pPr>
      <w:r>
        <w:rPr/>
        <w:t>Progress in Practices on Software</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Question70[0]</w:t>
      </w:r>
      <w:r>
        <w:rPr/>
        <w:t>} in national monitoring on open source software in EU countr</w:t>
      </w:r>
      <w:r>
        <w:rPr>
          <w:shd w:fill="auto" w:val="clear"/>
        </w:rPr>
        <w:t>ies in Survey {</w:t>
      </w:r>
      <w:r>
        <w:rPr>
          <w:highlight w:val="yellow"/>
        </w:rPr>
        <w:t>Year}</w:t>
      </w:r>
      <w:r>
        <w:rPr/>
        <w:t xml:space="preserve"> from the previous year and {</w:t>
      </w:r>
      <w:r>
        <w:rPr>
          <w:shd w:fill="FFFF00" w:val="clear"/>
        </w:rPr>
        <w:t>Question70[1]</w:t>
      </w:r>
      <w:r>
        <w:rPr/>
        <w:t>} since Survey 2022 as shown in Figure 61.</w:t>
      </w:r>
    </w:p>
    <w:p>
      <w:pPr>
        <w:pStyle w:val="normal2"/>
        <w:widowControl w:val="false"/>
        <w:spacing w:lineRule="auto" w:line="240"/>
        <w:rPr/>
      </w:pPr>
      <w:r>
        <w:rPr/>
      </w:r>
    </w:p>
    <w:p>
      <w:pPr>
        <w:pStyle w:val="normal1"/>
        <w:jc w:val="center"/>
        <w:rPr>
          <w:i/>
        </w:rPr>
      </w:pPr>
      <w:r>
        <w:rPr>
          <w:i/>
          <w:highlight w:val="yellow"/>
        </w:rPr>
        <w:t>{%chartImage45}</w:t>
      </w:r>
    </w:p>
    <w:p>
      <w:pPr>
        <w:pStyle w:val="normal2"/>
        <w:jc w:val="center"/>
        <w:rPr/>
      </w:pPr>
      <w:r>
        <w:rPr/>
      </w:r>
    </w:p>
    <w:p>
      <w:pPr>
        <w:pStyle w:val="normal2"/>
        <w:jc w:val="center"/>
        <w:rPr>
          <w:i/>
          <w:iCs/>
        </w:rPr>
      </w:pPr>
      <w:r>
        <w:rPr>
          <w:i/>
          <w:iCs/>
        </w:rPr>
        <w:t>Figure 61: Progress in EU Countries with a National Monitoring on Open-Source Software</w:t>
      </w:r>
    </w:p>
    <w:p>
      <w:pPr>
        <w:pStyle w:val="normal2"/>
        <w:widowControl w:val="false"/>
        <w:spacing w:lineRule="auto" w:line="240"/>
        <w:rPr/>
      </w:pPr>
      <w:r>
        <w:rPr/>
      </w:r>
    </w:p>
    <w:p>
      <w:pPr>
        <w:pStyle w:val="normal2"/>
        <w:widowControl w:val="false"/>
        <w:spacing w:lineRule="auto" w:line="240"/>
        <w:rPr/>
      </w:pPr>
      <w:r>
        <w:rPr/>
        <w:t>There is {</w:t>
      </w:r>
      <w:r>
        <w:rPr>
          <w:shd w:fill="FFFF00" w:val="clear"/>
        </w:rPr>
        <w:t>Question72_trend[0]</w:t>
      </w:r>
      <w:r>
        <w:rPr/>
        <w:t>} in national investments in open-source software per 1000 FTE researchers in EU countr</w:t>
      </w:r>
      <w:r>
        <w:rPr>
          <w:shd w:fill="auto" w:val="clear"/>
        </w:rPr>
        <w:t>ies in Survey {</w:t>
      </w:r>
      <w:r>
        <w:rPr>
          <w:highlight w:val="yellow"/>
        </w:rPr>
        <w:t>Year}</w:t>
      </w:r>
      <w:r>
        <w:rPr/>
        <w:t xml:space="preserve"> from the previous year and {</w:t>
      </w:r>
      <w:r>
        <w:rPr>
          <w:shd w:fill="FFFF00" w:val="clear"/>
        </w:rPr>
        <w:t>Question72_trend[1]</w:t>
      </w:r>
      <w:r>
        <w:rPr/>
        <w:t>} since Survey 2022 as shown in Figure 62.</w:t>
      </w:r>
    </w:p>
    <w:p>
      <w:pPr>
        <w:pStyle w:val="normal1"/>
        <w:jc w:val="center"/>
        <w:rPr>
          <w:i/>
        </w:rPr>
      </w:pPr>
      <w:r>
        <w:rPr>
          <w:i/>
          <w:highlight w:val="yellow"/>
        </w:rPr>
        <w:t>{%chartImage46}</w:t>
      </w:r>
    </w:p>
    <w:p>
      <w:pPr>
        <w:pStyle w:val="normal2"/>
        <w:jc w:val="center"/>
        <w:rPr/>
      </w:pPr>
      <w:r>
        <w:rPr/>
      </w:r>
    </w:p>
    <w:p>
      <w:pPr>
        <w:pStyle w:val="normal2"/>
        <w:jc w:val="center"/>
        <w:rPr/>
      </w:pPr>
      <w:r>
        <w:rPr>
          <w:i/>
          <w:iCs/>
        </w:rPr>
        <w:t>Figure 62: Trend in EU Countries with National Investments in Open-Source Software per 1000 FTE Researchers</w:t>
      </w:r>
    </w:p>
    <w:p>
      <w:pPr>
        <w:pStyle w:val="normal2"/>
        <w:numPr>
          <w:ilvl w:val="0"/>
          <w:numId w:val="1"/>
        </w:numPr>
        <w:rPr>
          <w:b/>
          <w:bCs/>
        </w:rPr>
      </w:pPr>
      <w:r>
        <w:rPr>
          <w:b/>
          <w:bCs/>
        </w:rPr>
        <w:t>Infrastructure</w:t>
      </w:r>
    </w:p>
    <w:p>
      <w:pPr>
        <w:pStyle w:val="normal2"/>
        <w:widowControl w:val="false"/>
        <w:spacing w:lineRule="auto" w:line="240"/>
        <w:rPr/>
      </w:pPr>
      <w:r>
        <w:rPr/>
      </w:r>
    </w:p>
    <w:p>
      <w:pPr>
        <w:pStyle w:val="normal2"/>
        <w:widowControl w:val="false"/>
        <w:spacing w:lineRule="auto" w:line="240"/>
        <w:rPr/>
      </w:pPr>
      <w:r>
        <w:rPr/>
        <w:t>The infrastructure category consists of three main topics: connecting repositories to EOSC, data stewardship, and long-term data preservation.</w:t>
      </w:r>
    </w:p>
    <w:p>
      <w:pPr>
        <w:pStyle w:val="normal2"/>
        <w:widowControl w:val="false"/>
        <w:spacing w:lineRule="auto" w:line="240"/>
        <w:rPr/>
      </w:pPr>
      <w:r>
        <w:rPr/>
      </w:r>
    </w:p>
    <w:p>
      <w:pPr>
        <w:pStyle w:val="normal2"/>
        <w:widowControl w:val="false"/>
        <w:numPr>
          <w:ilvl w:val="1"/>
          <w:numId w:val="1"/>
        </w:numPr>
        <w:spacing w:lineRule="auto" w:line="240"/>
        <w:rPr/>
      </w:pPr>
      <w:r>
        <w:rPr/>
        <w:t>Policies</w:t>
      </w:r>
    </w:p>
    <w:p>
      <w:pPr>
        <w:pStyle w:val="normal2"/>
        <w:widowControl w:val="false"/>
        <w:spacing w:lineRule="auto" w:line="240"/>
        <w:rPr/>
      </w:pPr>
      <w:r>
        <w:rPr/>
      </w:r>
    </w:p>
    <w:p>
      <w:pPr>
        <w:pStyle w:val="normal2"/>
        <w:widowControl w:val="false"/>
        <w:numPr>
          <w:ilvl w:val="2"/>
          <w:numId w:val="1"/>
        </w:numPr>
        <w:spacing w:lineRule="auto" w:line="240"/>
        <w:rPr/>
      </w:pPr>
      <w:r>
        <w:rPr/>
        <w:t>National Policies on Infrastructure</w:t>
      </w:r>
    </w:p>
    <w:p>
      <w:pPr>
        <w:pStyle w:val="normal2"/>
        <w:widowControl w:val="false"/>
        <w:spacing w:lineRule="auto" w:line="240"/>
        <w:rPr/>
      </w:pPr>
      <w:r>
        <w:rPr/>
      </w:r>
    </w:p>
    <w:p>
      <w:pPr>
        <w:pStyle w:val="normal2"/>
        <w:widowControl w:val="false"/>
        <w:spacing w:lineRule="auto" w:line="240"/>
        <w:rPr/>
      </w:pPr>
      <w:r>
        <w:rPr/>
        <w:t>The first main policy question on data stewardship in Survey {</w:t>
      </w:r>
      <w:r>
        <w:rPr>
          <w:highlight w:val="yellow"/>
        </w:rPr>
        <w:t>Year}</w:t>
      </w:r>
      <w:r>
        <w:rPr/>
        <w:t xml:space="preserve"> is </w:t>
      </w:r>
      <w:r>
        <w:rPr>
          <w:i/>
          <w:iCs/>
        </w:rPr>
        <w:t>Does your country have a national policy on data stewardship?</w:t>
      </w:r>
      <w:r>
        <w:rPr/>
        <w:t xml:space="preserve"> (Q29) followed by </w:t>
      </w:r>
      <w:r>
        <w:rPr>
          <w:i/>
          <w:iCs/>
        </w:rPr>
        <w:t>Is this policy mandatory?</w:t>
      </w:r>
      <w:r>
        <w:rPr/>
        <w:t xml:space="preserve"> (Q29.1). A data steward hereby refers to a professional data steward who supports researchers in their research data management. {</w:t>
      </w:r>
      <w:r>
        <w:rPr>
          <w:shd w:fill="FFFF00" w:val="clear"/>
        </w:rPr>
        <w:t>Question34</w:t>
      </w:r>
      <w:r>
        <w:rPr/>
        <w:t>} of responding EU countries have a national policy on data stewardship, whereby {</w:t>
      </w:r>
      <w:r>
        <w:rPr>
          <w:shd w:fill="FFFF00" w:val="clear"/>
        </w:rPr>
        <w:t>Question34.1</w:t>
      </w:r>
      <w:r>
        <w:rPr/>
        <w:t>} are mandatory as shown in Figures 63 and 64.</w:t>
      </w:r>
    </w:p>
    <w:p>
      <w:pPr>
        <w:pStyle w:val="normal2"/>
        <w:widowControl w:val="false"/>
        <w:spacing w:lineRule="auto" w:line="240"/>
        <w:rPr/>
      </w:pPr>
      <w:r>
        <w:rPr/>
      </w:r>
    </w:p>
    <w:p>
      <w:pPr>
        <w:pStyle w:val="normal1"/>
        <w:jc w:val="center"/>
        <w:rPr>
          <w:i/>
        </w:rPr>
      </w:pPr>
      <w:r>
        <w:rPr>
          <w:i/>
          <w:highlight w:val="yellow"/>
        </w:rPr>
        <w:t>{%chartImage56}</w:t>
      </w:r>
    </w:p>
    <w:p>
      <w:pPr>
        <w:pStyle w:val="normal2"/>
        <w:jc w:val="center"/>
        <w:rPr/>
      </w:pPr>
      <w:r>
        <w:rPr/>
      </w:r>
    </w:p>
    <w:p>
      <w:pPr>
        <w:pStyle w:val="normal2"/>
        <w:jc w:val="center"/>
        <w:rPr>
          <w:i/>
          <w:iCs/>
        </w:rPr>
      </w:pPr>
      <w:r>
        <w:rPr>
          <w:i/>
          <w:iCs/>
        </w:rPr>
        <w:t>Figure 63: Map of EU Countries with a National Policy on Data Stewardship</w:t>
      </w:r>
    </w:p>
    <w:p>
      <w:pPr>
        <w:pStyle w:val="normal2"/>
        <w:widowControl w:val="false"/>
        <w:spacing w:lineRule="auto" w:line="240"/>
        <w:rPr/>
      </w:pPr>
      <w:r>
        <w:rPr/>
      </w:r>
    </w:p>
    <w:p>
      <w:pPr>
        <w:pStyle w:val="normal1"/>
        <w:jc w:val="center"/>
        <w:rPr>
          <w:i/>
        </w:rPr>
      </w:pPr>
      <w:r>
        <w:rPr>
          <w:i/>
          <w:highlight w:val="yellow"/>
        </w:rPr>
        <w:t>{%pieChartImage_55_0}</w:t>
      </w:r>
    </w:p>
    <w:p>
      <w:pPr>
        <w:pStyle w:val="normal1"/>
        <w:jc w:val="center"/>
        <w:rPr>
          <w:i/>
        </w:rPr>
      </w:pPr>
      <w:r>
        <w:rPr>
          <w:i/>
          <w:highlight w:val="yellow"/>
        </w:rPr>
        <w:t>{%pieChartImage_55_1}</w:t>
      </w:r>
    </w:p>
    <w:p>
      <w:pPr>
        <w:pStyle w:val="normal2"/>
        <w:jc w:val="center"/>
        <w:rPr/>
      </w:pPr>
      <w:r>
        <w:rPr/>
      </w:r>
    </w:p>
    <w:p>
      <w:pPr>
        <w:pStyle w:val="normal2"/>
        <w:jc w:val="center"/>
        <w:rPr/>
      </w:pPr>
      <w:r>
        <w:rPr>
          <w:i/>
          <w:iCs/>
        </w:rPr>
        <w:t>Figure 64: Share of EU Countries with a National Policy on Data Stewardship</w:t>
      </w:r>
    </w:p>
    <w:p>
      <w:pPr>
        <w:pStyle w:val="normal2"/>
        <w:rPr/>
      </w:pPr>
      <w:r>
        <w:rPr/>
      </w:r>
    </w:p>
    <w:p>
      <w:pPr>
        <w:pStyle w:val="normal2"/>
        <w:rPr/>
      </w:pPr>
      <w:r>
        <w:rPr/>
        <w:t>The first main policy question on long-term data preservation in Survey {</w:t>
      </w:r>
      <w:r>
        <w:rPr>
          <w:highlight w:val="yellow"/>
        </w:rPr>
        <w:t>Year}</w:t>
      </w:r>
      <w:r>
        <w:rPr/>
        <w:t xml:space="preserve"> is </w:t>
      </w:r>
      <w:r>
        <w:rPr>
          <w:i/>
          <w:iCs/>
        </w:rPr>
        <w:t>Does your country have a national policy on long-term data preservation?</w:t>
      </w:r>
      <w:r>
        <w:rPr/>
        <w:t xml:space="preserve"> (Q33) followed by </w:t>
      </w:r>
      <w:r>
        <w:rPr>
          <w:i/>
          <w:iCs/>
        </w:rPr>
        <w:t>Is this policy mandatory?</w:t>
      </w:r>
      <w:r>
        <w:rPr/>
        <w:t xml:space="preserve"> (Q33.1). Long-term data preservation hereby refers to ensuring that digital or physical access is provided (taking legitimate interests and constraints into account) to data or other results needed for the validation of the conclusions of peer-reviewed research publications for a substantial period of time (with a minimum of at least 5 years and preferably 10 years) or longer according to disciplinary deposition practices. {</w:t>
      </w:r>
      <w:r>
        <w:rPr>
          <w:shd w:fill="FFFF00" w:val="clear"/>
        </w:rPr>
        <w:t>Question38</w:t>
      </w:r>
      <w:r>
        <w:rPr/>
        <w:t>} of responding EU countries have a national policy on long-term data preservation, whereby {</w:t>
      </w:r>
      <w:r>
        <w:rPr>
          <w:shd w:fill="FFFF00" w:val="clear"/>
        </w:rPr>
        <w:t>Question38.1</w:t>
      </w:r>
      <w:r>
        <w:rPr/>
        <w:t>} are mandatory as shown in Figures 65 and 66.</w:t>
      </w:r>
    </w:p>
    <w:p>
      <w:pPr>
        <w:pStyle w:val="normal2"/>
        <w:widowControl w:val="false"/>
        <w:spacing w:lineRule="auto" w:line="240"/>
        <w:rPr/>
      </w:pPr>
      <w:r>
        <w:rPr/>
      </w:r>
    </w:p>
    <w:p>
      <w:pPr>
        <w:pStyle w:val="normal1"/>
        <w:jc w:val="center"/>
        <w:rPr>
          <w:i/>
        </w:rPr>
      </w:pPr>
      <w:r>
        <w:rPr>
          <w:i/>
          <w:highlight w:val="yellow"/>
        </w:rPr>
        <w:t>{%chartImage57}</w:t>
      </w:r>
    </w:p>
    <w:p>
      <w:pPr>
        <w:pStyle w:val="normal2"/>
        <w:jc w:val="center"/>
        <w:rPr/>
      </w:pPr>
      <w:r>
        <w:rPr/>
      </w:r>
    </w:p>
    <w:p>
      <w:pPr>
        <w:pStyle w:val="normal2"/>
        <w:jc w:val="center"/>
        <w:rPr>
          <w:i/>
          <w:iCs/>
        </w:rPr>
      </w:pPr>
      <w:r>
        <w:rPr>
          <w:i/>
          <w:iCs/>
        </w:rPr>
        <w:t>Figure 65: Map of EU Countries with a National Policy on Long-Term Data Preservation</w:t>
      </w:r>
    </w:p>
    <w:p>
      <w:pPr>
        <w:pStyle w:val="normal2"/>
        <w:widowControl w:val="false"/>
        <w:spacing w:lineRule="auto" w:line="240"/>
        <w:rPr/>
      </w:pPr>
      <w:r>
        <w:rPr/>
      </w:r>
    </w:p>
    <w:p>
      <w:pPr>
        <w:pStyle w:val="normal1"/>
        <w:jc w:val="center"/>
        <w:rPr>
          <w:i/>
        </w:rPr>
      </w:pPr>
      <w:r>
        <w:rPr>
          <w:i/>
          <w:highlight w:val="yellow"/>
        </w:rPr>
        <w:t>{%pieChartImage_56_0}</w:t>
      </w:r>
    </w:p>
    <w:p>
      <w:pPr>
        <w:pStyle w:val="normal1"/>
        <w:jc w:val="center"/>
        <w:rPr>
          <w:i/>
        </w:rPr>
      </w:pPr>
      <w:r>
        <w:rPr>
          <w:i/>
          <w:highlight w:val="yellow"/>
        </w:rPr>
        <w:t>{%pieChartImage_56_1}</w:t>
      </w:r>
    </w:p>
    <w:p>
      <w:pPr>
        <w:pStyle w:val="normal2"/>
        <w:jc w:val="center"/>
        <w:rPr/>
      </w:pPr>
      <w:r>
        <w:rPr/>
      </w:r>
    </w:p>
    <w:p>
      <w:pPr>
        <w:pStyle w:val="normal2"/>
        <w:jc w:val="center"/>
        <w:rPr/>
      </w:pPr>
      <w:r>
        <w:rPr>
          <w:i/>
          <w:iCs/>
        </w:rPr>
        <w:t>Figure 66: Share of EU Countries with a National Policy on Long-Term Data Preservation</w:t>
      </w:r>
    </w:p>
    <w:p>
      <w:pPr>
        <w:pStyle w:val="normal2"/>
        <w:widowControl w:val="false"/>
        <w:spacing w:lineRule="auto" w:line="240"/>
        <w:rPr/>
      </w:pPr>
      <w:r>
        <w:rPr/>
      </w:r>
    </w:p>
    <w:p>
      <w:pPr>
        <w:pStyle w:val="normal2"/>
        <w:widowControl w:val="false"/>
        <w:numPr>
          <w:ilvl w:val="2"/>
          <w:numId w:val="1"/>
        </w:numPr>
        <w:spacing w:lineRule="auto" w:line="240"/>
        <w:rPr/>
      </w:pPr>
      <w:r>
        <w:rPr/>
        <w:t>Financial Strategies on Infrastructure</w:t>
      </w:r>
    </w:p>
    <w:p>
      <w:pPr>
        <w:pStyle w:val="normal2"/>
        <w:rPr/>
      </w:pPr>
      <w:r>
        <w:rPr/>
      </w:r>
    </w:p>
    <w:p>
      <w:pPr>
        <w:pStyle w:val="normal2"/>
        <w:widowControl w:val="false"/>
        <w:spacing w:lineRule="auto" w:line="240"/>
        <w:rPr/>
      </w:pPr>
      <w:r>
        <w:rPr/>
        <w:t>The second main policy question on data stewardship in Survey {</w:t>
      </w:r>
      <w:r>
        <w:rPr>
          <w:highlight w:val="yellow"/>
        </w:rPr>
        <w:t>Year}</w:t>
      </w:r>
      <w:r>
        <w:rPr/>
        <w:t xml:space="preserve"> is </w:t>
      </w:r>
      <w:r>
        <w:rPr>
          <w:i/>
          <w:iCs/>
        </w:rPr>
        <w:t>Does your country have a financial strategy on data stewardship?</w:t>
      </w:r>
      <w:r>
        <w:rPr/>
        <w:t xml:space="preserve"> (Q30). {</w:t>
      </w:r>
      <w:r>
        <w:rPr>
          <w:shd w:fill="FFFF00" w:val="clear"/>
        </w:rPr>
        <w:t>Question35</w:t>
      </w:r>
      <w:r>
        <w:rPr/>
        <w:t>} of responding EU countries have a financial strategy on data stewardship as shown in Figures 67 and 68.</w:t>
      </w:r>
    </w:p>
    <w:p>
      <w:pPr>
        <w:pStyle w:val="normal2"/>
        <w:widowControl w:val="false"/>
        <w:spacing w:lineRule="auto" w:line="240"/>
        <w:rPr/>
      </w:pPr>
      <w:r>
        <w:rPr/>
      </w:r>
    </w:p>
    <w:p>
      <w:pPr>
        <w:pStyle w:val="normal1"/>
        <w:jc w:val="center"/>
        <w:rPr>
          <w:i/>
        </w:rPr>
      </w:pPr>
      <w:r>
        <w:rPr>
          <w:i/>
          <w:highlight w:val="yellow"/>
        </w:rPr>
        <w:t>{%chartImage59}</w:t>
      </w:r>
    </w:p>
    <w:p>
      <w:pPr>
        <w:pStyle w:val="normal2"/>
        <w:jc w:val="center"/>
        <w:rPr/>
      </w:pPr>
      <w:r>
        <w:rPr/>
      </w:r>
    </w:p>
    <w:p>
      <w:pPr>
        <w:pStyle w:val="normal2"/>
        <w:jc w:val="center"/>
        <w:rPr>
          <w:i/>
          <w:iCs/>
        </w:rPr>
      </w:pPr>
      <w:r>
        <w:rPr>
          <w:i/>
          <w:iCs/>
        </w:rPr>
        <w:t>Figure 67: Map of EU Countries with a Financial Strategy on Data Stewardship</w:t>
      </w:r>
    </w:p>
    <w:p>
      <w:pPr>
        <w:pStyle w:val="normal2"/>
        <w:widowControl w:val="false"/>
        <w:spacing w:lineRule="auto" w:line="240"/>
        <w:rPr/>
      </w:pPr>
      <w:r>
        <w:rPr/>
      </w:r>
    </w:p>
    <w:p>
      <w:pPr>
        <w:pStyle w:val="normal1"/>
        <w:jc w:val="center"/>
        <w:rPr>
          <w:i/>
        </w:rPr>
      </w:pPr>
      <w:r>
        <w:rPr>
          <w:i/>
          <w:highlight w:val="yellow"/>
        </w:rPr>
        <w:t>{%pieChartImage_58_0}</w:t>
      </w:r>
    </w:p>
    <w:p>
      <w:pPr>
        <w:pStyle w:val="normal2"/>
        <w:jc w:val="center"/>
        <w:rPr/>
      </w:pPr>
      <w:r>
        <w:rPr/>
      </w:r>
    </w:p>
    <w:p>
      <w:pPr>
        <w:pStyle w:val="normal2"/>
        <w:jc w:val="center"/>
        <w:rPr/>
      </w:pPr>
      <w:r>
        <w:rPr>
          <w:i/>
          <w:iCs/>
        </w:rPr>
        <w:t>Figure 68: Share of EU Countries with a Financial Strategy on Data Stewardship</w:t>
      </w:r>
    </w:p>
    <w:p>
      <w:pPr>
        <w:pStyle w:val="normal2"/>
        <w:widowControl w:val="false"/>
        <w:spacing w:lineRule="auto" w:line="240"/>
        <w:rPr/>
      </w:pPr>
      <w:r>
        <w:rPr/>
      </w:r>
    </w:p>
    <w:p>
      <w:pPr>
        <w:pStyle w:val="normal2"/>
        <w:widowControl w:val="false"/>
        <w:spacing w:lineRule="auto" w:line="240"/>
        <w:rPr/>
      </w:pPr>
      <w:r>
        <w:rPr/>
        <w:t>The second main policy question on long-term data preservation in Survey {</w:t>
      </w:r>
      <w:r>
        <w:rPr>
          <w:highlight w:val="yellow"/>
        </w:rPr>
        <w:t>Year}</w:t>
      </w:r>
      <w:r>
        <w:rPr/>
        <w:t xml:space="preserve"> is </w:t>
      </w:r>
      <w:r>
        <w:rPr>
          <w:i/>
          <w:iCs/>
        </w:rPr>
        <w:t>Does your country have a financial strategy on long-term data preservation?</w:t>
      </w:r>
      <w:r>
        <w:rPr/>
        <w:t xml:space="preserve"> (Q34). {</w:t>
      </w:r>
      <w:r>
        <w:rPr>
          <w:shd w:fill="FFFF00" w:val="clear"/>
        </w:rPr>
        <w:t>Question39</w:t>
      </w:r>
      <w:r>
        <w:rPr/>
        <w:t>} of responding EU countries have a financial strategy on long-term data preservation as shown in Figures 69 and 70.</w:t>
      </w:r>
    </w:p>
    <w:p>
      <w:pPr>
        <w:pStyle w:val="normal2"/>
        <w:widowControl w:val="false"/>
        <w:spacing w:lineRule="auto" w:line="240"/>
        <w:rPr/>
      </w:pPr>
      <w:r>
        <w:rPr/>
      </w:r>
    </w:p>
    <w:p>
      <w:pPr>
        <w:pStyle w:val="normal1"/>
        <w:jc w:val="center"/>
        <w:rPr>
          <w:i/>
        </w:rPr>
      </w:pPr>
      <w:r>
        <w:rPr>
          <w:i/>
          <w:highlight w:val="yellow"/>
        </w:rPr>
        <w:t>{%chartImage60}</w:t>
      </w:r>
    </w:p>
    <w:p>
      <w:pPr>
        <w:pStyle w:val="normal2"/>
        <w:jc w:val="center"/>
        <w:rPr/>
      </w:pPr>
      <w:r>
        <w:rPr/>
      </w:r>
    </w:p>
    <w:p>
      <w:pPr>
        <w:pStyle w:val="normal2"/>
        <w:jc w:val="center"/>
        <w:rPr>
          <w:i/>
          <w:iCs/>
        </w:rPr>
      </w:pPr>
      <w:r>
        <w:rPr>
          <w:i/>
          <w:iCs/>
        </w:rPr>
        <w:t>Figure 69: Map of EU Countries with a Financial Strategy on Long-Term Data Preservation</w:t>
      </w:r>
    </w:p>
    <w:p>
      <w:pPr>
        <w:pStyle w:val="normal2"/>
        <w:widowControl w:val="false"/>
        <w:spacing w:lineRule="auto" w:line="240"/>
        <w:rPr/>
      </w:pPr>
      <w:r>
        <w:rPr/>
      </w:r>
    </w:p>
    <w:p>
      <w:pPr>
        <w:pStyle w:val="normal1"/>
        <w:jc w:val="center"/>
        <w:rPr>
          <w:i/>
        </w:rPr>
      </w:pPr>
      <w:r>
        <w:rPr>
          <w:i/>
          <w:highlight w:val="yellow"/>
        </w:rPr>
        <w:t>{%pieChartImage_59_0}</w:t>
      </w:r>
    </w:p>
    <w:p>
      <w:pPr>
        <w:pStyle w:val="normal2"/>
        <w:jc w:val="center"/>
        <w:rPr/>
      </w:pPr>
      <w:r>
        <w:rPr/>
      </w:r>
    </w:p>
    <w:p>
      <w:pPr>
        <w:pStyle w:val="normal2"/>
        <w:jc w:val="center"/>
        <w:rPr/>
      </w:pPr>
      <w:r>
        <w:rPr>
          <w:i/>
          <w:iCs/>
        </w:rPr>
        <w:t>Figure 70: Share of EU Countries with a Financial Strategy on Long-Term Data Preservation</w:t>
      </w:r>
    </w:p>
    <w:p>
      <w:pPr>
        <w:pStyle w:val="normal2"/>
        <w:widowControl w:val="false"/>
        <w:spacing w:lineRule="auto" w:line="240"/>
        <w:rPr/>
      </w:pPr>
      <w:r>
        <w:rPr/>
      </w:r>
    </w:p>
    <w:p>
      <w:pPr>
        <w:pStyle w:val="normal2"/>
        <w:widowControl w:val="false"/>
        <w:spacing w:lineRule="auto" w:line="240"/>
        <w:rPr/>
      </w:pPr>
      <w:r>
        <w:rPr/>
      </w:r>
    </w:p>
    <w:p>
      <w:pPr>
        <w:pStyle w:val="normal2"/>
        <w:widowControl w:val="false"/>
        <w:numPr>
          <w:ilvl w:val="1"/>
          <w:numId w:val="1"/>
        </w:numPr>
        <w:spacing w:lineRule="auto" w:line="240"/>
        <w:rPr/>
      </w:pPr>
      <w:r>
        <w:rPr/>
        <w:t>Practices</w:t>
      </w:r>
    </w:p>
    <w:p>
      <w:pPr>
        <w:pStyle w:val="normal2"/>
        <w:widowControl w:val="false"/>
        <w:spacing w:lineRule="auto" w:line="240"/>
        <w:rPr/>
      </w:pPr>
      <w:r>
        <w:rPr/>
      </w:r>
    </w:p>
    <w:p>
      <w:pPr>
        <w:pStyle w:val="normal2"/>
        <w:widowControl w:val="false"/>
        <w:numPr>
          <w:ilvl w:val="2"/>
          <w:numId w:val="1"/>
        </w:numPr>
        <w:spacing w:lineRule="auto" w:line="240"/>
        <w:rPr/>
      </w:pPr>
      <w:r>
        <w:rPr/>
        <w:t>National Monitoring on Infrastructure</w:t>
      </w:r>
    </w:p>
    <w:p>
      <w:pPr>
        <w:pStyle w:val="normal2"/>
        <w:widowControl w:val="false"/>
        <w:spacing w:lineRule="auto" w:line="240"/>
        <w:rPr/>
      </w:pPr>
      <w:r>
        <w:rPr/>
      </w:r>
    </w:p>
    <w:p>
      <w:pPr>
        <w:pStyle w:val="normal2"/>
        <w:widowControl w:val="false"/>
        <w:spacing w:lineRule="auto" w:line="240"/>
        <w:rPr/>
      </w:pPr>
      <w:r>
        <w:rPr/>
        <w:t>The first main practice question on data stewardship in Survey {</w:t>
      </w:r>
      <w:r>
        <w:rPr>
          <w:highlight w:val="yellow"/>
        </w:rPr>
        <w:t>Year}</w:t>
      </w:r>
      <w:r>
        <w:rPr/>
        <w:t xml:space="preserve"> is </w:t>
      </w:r>
      <w:r>
        <w:rPr>
          <w:i/>
          <w:iCs/>
        </w:rPr>
        <w:t>Does your country have a national monitoring on data stewardship?</w:t>
      </w:r>
      <w:r>
        <w:rPr/>
        <w:t xml:space="preserve"> (Q77). {</w:t>
      </w:r>
      <w:r>
        <w:rPr>
          <w:shd w:fill="FFFF00" w:val="clear"/>
        </w:rPr>
        <w:t>Question82</w:t>
      </w:r>
      <w:r>
        <w:rPr/>
        <w:t>} of responding EU countries have a national monitoring on data stewardship as shown in Figures 71 and 72.</w:t>
      </w:r>
    </w:p>
    <w:p>
      <w:pPr>
        <w:pStyle w:val="normal2"/>
        <w:widowControl w:val="false"/>
        <w:spacing w:lineRule="auto" w:line="240"/>
        <w:rPr/>
      </w:pPr>
      <w:r>
        <w:rPr/>
      </w:r>
    </w:p>
    <w:p>
      <w:pPr>
        <w:pStyle w:val="normal1"/>
        <w:jc w:val="center"/>
        <w:rPr>
          <w:i/>
        </w:rPr>
      </w:pPr>
      <w:r>
        <w:rPr>
          <w:i/>
          <w:highlight w:val="yellow"/>
        </w:rPr>
        <w:t>{%chartImage62}</w:t>
      </w:r>
    </w:p>
    <w:p>
      <w:pPr>
        <w:pStyle w:val="normal2"/>
        <w:jc w:val="center"/>
        <w:rPr/>
      </w:pPr>
      <w:r>
        <w:rPr/>
      </w:r>
    </w:p>
    <w:p>
      <w:pPr>
        <w:pStyle w:val="normal2"/>
        <w:jc w:val="center"/>
        <w:rPr/>
      </w:pPr>
      <w:r>
        <w:rPr>
          <w:i/>
          <w:iCs/>
        </w:rPr>
        <w:t>Figure 71: Map of EU Countries with a National Monitoring on Data Stewardship</w:t>
      </w:r>
    </w:p>
    <w:p>
      <w:pPr>
        <w:pStyle w:val="normal2"/>
        <w:widowControl w:val="false"/>
        <w:spacing w:lineRule="auto" w:line="240"/>
        <w:rPr/>
      </w:pPr>
      <w:r>
        <w:rPr/>
      </w:r>
    </w:p>
    <w:p>
      <w:pPr>
        <w:pStyle w:val="normal1"/>
        <w:jc w:val="center"/>
        <w:rPr>
          <w:i/>
        </w:rPr>
      </w:pPr>
      <w:r>
        <w:rPr>
          <w:i/>
          <w:highlight w:val="yellow"/>
        </w:rPr>
        <w:t>{%pieChartImage_61_0}</w:t>
      </w:r>
    </w:p>
    <w:p>
      <w:pPr>
        <w:pStyle w:val="normal2"/>
        <w:jc w:val="center"/>
        <w:rPr/>
      </w:pPr>
      <w:r>
        <w:rPr/>
      </w:r>
    </w:p>
    <w:p>
      <w:pPr>
        <w:pStyle w:val="normal2"/>
        <w:jc w:val="center"/>
        <w:rPr/>
      </w:pPr>
      <w:r>
        <w:rPr>
          <w:i/>
          <w:iCs/>
        </w:rPr>
        <w:t>Figure 72: Share of EU Countries with a National Monitoring on Data Stewardship</w:t>
      </w:r>
    </w:p>
    <w:p>
      <w:pPr>
        <w:pStyle w:val="normal2"/>
        <w:widowControl w:val="false"/>
        <w:spacing w:lineRule="auto" w:line="240"/>
        <w:rPr/>
      </w:pPr>
      <w:r>
        <w:rPr/>
      </w:r>
    </w:p>
    <w:p>
      <w:pPr>
        <w:pStyle w:val="normal2"/>
        <w:widowControl w:val="false"/>
        <w:spacing w:lineRule="auto" w:line="240"/>
        <w:rPr/>
      </w:pPr>
      <w:r>
        <w:rPr/>
        <w:t>The first main practice question on long-term data preservation in Survey {</w:t>
      </w:r>
      <w:r>
        <w:rPr>
          <w:highlight w:val="yellow"/>
        </w:rPr>
        <w:t>Year}</w:t>
      </w:r>
      <w:r>
        <w:rPr/>
        <w:t xml:space="preserve"> is </w:t>
      </w:r>
      <w:r>
        <w:rPr>
          <w:i/>
          <w:iCs/>
        </w:rPr>
        <w:t>Does your country have a national monitoring on long-term data preservation?</w:t>
      </w:r>
      <w:r>
        <w:rPr/>
        <w:t xml:space="preserve"> (Q81). {</w:t>
      </w:r>
      <w:r>
        <w:rPr>
          <w:shd w:fill="FFFF00" w:val="clear"/>
        </w:rPr>
        <w:t>Question86</w:t>
      </w:r>
      <w:r>
        <w:rPr/>
        <w:t>} of responding EU countries have a national monitoring on long-term data preservation as shown in Figures 73 and 74.</w:t>
      </w:r>
    </w:p>
    <w:p>
      <w:pPr>
        <w:pStyle w:val="normal2"/>
        <w:widowControl w:val="false"/>
        <w:spacing w:lineRule="auto" w:line="240"/>
        <w:rPr/>
      </w:pPr>
      <w:r>
        <w:rPr/>
      </w:r>
    </w:p>
    <w:p>
      <w:pPr>
        <w:pStyle w:val="normal1"/>
        <w:jc w:val="center"/>
        <w:rPr>
          <w:i/>
        </w:rPr>
      </w:pPr>
      <w:r>
        <w:rPr>
          <w:i/>
          <w:highlight w:val="yellow"/>
        </w:rPr>
        <w:t>{%chartImage63}</w:t>
      </w:r>
    </w:p>
    <w:p>
      <w:pPr>
        <w:pStyle w:val="normal2"/>
        <w:jc w:val="center"/>
        <w:rPr/>
      </w:pPr>
      <w:r>
        <w:rPr/>
      </w:r>
    </w:p>
    <w:p>
      <w:pPr>
        <w:pStyle w:val="normal2"/>
        <w:jc w:val="center"/>
        <w:rPr/>
      </w:pPr>
      <w:r>
        <w:rPr>
          <w:i/>
          <w:iCs/>
        </w:rPr>
        <w:t>Figure 73: Map of EU Countries with a National Monitoring on Long-Term Data Preservation</w:t>
      </w:r>
    </w:p>
    <w:p>
      <w:pPr>
        <w:pStyle w:val="normal2"/>
        <w:widowControl w:val="false"/>
        <w:spacing w:lineRule="auto" w:line="240"/>
        <w:rPr/>
      </w:pPr>
      <w:r>
        <w:rPr/>
      </w:r>
    </w:p>
    <w:p>
      <w:pPr>
        <w:pStyle w:val="normal1"/>
        <w:jc w:val="center"/>
        <w:rPr>
          <w:i/>
        </w:rPr>
      </w:pPr>
      <w:r>
        <w:rPr>
          <w:highlight w:val="yellow"/>
        </w:rPr>
        <w:t>[</w:t>
      </w:r>
      <w:r>
        <w:rPr>
          <w:i/>
          <w:highlight w:val="yellow"/>
        </w:rPr>
        <w:t>{%pieChartImage_62_0}</w:t>
      </w:r>
    </w:p>
    <w:p>
      <w:pPr>
        <w:pStyle w:val="normal2"/>
        <w:rPr/>
      </w:pPr>
      <w:r>
        <w:rPr/>
      </w:r>
    </w:p>
    <w:p>
      <w:pPr>
        <w:pStyle w:val="normal2"/>
        <w:jc w:val="center"/>
        <w:rPr/>
      </w:pPr>
      <w:r>
        <w:rPr>
          <w:i/>
          <w:iCs/>
        </w:rPr>
        <w:t>Figure 74: Share of EU Countries with a National Monitoring on Long-Term Data Preservation</w:t>
      </w:r>
    </w:p>
    <w:p>
      <w:pPr>
        <w:pStyle w:val="normal2"/>
        <w:widowControl w:val="false"/>
        <w:spacing w:lineRule="auto" w:line="240"/>
        <w:rPr/>
      </w:pPr>
      <w:r>
        <w:rPr/>
      </w:r>
    </w:p>
    <w:p>
      <w:pPr>
        <w:pStyle w:val="normal2"/>
        <w:widowControl w:val="false"/>
        <w:numPr>
          <w:ilvl w:val="2"/>
          <w:numId w:val="1"/>
        </w:numPr>
        <w:spacing w:lineRule="auto" w:line="240"/>
        <w:rPr/>
      </w:pPr>
      <w:r>
        <w:rPr/>
        <w:t>National Investments in Infrastructure</w:t>
      </w:r>
    </w:p>
    <w:p>
      <w:pPr>
        <w:pStyle w:val="normal2"/>
        <w:widowControl w:val="false"/>
        <w:spacing w:lineRule="auto" w:line="240"/>
        <w:rPr/>
      </w:pPr>
      <w:r>
        <w:rPr/>
      </w:r>
    </w:p>
    <w:p>
      <w:pPr>
        <w:pStyle w:val="normal2"/>
        <w:widowControl w:val="false"/>
        <w:spacing w:lineRule="auto" w:line="240"/>
        <w:rPr/>
      </w:pPr>
      <w:r>
        <w:rPr/>
        <w:t>The second main practice question on data stewardship in Survey {</w:t>
      </w:r>
      <w:r>
        <w:rPr>
          <w:highlight w:val="yellow"/>
        </w:rPr>
        <w:t>Year}</w:t>
      </w:r>
      <w:r>
        <w:rPr/>
        <w:t xml:space="preserve"> is </w:t>
      </w:r>
      <w:r>
        <w:rPr>
          <w:i/>
          <w:iCs/>
        </w:rPr>
        <w:t xml:space="preserve">How much did your country financially invest in data stewardship in </w:t>
      </w:r>
      <w:r>
        <w:rPr/>
        <w:t>{</w:t>
      </w:r>
      <w:r>
        <w:rPr>
          <w:highlight w:val="yellow"/>
        </w:rPr>
        <w:t>Fisca</w:t>
      </w:r>
      <w:r>
        <w:rPr>
          <w:i/>
          <w:iCs/>
        </w:rPr>
        <w:t>lYear} in millions of Euros?</w:t>
      </w:r>
      <w:r>
        <w:rPr/>
        <w:t xml:space="preserve"> (Q79). {</w:t>
      </w:r>
      <w:r>
        <w:rPr>
          <w:highlight w:val="yellow"/>
        </w:rPr>
        <w:t>Question84[0]}</w:t>
      </w:r>
      <w:r>
        <w:rPr/>
        <w:t xml:space="preserve"> of responding EU countries are not investing or have not stated the number of investments in data stewardship. {</w:t>
      </w:r>
      <w:r>
        <w:rPr>
          <w:highlight w:val="yellow"/>
        </w:rPr>
        <w:t>Question84[1]}</w:t>
      </w:r>
      <w:r>
        <w:rPr/>
        <w:t xml:space="preserve"> of EU countries invested &gt;0 to 50 €K, {</w:t>
      </w:r>
      <w:r>
        <w:rPr>
          <w:highlight w:val="yellow"/>
        </w:rPr>
        <w:t>Question84[2]}</w:t>
      </w:r>
      <w:r>
        <w:rPr/>
        <w:t xml:space="preserve"> &gt;50 to 100 €K, {</w:t>
      </w:r>
      <w:r>
        <w:rPr>
          <w:highlight w:val="yellow"/>
        </w:rPr>
        <w:t>Question84[3]}</w:t>
      </w:r>
      <w:r>
        <w:rPr/>
        <w:t xml:space="preserve"> &gt;100 to 250 €K, {</w:t>
      </w:r>
      <w:r>
        <w:rPr>
          <w:highlight w:val="yellow"/>
        </w:rPr>
        <w:t>Question84[4]}</w:t>
      </w:r>
      <w:r>
        <w:rPr/>
        <w:t xml:space="preserve"> &gt;250 to 500 €K, {</w:t>
      </w:r>
      <w:r>
        <w:rPr>
          <w:highlight w:val="yellow"/>
        </w:rPr>
        <w:t>Question84[5]}</w:t>
      </w:r>
      <w:r>
        <w:rPr/>
        <w:t xml:space="preserve"> &gt;500 to 1000 €K, and {</w:t>
      </w:r>
      <w:r>
        <w:rPr>
          <w:highlight w:val="yellow"/>
        </w:rPr>
        <w:t>Question84[6]}</w:t>
      </w:r>
      <w:r>
        <w:rPr/>
        <w:t xml:space="preserve"> &gt;1000 €K per 1000 FTE researchers as shown in Figure 75.</w:t>
      </w:r>
    </w:p>
    <w:p>
      <w:pPr>
        <w:pStyle w:val="normal2"/>
        <w:widowControl w:val="false"/>
        <w:spacing w:lineRule="auto" w:line="240"/>
        <w:rPr/>
      </w:pPr>
      <w:r>
        <w:rPr/>
      </w:r>
    </w:p>
    <w:p>
      <w:pPr>
        <w:pStyle w:val="normal1"/>
        <w:jc w:val="center"/>
        <w:rPr>
          <w:i/>
        </w:rPr>
      </w:pPr>
      <w:r>
        <w:rPr>
          <w:i/>
          <w:highlight w:val="yellow"/>
        </w:rPr>
        <w:t>{%chartImage65}</w:t>
      </w:r>
    </w:p>
    <w:p>
      <w:pPr>
        <w:pStyle w:val="normal2"/>
        <w:jc w:val="center"/>
        <w:rPr/>
      </w:pPr>
      <w:r>
        <w:rPr/>
      </w:r>
    </w:p>
    <w:p>
      <w:pPr>
        <w:pStyle w:val="normal2"/>
        <w:jc w:val="center"/>
        <w:rPr/>
      </w:pPr>
      <w:r>
        <w:rPr>
          <w:i/>
          <w:iCs/>
        </w:rPr>
        <w:t>Figure 75: Number of EU Countries with National Investments in Data Stewardship per 1000 FTE Researchers</w:t>
      </w:r>
    </w:p>
    <w:p>
      <w:pPr>
        <w:pStyle w:val="normal2"/>
        <w:widowControl w:val="false"/>
        <w:spacing w:lineRule="auto" w:line="240"/>
        <w:rPr/>
      </w:pPr>
      <w:r>
        <w:rPr/>
      </w:r>
    </w:p>
    <w:p>
      <w:pPr>
        <w:pStyle w:val="normal2"/>
        <w:widowControl w:val="false"/>
        <w:spacing w:lineRule="auto" w:line="240"/>
        <w:rPr/>
      </w:pPr>
      <w:r>
        <w:rPr/>
        <w:t>The second main practice question on long-term data preservation in Survey {</w:t>
      </w:r>
      <w:r>
        <w:rPr>
          <w:highlight w:val="yellow"/>
        </w:rPr>
        <w:t>Year}</w:t>
      </w:r>
      <w:r>
        <w:rPr/>
        <w:t xml:space="preserve"> is </w:t>
      </w:r>
      <w:r>
        <w:rPr>
          <w:i/>
          <w:iCs/>
        </w:rPr>
        <w:t xml:space="preserve">How much did your country financially invest in long-term data preservation in </w:t>
      </w:r>
      <w:r>
        <w:rPr/>
        <w:t>{</w:t>
      </w:r>
      <w:r>
        <w:rPr>
          <w:highlight w:val="yellow"/>
        </w:rPr>
        <w:t>Fisca</w:t>
      </w:r>
      <w:r>
        <w:rPr>
          <w:i/>
          <w:iCs/>
        </w:rPr>
        <w:t>lYear} in millions of Euros?</w:t>
      </w:r>
      <w:r>
        <w:rPr/>
        <w:t xml:space="preserve"> (Q83). {</w:t>
      </w:r>
      <w:r>
        <w:rPr>
          <w:highlight w:val="yellow"/>
        </w:rPr>
        <w:t>Question88[0]}</w:t>
      </w:r>
      <w:r>
        <w:rPr/>
        <w:t xml:space="preserve"> of responding EU countries are not investing or have not stated the amount of investments in long-term data preservation. {</w:t>
      </w:r>
      <w:r>
        <w:rPr>
          <w:highlight w:val="yellow"/>
        </w:rPr>
        <w:t>Question88[1]}</w:t>
      </w:r>
      <w:r>
        <w:rPr/>
        <w:t xml:space="preserve"> of EU countries invested &gt;0 to 50 €K, {</w:t>
      </w:r>
      <w:r>
        <w:rPr>
          <w:highlight w:val="yellow"/>
        </w:rPr>
        <w:t>Question88[2]}</w:t>
      </w:r>
      <w:r>
        <w:rPr/>
        <w:t xml:space="preserve"> &gt;50 to 100 €K, {</w:t>
      </w:r>
      <w:r>
        <w:rPr>
          <w:highlight w:val="yellow"/>
        </w:rPr>
        <w:t>Question88[3]}</w:t>
      </w:r>
      <w:r>
        <w:rPr/>
        <w:t xml:space="preserve"> &gt;100 to 250 €K, {</w:t>
      </w:r>
      <w:r>
        <w:rPr>
          <w:highlight w:val="yellow"/>
        </w:rPr>
        <w:t>Question88[4]}</w:t>
      </w:r>
      <w:r>
        <w:rPr/>
        <w:t xml:space="preserve"> &gt;250 to 500 €K, {</w:t>
      </w:r>
      <w:r>
        <w:rPr>
          <w:highlight w:val="yellow"/>
        </w:rPr>
        <w:t>Question88[5]}</w:t>
      </w:r>
      <w:r>
        <w:rPr/>
        <w:t xml:space="preserve"> &gt;500 to 1000 €K, and {</w:t>
      </w:r>
      <w:r>
        <w:rPr>
          <w:highlight w:val="yellow"/>
        </w:rPr>
        <w:t>Question88[6]}</w:t>
      </w:r>
      <w:r>
        <w:rPr/>
        <w:t xml:space="preserve"> &gt;1000 €K per 1000 FTE researchers as shown in Figure 76.</w:t>
      </w:r>
    </w:p>
    <w:p>
      <w:pPr>
        <w:pStyle w:val="normal2"/>
        <w:widowControl w:val="false"/>
        <w:spacing w:lineRule="auto" w:line="240"/>
        <w:rPr/>
      </w:pPr>
      <w:r>
        <w:rPr/>
      </w:r>
    </w:p>
    <w:p>
      <w:pPr>
        <w:pStyle w:val="normal1"/>
        <w:jc w:val="center"/>
        <w:rPr>
          <w:i/>
        </w:rPr>
      </w:pPr>
      <w:r>
        <w:rPr>
          <w:i/>
          <w:highlight w:val="yellow"/>
        </w:rPr>
        <w:t>{%chartImage66}</w:t>
      </w:r>
    </w:p>
    <w:p>
      <w:pPr>
        <w:pStyle w:val="normal2"/>
        <w:jc w:val="center"/>
        <w:rPr/>
      </w:pPr>
      <w:r>
        <w:rPr/>
      </w:r>
    </w:p>
    <w:p>
      <w:pPr>
        <w:pStyle w:val="normal2"/>
        <w:jc w:val="center"/>
        <w:rPr/>
      </w:pPr>
      <w:r>
        <w:rPr>
          <w:i/>
          <w:iCs/>
        </w:rPr>
        <w:t>Figure 76: Number of EU Countries with National Investments in Long-Term Data Preservation per 1000 FTE Researchers</w:t>
      </w:r>
    </w:p>
    <w:p>
      <w:pPr>
        <w:pStyle w:val="normal2"/>
        <w:widowControl w:val="false"/>
        <w:spacing w:lineRule="auto" w:line="240"/>
        <w:rPr/>
      </w:pPr>
      <w:r>
        <w:rPr/>
      </w:r>
    </w:p>
    <w:p>
      <w:pPr>
        <w:pStyle w:val="normal2"/>
        <w:widowControl w:val="false"/>
        <w:numPr>
          <w:ilvl w:val="1"/>
          <w:numId w:val="1"/>
        </w:numPr>
        <w:spacing w:lineRule="auto" w:line="240"/>
        <w:rPr/>
      </w:pPr>
      <w:r>
        <w:rPr/>
        <w:t>Impacts</w:t>
      </w:r>
    </w:p>
    <w:p>
      <w:pPr>
        <w:pStyle w:val="normal2"/>
        <w:widowControl w:val="false"/>
        <w:spacing w:lineRule="auto" w:line="240"/>
        <w:rPr/>
      </w:pPr>
      <w:r>
        <w:rPr/>
      </w:r>
    </w:p>
    <w:p>
      <w:pPr>
        <w:pStyle w:val="normal2"/>
        <w:widowControl w:val="false"/>
        <w:numPr>
          <w:ilvl w:val="2"/>
          <w:numId w:val="1"/>
        </w:numPr>
        <w:spacing w:lineRule="auto" w:line="240"/>
        <w:rPr/>
      </w:pPr>
      <w:r>
        <w:rPr/>
        <w:t>Progress in Policies on Infrastructure</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Question34[0]}</w:t>
      </w:r>
      <w:r>
        <w:rPr/>
        <w:t xml:space="preserve"> in national policies on data stewardship in EU countr</w:t>
      </w:r>
      <w:r>
        <w:rPr>
          <w:shd w:fill="auto" w:val="clear"/>
        </w:rPr>
        <w:t>ies in Survey {</w:t>
      </w:r>
      <w:r>
        <w:rPr>
          <w:highlight w:val="yellow"/>
        </w:rPr>
        <w:t>Year}</w:t>
      </w:r>
      <w:r>
        <w:rPr/>
        <w:t xml:space="preserve"> from the previous year and {</w:t>
      </w:r>
      <w:r>
        <w:rPr>
          <w:highlight w:val="yellow"/>
        </w:rPr>
        <w:t>Question34[1]}</w:t>
      </w:r>
      <w:r>
        <w:rPr/>
        <w:t xml:space="preserve"> since Survey 2022, whereby there is {</w:t>
      </w:r>
      <w:r>
        <w:rPr>
          <w:highlight w:val="yellow"/>
        </w:rPr>
        <w:t>Question34[2]}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highlight w:val="yellow"/>
        </w:rPr>
        <w:t>Question34[3]}</w:t>
      </w:r>
      <w:r>
        <w:rPr/>
        <w:t xml:space="preserve"> since Survey 2022 as shown in Figure 77.</w:t>
      </w:r>
    </w:p>
    <w:p>
      <w:pPr>
        <w:pStyle w:val="normal2"/>
        <w:widowControl w:val="false"/>
        <w:spacing w:lineRule="auto" w:line="240"/>
        <w:rPr/>
      </w:pPr>
      <w:r>
        <w:rPr/>
      </w:r>
    </w:p>
    <w:p>
      <w:pPr>
        <w:pStyle w:val="normal1"/>
        <w:jc w:val="center"/>
        <w:rPr>
          <w:i/>
        </w:rPr>
      </w:pPr>
      <w:r>
        <w:rPr>
          <w:i/>
          <w:highlight w:val="yellow"/>
        </w:rPr>
        <w:t>{%chartImage68}</w:t>
      </w:r>
    </w:p>
    <w:p>
      <w:pPr>
        <w:pStyle w:val="normal2"/>
        <w:jc w:val="center"/>
        <w:rPr/>
      </w:pPr>
      <w:r>
        <w:rPr/>
      </w:r>
    </w:p>
    <w:p>
      <w:pPr>
        <w:pStyle w:val="normal2"/>
        <w:jc w:val="center"/>
        <w:rPr/>
      </w:pPr>
      <w:r>
        <w:rPr>
          <w:i/>
          <w:iCs/>
        </w:rPr>
        <w:t>Figure 77: Progress in EU Countries with a National Policy on Data Stewardship</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Question38[0]}</w:t>
      </w:r>
      <w:r>
        <w:rPr/>
        <w:t xml:space="preserve"> in national policies on long-term data preservation in EU countr</w:t>
      </w:r>
      <w:r>
        <w:rPr>
          <w:shd w:fill="auto" w:val="clear"/>
        </w:rPr>
        <w:t>ies in Survey {</w:t>
      </w:r>
      <w:r>
        <w:rPr>
          <w:highlight w:val="yellow"/>
        </w:rPr>
        <w:t>Year}</w:t>
      </w:r>
      <w:r>
        <w:rPr/>
        <w:t xml:space="preserve"> from the previous year and {</w:t>
      </w:r>
      <w:r>
        <w:rPr>
          <w:highlight w:val="yellow"/>
        </w:rPr>
        <w:t>Question38[1]}</w:t>
      </w:r>
      <w:r>
        <w:rPr/>
        <w:t xml:space="preserve"> since Survey 2022, whereby there is {</w:t>
      </w:r>
      <w:r>
        <w:rPr>
          <w:highlight w:val="yellow"/>
        </w:rPr>
        <w:t>Question38[2]}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highlight w:val="yellow"/>
        </w:rPr>
        <w:t>Question38[3]}</w:t>
      </w:r>
      <w:r>
        <w:rPr/>
        <w:t xml:space="preserve"> since Survey 2022 as shown in Figure 78.</w:t>
      </w:r>
    </w:p>
    <w:p>
      <w:pPr>
        <w:pStyle w:val="normal2"/>
        <w:widowControl w:val="false"/>
        <w:spacing w:lineRule="auto" w:line="240"/>
        <w:rPr/>
      </w:pPr>
      <w:r>
        <w:rPr/>
      </w:r>
    </w:p>
    <w:p>
      <w:pPr>
        <w:pStyle w:val="normal1"/>
        <w:jc w:val="center"/>
        <w:rPr>
          <w:i/>
        </w:rPr>
      </w:pPr>
      <w:r>
        <w:rPr>
          <w:i/>
          <w:highlight w:val="yellow"/>
        </w:rPr>
        <w:t>{%chartImage69}</w:t>
      </w:r>
    </w:p>
    <w:p>
      <w:pPr>
        <w:pStyle w:val="normal2"/>
        <w:jc w:val="center"/>
        <w:rPr/>
      </w:pPr>
      <w:r>
        <w:rPr/>
      </w:r>
    </w:p>
    <w:p>
      <w:pPr>
        <w:pStyle w:val="normal2"/>
        <w:jc w:val="center"/>
        <w:rPr/>
      </w:pPr>
      <w:r>
        <w:rPr>
          <w:i/>
          <w:iCs/>
        </w:rPr>
        <w:t>Figure 78: Progress in EU Countries with a National Policy on Long-Term Data Preservation</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Question35[0]}</w:t>
      </w:r>
      <w:r>
        <w:rPr/>
        <w:t xml:space="preserve"> in financial strategies on data stewardship in Survey {</w:t>
      </w:r>
      <w:r>
        <w:rPr>
          <w:highlight w:val="yellow"/>
        </w:rPr>
        <w:t>Year}</w:t>
      </w:r>
      <w:r>
        <w:rPr/>
        <w:t xml:space="preserve"> from the previous year and {</w:t>
      </w:r>
      <w:r>
        <w:rPr>
          <w:highlight w:val="yellow"/>
        </w:rPr>
        <w:t>Question35[1]}</w:t>
      </w:r>
      <w:r>
        <w:rPr/>
        <w:t xml:space="preserve"> since Survey 2022 as shown in Figure 79.</w:t>
      </w:r>
    </w:p>
    <w:p>
      <w:pPr>
        <w:pStyle w:val="normal2"/>
        <w:widowControl w:val="false"/>
        <w:spacing w:lineRule="auto" w:line="240"/>
        <w:rPr/>
      </w:pPr>
      <w:r>
        <w:rPr/>
      </w:r>
    </w:p>
    <w:p>
      <w:pPr>
        <w:pStyle w:val="normal1"/>
        <w:jc w:val="center"/>
        <w:rPr>
          <w:i/>
        </w:rPr>
      </w:pPr>
      <w:r>
        <w:rPr>
          <w:i/>
          <w:highlight w:val="yellow"/>
        </w:rPr>
        <w:t>{%chartImage71}</w:t>
      </w:r>
    </w:p>
    <w:p>
      <w:pPr>
        <w:pStyle w:val="normal2"/>
        <w:jc w:val="center"/>
        <w:rPr/>
      </w:pPr>
      <w:r>
        <w:rPr/>
      </w:r>
    </w:p>
    <w:p>
      <w:pPr>
        <w:pStyle w:val="normal2"/>
        <w:jc w:val="center"/>
        <w:rPr/>
      </w:pPr>
      <w:r>
        <w:rPr>
          <w:i/>
          <w:iCs/>
        </w:rPr>
        <w:t>Figure 79: Progress in EU Countries with a Financial Strategy on Data Stewardship</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Question39[0]}</w:t>
      </w:r>
      <w:r>
        <w:rPr/>
        <w:t xml:space="preserve"> in financial strategies on long-term data preservation in Survey {</w:t>
      </w:r>
      <w:r>
        <w:rPr>
          <w:highlight w:val="yellow"/>
        </w:rPr>
        <w:t>Year}</w:t>
      </w:r>
      <w:r>
        <w:rPr/>
        <w:t xml:space="preserve"> from the previous year and {</w:t>
      </w:r>
      <w:r>
        <w:rPr>
          <w:highlight w:val="yellow"/>
        </w:rPr>
        <w:t>Question39[1]}</w:t>
      </w:r>
      <w:r>
        <w:rPr/>
        <w:t xml:space="preserve"> since Survey 2022 as shown in Figure 80.</w:t>
      </w:r>
    </w:p>
    <w:p>
      <w:pPr>
        <w:pStyle w:val="normal2"/>
        <w:widowControl w:val="false"/>
        <w:spacing w:lineRule="auto" w:line="240"/>
        <w:rPr/>
      </w:pPr>
      <w:r>
        <w:rPr/>
      </w:r>
    </w:p>
    <w:p>
      <w:pPr>
        <w:pStyle w:val="normal1"/>
        <w:jc w:val="center"/>
        <w:rPr>
          <w:i/>
        </w:rPr>
      </w:pPr>
      <w:r>
        <w:rPr>
          <w:i/>
          <w:highlight w:val="yellow"/>
        </w:rPr>
        <w:t>{%chartImage72}</w:t>
      </w:r>
    </w:p>
    <w:p>
      <w:pPr>
        <w:pStyle w:val="normal2"/>
        <w:jc w:val="center"/>
        <w:rPr/>
      </w:pPr>
      <w:r>
        <w:rPr/>
      </w:r>
    </w:p>
    <w:p>
      <w:pPr>
        <w:pStyle w:val="normal2"/>
        <w:jc w:val="center"/>
        <w:rPr/>
      </w:pPr>
      <w:r>
        <w:rPr>
          <w:i/>
          <w:iCs/>
        </w:rPr>
        <w:t>Figure 80: Progress in EU Countries with a Financial Strategy on Long-Term Data Preservation</w:t>
      </w:r>
    </w:p>
    <w:p>
      <w:pPr>
        <w:pStyle w:val="normal2"/>
        <w:widowControl w:val="false"/>
        <w:spacing w:lineRule="auto" w:line="240"/>
        <w:rPr/>
      </w:pPr>
      <w:r>
        <w:rPr/>
      </w:r>
    </w:p>
    <w:p>
      <w:pPr>
        <w:pStyle w:val="normal2"/>
        <w:widowControl w:val="false"/>
        <w:numPr>
          <w:ilvl w:val="2"/>
          <w:numId w:val="1"/>
        </w:numPr>
        <w:spacing w:lineRule="auto" w:line="240"/>
        <w:rPr>
          <w:i/>
          <w:iCs/>
        </w:rPr>
      </w:pPr>
      <w:r>
        <w:rPr/>
        <w:t>Progress in Practices on Infrastructure</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Question82[0]}</w:t>
      </w:r>
      <w:r>
        <w:rPr/>
        <w:t xml:space="preserve"> in national monitoring on data stewardship in EU countr</w:t>
      </w:r>
      <w:r>
        <w:rPr>
          <w:shd w:fill="auto" w:val="clear"/>
        </w:rPr>
        <w:t>ies in Survey {</w:t>
      </w:r>
      <w:r>
        <w:rPr>
          <w:highlight w:val="yellow"/>
        </w:rPr>
        <w:t>Year}</w:t>
      </w:r>
      <w:r>
        <w:rPr/>
        <w:t xml:space="preserve"> from the previous year and {</w:t>
      </w:r>
      <w:r>
        <w:rPr>
          <w:highlight w:val="yellow"/>
        </w:rPr>
        <w:t>Question82[1]}</w:t>
      </w:r>
      <w:r>
        <w:rPr/>
        <w:t xml:space="preserve"> since Survey 2022 as shown in Figure 81.</w:t>
      </w:r>
    </w:p>
    <w:p>
      <w:pPr>
        <w:pStyle w:val="normal2"/>
        <w:widowControl w:val="false"/>
        <w:spacing w:lineRule="auto" w:line="240"/>
        <w:rPr/>
      </w:pPr>
      <w:r>
        <w:rPr/>
      </w:r>
    </w:p>
    <w:p>
      <w:pPr>
        <w:pStyle w:val="normal1"/>
        <w:jc w:val="center"/>
        <w:rPr>
          <w:i/>
        </w:rPr>
      </w:pPr>
      <w:r>
        <w:rPr>
          <w:i/>
          <w:highlight w:val="yellow"/>
        </w:rPr>
        <w:t>{%chartImage74}</w:t>
      </w:r>
    </w:p>
    <w:p>
      <w:pPr>
        <w:pStyle w:val="normal2"/>
        <w:jc w:val="center"/>
        <w:rPr/>
      </w:pPr>
      <w:r>
        <w:rPr/>
      </w:r>
    </w:p>
    <w:p>
      <w:pPr>
        <w:pStyle w:val="normal2"/>
        <w:jc w:val="center"/>
        <w:rPr/>
      </w:pPr>
      <w:r>
        <w:rPr>
          <w:i/>
          <w:iCs/>
        </w:rPr>
        <w:t>Figure 81: Progress in EU Countries with a National Monitoring on Data Stewardship</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Question86[0]}</w:t>
      </w:r>
      <w:r>
        <w:rPr/>
        <w:t xml:space="preserve"> in national monitoring on long-term data preservation in EU countr</w:t>
      </w:r>
      <w:r>
        <w:rPr>
          <w:shd w:fill="auto" w:val="clear"/>
        </w:rPr>
        <w:t>ies in Survey {</w:t>
      </w:r>
      <w:r>
        <w:rPr>
          <w:highlight w:val="yellow"/>
        </w:rPr>
        <w:t>Year}</w:t>
      </w:r>
      <w:r>
        <w:rPr/>
        <w:t xml:space="preserve"> from the previous year and {</w:t>
      </w:r>
      <w:r>
        <w:rPr>
          <w:highlight w:val="yellow"/>
        </w:rPr>
        <w:t>Question86[1]}</w:t>
      </w:r>
      <w:r>
        <w:rPr/>
        <w:t xml:space="preserve"> since Survey 2022 as shown in Figure 82.</w:t>
      </w:r>
    </w:p>
    <w:p>
      <w:pPr>
        <w:pStyle w:val="normal2"/>
        <w:widowControl w:val="false"/>
        <w:spacing w:lineRule="auto" w:line="240"/>
        <w:rPr/>
      </w:pPr>
      <w:r>
        <w:rPr/>
      </w:r>
    </w:p>
    <w:p>
      <w:pPr>
        <w:pStyle w:val="normal1"/>
        <w:jc w:val="center"/>
        <w:rPr>
          <w:i/>
        </w:rPr>
      </w:pPr>
      <w:r>
        <w:rPr>
          <w:i/>
          <w:highlight w:val="yellow"/>
        </w:rPr>
        <w:t>{%chartImage75}</w:t>
      </w:r>
    </w:p>
    <w:p>
      <w:pPr>
        <w:pStyle w:val="normal2"/>
        <w:jc w:val="center"/>
        <w:rPr/>
      </w:pPr>
      <w:r>
        <w:rPr/>
      </w:r>
    </w:p>
    <w:p>
      <w:pPr>
        <w:pStyle w:val="normal2"/>
        <w:jc w:val="center"/>
        <w:rPr/>
      </w:pPr>
      <w:r>
        <w:rPr>
          <w:i/>
          <w:iCs/>
        </w:rPr>
        <w:t>Figure 82: Progress in EU Countries with a National Monitoring on Long-Term Data Preservation</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Question84_trend[0]</w:t>
      </w:r>
      <w:r>
        <w:rPr/>
        <w:t>} in national investments in data stewardship per 1000 FTE researchers in EU countr</w:t>
      </w:r>
      <w:r>
        <w:rPr>
          <w:shd w:fill="auto" w:val="clear"/>
        </w:rPr>
        <w:t>ies in Survey {</w:t>
      </w:r>
      <w:r>
        <w:rPr>
          <w:highlight w:val="yellow"/>
        </w:rPr>
        <w:t>Year}</w:t>
      </w:r>
      <w:r>
        <w:rPr/>
        <w:t xml:space="preserve"> from the previous year and {</w:t>
      </w:r>
      <w:r>
        <w:rPr>
          <w:highlight w:val="yellow"/>
        </w:rPr>
        <w:t>Question84_trend[1]</w:t>
      </w:r>
      <w:r>
        <w:rPr/>
        <w:t>} since Survey 2022 as shown in Figure 83.</w:t>
      </w:r>
    </w:p>
    <w:p>
      <w:pPr>
        <w:pStyle w:val="normal2"/>
        <w:widowControl w:val="false"/>
        <w:spacing w:lineRule="auto" w:line="240"/>
        <w:rPr/>
      </w:pPr>
      <w:r>
        <w:rPr/>
      </w:r>
    </w:p>
    <w:p>
      <w:pPr>
        <w:pStyle w:val="normal1"/>
        <w:jc w:val="center"/>
        <w:rPr>
          <w:i/>
        </w:rPr>
      </w:pPr>
      <w:r>
        <w:rPr>
          <w:i/>
          <w:highlight w:val="yellow"/>
        </w:rPr>
        <w:t>{%chartImage77}</w:t>
      </w:r>
    </w:p>
    <w:p>
      <w:pPr>
        <w:pStyle w:val="normal2"/>
        <w:jc w:val="center"/>
        <w:rPr/>
      </w:pPr>
      <w:r>
        <w:rPr/>
      </w:r>
    </w:p>
    <w:p>
      <w:pPr>
        <w:pStyle w:val="normal2"/>
        <w:jc w:val="center"/>
        <w:rPr/>
      </w:pPr>
      <w:r>
        <w:rPr>
          <w:i/>
          <w:iCs/>
        </w:rPr>
        <w:t>Figure 83: Progress in EU Countries with National Investments in Data Stewardship per 1000 FTE Researchers</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Question88_trend[0]</w:t>
      </w:r>
      <w:r>
        <w:rPr/>
        <w:t>} in national investments in long-term data preservation per 1000 FTE researchers in EU countr</w:t>
      </w:r>
      <w:r>
        <w:rPr>
          <w:shd w:fill="auto" w:val="clear"/>
        </w:rPr>
        <w:t>ies in Survey {</w:t>
      </w:r>
      <w:r>
        <w:rPr>
          <w:highlight w:val="yellow"/>
        </w:rPr>
        <w:t>Year}</w:t>
      </w:r>
      <w:r>
        <w:rPr/>
        <w:t xml:space="preserve"> from the previous year and {</w:t>
      </w:r>
      <w:r>
        <w:rPr>
          <w:highlight w:val="yellow"/>
        </w:rPr>
        <w:t>Question88_trend[1]</w:t>
      </w:r>
      <w:r>
        <w:rPr/>
        <w:t>} since Survey 2022 as shown in Figure 84.</w:t>
      </w:r>
    </w:p>
    <w:p>
      <w:pPr>
        <w:pStyle w:val="normal2"/>
        <w:widowControl w:val="false"/>
        <w:spacing w:lineRule="auto" w:line="240"/>
        <w:rPr/>
      </w:pPr>
      <w:r>
        <w:rPr/>
      </w:r>
    </w:p>
    <w:p>
      <w:pPr>
        <w:pStyle w:val="normal1"/>
        <w:jc w:val="center"/>
        <w:rPr>
          <w:i/>
        </w:rPr>
      </w:pPr>
      <w:r>
        <w:rPr>
          <w:i/>
          <w:highlight w:val="yellow"/>
        </w:rPr>
        <w:t>{%chartImage78}</w:t>
      </w:r>
    </w:p>
    <w:p>
      <w:pPr>
        <w:pStyle w:val="normal2"/>
        <w:jc w:val="center"/>
        <w:rPr/>
      </w:pPr>
      <w:r>
        <w:rPr/>
      </w:r>
    </w:p>
    <w:p>
      <w:pPr>
        <w:pStyle w:val="normal2"/>
        <w:jc w:val="center"/>
        <w:rPr/>
      </w:pPr>
      <w:r>
        <w:rPr>
          <w:i/>
          <w:iCs/>
        </w:rPr>
        <w:t>Figure 84: Progress in EU Countries with National Investments in Long-Term Data Preservation per 1000 FTE Researchers</w:t>
      </w:r>
    </w:p>
    <w:p>
      <w:pPr>
        <w:pStyle w:val="normal2"/>
        <w:widowControl w:val="false"/>
        <w:spacing w:lineRule="auto" w:line="240"/>
        <w:rPr/>
      </w:pPr>
      <w:r>
        <w:rPr/>
      </w:r>
    </w:p>
    <w:p>
      <w:pPr>
        <w:pStyle w:val="normal2"/>
        <w:widowControl w:val="false"/>
        <w:numPr>
          <w:ilvl w:val="0"/>
          <w:numId w:val="1"/>
        </w:numPr>
        <w:spacing w:lineRule="auto" w:line="240"/>
        <w:rPr>
          <w:b/>
          <w:bCs/>
        </w:rPr>
      </w:pPr>
      <w:r>
        <w:rPr>
          <w:b/>
          <w:bCs/>
        </w:rPr>
        <w:t>Skills/Training</w:t>
      </w:r>
    </w:p>
    <w:p>
      <w:pPr>
        <w:pStyle w:val="normal2"/>
        <w:widowControl w:val="false"/>
        <w:spacing w:lineRule="auto" w:line="240"/>
        <w:rPr/>
      </w:pPr>
      <w:r>
        <w:rPr/>
      </w:r>
    </w:p>
    <w:p>
      <w:pPr>
        <w:pStyle w:val="normal2"/>
        <w:widowControl w:val="false"/>
        <w:spacing w:lineRule="auto" w:line="240"/>
        <w:rPr/>
      </w:pPr>
      <w:r>
        <w:rPr/>
        <w:t>The skills/training category consists of one main topic: skills/training for Open Science.</w:t>
      </w:r>
    </w:p>
    <w:p>
      <w:pPr>
        <w:pStyle w:val="normal2"/>
        <w:widowControl w:val="false"/>
        <w:spacing w:lineRule="auto" w:line="240"/>
        <w:rPr/>
      </w:pPr>
      <w:r>
        <w:rPr/>
      </w:r>
    </w:p>
    <w:p>
      <w:pPr>
        <w:pStyle w:val="normal2"/>
        <w:widowControl w:val="false"/>
        <w:numPr>
          <w:ilvl w:val="1"/>
          <w:numId w:val="1"/>
        </w:numPr>
        <w:spacing w:lineRule="auto" w:line="240"/>
        <w:rPr/>
      </w:pPr>
      <w:r>
        <w:rPr/>
        <w:t>Policies</w:t>
      </w:r>
    </w:p>
    <w:p>
      <w:pPr>
        <w:pStyle w:val="normal2"/>
        <w:widowControl w:val="false"/>
        <w:spacing w:lineRule="auto" w:line="240"/>
        <w:rPr/>
      </w:pPr>
      <w:r>
        <w:rPr/>
      </w:r>
    </w:p>
    <w:p>
      <w:pPr>
        <w:pStyle w:val="normal2"/>
        <w:widowControl w:val="false"/>
        <w:numPr>
          <w:ilvl w:val="2"/>
          <w:numId w:val="1"/>
        </w:numPr>
        <w:spacing w:lineRule="auto" w:line="240"/>
        <w:rPr/>
      </w:pPr>
      <w:r>
        <w:rPr/>
        <w:t>National Policy on Skills/Training</w:t>
      </w:r>
    </w:p>
    <w:p>
      <w:pPr>
        <w:pStyle w:val="normal2"/>
        <w:widowControl w:val="false"/>
        <w:spacing w:lineRule="auto" w:line="240"/>
        <w:rPr/>
      </w:pPr>
      <w:r>
        <w:rPr/>
      </w:r>
    </w:p>
    <w:p>
      <w:pPr>
        <w:pStyle w:val="normal2"/>
        <w:widowControl w:val="false"/>
        <w:spacing w:lineRule="auto" w:line="240"/>
        <w:rPr/>
      </w:pPr>
      <w:r>
        <w:rPr/>
        <w:t>The first main policy question on skills/training for Open Science in Survey {</w:t>
      </w:r>
      <w:r>
        <w:rPr>
          <w:highlight w:val="yellow"/>
        </w:rPr>
        <w:t>Year}</w:t>
      </w:r>
      <w:r>
        <w:rPr/>
        <w:t xml:space="preserve"> is </w:t>
      </w:r>
      <w:r>
        <w:rPr>
          <w:i/>
          <w:iCs/>
        </w:rPr>
        <w:t>Does your country have a national policy on skills/training for Open Science?</w:t>
      </w:r>
      <w:r>
        <w:rPr/>
        <w:t xml:space="preserve"> (Q37) followed by </w:t>
      </w:r>
      <w:r>
        <w:rPr>
          <w:i/>
          <w:iCs/>
        </w:rPr>
        <w:t>Is this policy mandatory?</w:t>
      </w:r>
      <w:r>
        <w:rPr/>
        <w:t xml:space="preserve"> (Q37.1). {</w:t>
      </w:r>
      <w:r>
        <w:rPr>
          <w:shd w:fill="FFFF00" w:val="clear"/>
        </w:rPr>
        <w:t>Question42</w:t>
      </w:r>
      <w:r>
        <w:rPr/>
        <w:t>} of responding EU countries have a national policy on skills/training for Open Science, whereby {</w:t>
      </w:r>
      <w:r>
        <w:rPr>
          <w:shd w:fill="FFFF00" w:val="clear"/>
        </w:rPr>
        <w:t>Question42.1</w:t>
      </w:r>
      <w:r>
        <w:rPr/>
        <w:t>} are mandatory as shown in Figures 85 and 86.</w:t>
      </w:r>
    </w:p>
    <w:p>
      <w:pPr>
        <w:pStyle w:val="normal2"/>
        <w:widowControl w:val="false"/>
        <w:spacing w:lineRule="auto" w:line="240"/>
        <w:rPr/>
      </w:pPr>
      <w:r>
        <w:rPr/>
      </w:r>
    </w:p>
    <w:p>
      <w:pPr>
        <w:pStyle w:val="normal1"/>
        <w:jc w:val="center"/>
        <w:rPr>
          <w:i/>
        </w:rPr>
      </w:pPr>
      <w:r>
        <w:rPr>
          <w:i/>
          <w:highlight w:val="yellow"/>
        </w:rPr>
        <w:t>{%chartImage79}</w:t>
      </w:r>
    </w:p>
    <w:p>
      <w:pPr>
        <w:pStyle w:val="normal2"/>
        <w:jc w:val="center"/>
        <w:rPr/>
      </w:pPr>
      <w:r>
        <w:rPr/>
      </w:r>
    </w:p>
    <w:p>
      <w:pPr>
        <w:pStyle w:val="normal2"/>
        <w:jc w:val="center"/>
        <w:rPr>
          <w:i/>
          <w:iCs/>
        </w:rPr>
      </w:pPr>
      <w:r>
        <w:rPr>
          <w:i/>
          <w:iCs/>
        </w:rPr>
        <w:t>Figure 85: Map of EU Countries with a National Policy on Skills/Training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{%pieChartImage_78_0}</w:t>
      </w:r>
    </w:p>
    <w:p>
      <w:pPr>
        <w:pStyle w:val="normal1"/>
        <w:jc w:val="center"/>
        <w:rPr>
          <w:i/>
        </w:rPr>
      </w:pPr>
      <w:r>
        <w:rPr>
          <w:highlight w:val="yellow"/>
        </w:rPr>
        <w:t>[</w:t>
      </w:r>
      <w:r>
        <w:rPr>
          <w:i/>
          <w:highlight w:val="yellow"/>
        </w:rPr>
        <w:t>{%pieChartImage_78_1}</w:t>
      </w:r>
    </w:p>
    <w:p>
      <w:pPr>
        <w:pStyle w:val="normal2"/>
        <w:rPr/>
      </w:pPr>
      <w:r>
        <w:rPr/>
      </w:r>
    </w:p>
    <w:p>
      <w:pPr>
        <w:pStyle w:val="normal2"/>
        <w:jc w:val="center"/>
        <w:rPr/>
      </w:pPr>
      <w:r>
        <w:rPr>
          <w:i/>
          <w:iCs/>
        </w:rPr>
        <w:t>Figure 86: Share of EU Countries with a National Policy on Skills/Training for Open Science</w:t>
      </w:r>
    </w:p>
    <w:p>
      <w:pPr>
        <w:pStyle w:val="normal2"/>
        <w:widowControl w:val="false"/>
        <w:spacing w:lineRule="auto" w:line="240"/>
        <w:rPr/>
      </w:pPr>
      <w:r>
        <w:rPr/>
      </w:r>
    </w:p>
    <w:p>
      <w:pPr>
        <w:pStyle w:val="normal2"/>
        <w:widowControl w:val="false"/>
        <w:numPr>
          <w:ilvl w:val="2"/>
          <w:numId w:val="1"/>
        </w:numPr>
        <w:spacing w:lineRule="auto" w:line="240"/>
        <w:rPr/>
      </w:pPr>
      <w:r>
        <w:rPr/>
        <w:t>Financial Strategy on Skills/Training</w:t>
      </w:r>
    </w:p>
    <w:p>
      <w:pPr>
        <w:pStyle w:val="normal2"/>
        <w:widowControl w:val="false"/>
        <w:spacing w:lineRule="auto" w:line="240"/>
        <w:rPr/>
      </w:pPr>
      <w:r>
        <w:rPr/>
      </w:r>
    </w:p>
    <w:p>
      <w:pPr>
        <w:pStyle w:val="normal2"/>
        <w:widowControl w:val="false"/>
        <w:spacing w:lineRule="auto" w:line="240"/>
        <w:rPr/>
      </w:pPr>
      <w:r>
        <w:rPr/>
        <w:t>The second main policy question on skills/training for Open Science in Survey {</w:t>
      </w:r>
      <w:r>
        <w:rPr>
          <w:highlight w:val="yellow"/>
        </w:rPr>
        <w:t>Year}</w:t>
      </w:r>
      <w:r>
        <w:rPr/>
        <w:t xml:space="preserve"> is </w:t>
      </w:r>
      <w:r>
        <w:rPr>
          <w:i/>
          <w:iCs/>
        </w:rPr>
        <w:t>Does your country have a financial strategy on skills/training for Open Science?</w:t>
      </w:r>
      <w:r>
        <w:rPr/>
        <w:t xml:space="preserve"> (Q38). {</w:t>
      </w:r>
      <w:r>
        <w:rPr>
          <w:shd w:fill="FFFF00" w:val="clear"/>
        </w:rPr>
        <w:t>Question43</w:t>
      </w:r>
      <w:r>
        <w:rPr/>
        <w:t>} of responding EU countries have a financial strategy on skills/training for Open Science as shown in Figures 87 and 88.</w:t>
      </w:r>
    </w:p>
    <w:p>
      <w:pPr>
        <w:pStyle w:val="normal2"/>
        <w:widowControl w:val="false"/>
        <w:spacing w:lineRule="auto" w:line="240"/>
        <w:rPr/>
      </w:pPr>
      <w:r>
        <w:rPr/>
      </w:r>
    </w:p>
    <w:p>
      <w:pPr>
        <w:pStyle w:val="normal1"/>
        <w:jc w:val="center"/>
        <w:rPr>
          <w:i/>
        </w:rPr>
      </w:pPr>
      <w:r>
        <w:rPr>
          <w:i/>
          <w:highlight w:val="yellow"/>
        </w:rPr>
        <w:t>{%chartImage80}</w:t>
      </w:r>
    </w:p>
    <w:p>
      <w:pPr>
        <w:pStyle w:val="normal2"/>
        <w:jc w:val="center"/>
        <w:rPr/>
      </w:pPr>
      <w:r>
        <w:rPr/>
      </w:r>
    </w:p>
    <w:p>
      <w:pPr>
        <w:pStyle w:val="normal2"/>
        <w:jc w:val="center"/>
        <w:rPr/>
      </w:pPr>
      <w:r>
        <w:rPr>
          <w:i/>
          <w:iCs/>
        </w:rPr>
        <w:t>Figure 87: Map of EU Countries with a Financial Strategy on Skills/Training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{%pieChartImage_79_0}</w:t>
      </w:r>
    </w:p>
    <w:p>
      <w:pPr>
        <w:pStyle w:val="normal2"/>
        <w:jc w:val="center"/>
        <w:rPr/>
      </w:pPr>
      <w:r>
        <w:rPr/>
      </w:r>
    </w:p>
    <w:p>
      <w:pPr>
        <w:pStyle w:val="normal2"/>
        <w:jc w:val="center"/>
        <w:rPr/>
      </w:pPr>
      <w:r>
        <w:rPr>
          <w:i/>
          <w:iCs/>
        </w:rPr>
        <w:t>Figure 88: Share of EU Countries with a Financial Strategy on Skills/Training for Open Science</w:t>
      </w:r>
    </w:p>
    <w:p>
      <w:pPr>
        <w:pStyle w:val="normal2"/>
        <w:widowControl w:val="false"/>
        <w:spacing w:lineRule="auto" w:line="240"/>
        <w:rPr/>
      </w:pPr>
      <w:r>
        <w:rPr/>
      </w:r>
    </w:p>
    <w:p>
      <w:pPr>
        <w:pStyle w:val="normal2"/>
        <w:widowControl w:val="false"/>
        <w:numPr>
          <w:ilvl w:val="1"/>
          <w:numId w:val="1"/>
        </w:numPr>
        <w:spacing w:lineRule="auto" w:line="240"/>
        <w:rPr/>
      </w:pPr>
      <w:r>
        <w:rPr/>
        <w:t>Practices</w:t>
      </w:r>
    </w:p>
    <w:p>
      <w:pPr>
        <w:pStyle w:val="normal2"/>
        <w:widowControl w:val="false"/>
        <w:spacing w:lineRule="auto" w:line="240"/>
        <w:rPr/>
      </w:pPr>
      <w:r>
        <w:rPr/>
      </w:r>
    </w:p>
    <w:p>
      <w:pPr>
        <w:pStyle w:val="normal2"/>
        <w:widowControl w:val="false"/>
        <w:numPr>
          <w:ilvl w:val="2"/>
          <w:numId w:val="1"/>
        </w:numPr>
        <w:spacing w:lineRule="auto" w:line="240"/>
        <w:rPr/>
      </w:pPr>
      <w:r>
        <w:rPr/>
        <w:t>National Monitoring on Skills/Training</w:t>
      </w:r>
    </w:p>
    <w:p>
      <w:pPr>
        <w:pStyle w:val="normal2"/>
        <w:widowControl w:val="false"/>
        <w:spacing w:lineRule="auto" w:line="240"/>
        <w:rPr/>
      </w:pPr>
      <w:r>
        <w:rPr/>
      </w:r>
    </w:p>
    <w:p>
      <w:pPr>
        <w:pStyle w:val="normal2"/>
        <w:widowControl w:val="false"/>
        <w:spacing w:lineRule="auto" w:line="240"/>
        <w:rPr/>
      </w:pPr>
      <w:r>
        <w:rPr/>
        <w:t>The first main practice question on skills/training for Open Science in Survey {</w:t>
      </w:r>
      <w:r>
        <w:rPr>
          <w:highlight w:val="yellow"/>
        </w:rPr>
        <w:t>Year}</w:t>
      </w:r>
      <w:r>
        <w:rPr/>
        <w:t xml:space="preserve"> is </w:t>
      </w:r>
      <w:r>
        <w:rPr>
          <w:i/>
          <w:iCs/>
        </w:rPr>
        <w:t>Does your country have a national monitoring on skills/training for Open Science?</w:t>
      </w:r>
      <w:r>
        <w:rPr/>
        <w:t xml:space="preserve"> (Q85). {</w:t>
      </w:r>
      <w:r>
        <w:rPr>
          <w:shd w:fill="FFFF00" w:val="clear"/>
        </w:rPr>
        <w:t>Question90</w:t>
      </w:r>
      <w:r>
        <w:rPr/>
        <w:t>} of responding EU countries have a national monitoring on skills/training for Open Science as shown in Figures 89 and 90.</w:t>
      </w:r>
    </w:p>
    <w:p>
      <w:pPr>
        <w:pStyle w:val="normal2"/>
        <w:widowControl w:val="false"/>
        <w:spacing w:lineRule="auto" w:line="240"/>
        <w:rPr/>
      </w:pPr>
      <w:r>
        <w:rPr/>
      </w:r>
    </w:p>
    <w:p>
      <w:pPr>
        <w:pStyle w:val="normal1"/>
        <w:jc w:val="center"/>
        <w:rPr>
          <w:i/>
        </w:rPr>
      </w:pPr>
      <w:r>
        <w:rPr>
          <w:i/>
          <w:highlight w:val="yellow"/>
        </w:rPr>
        <w:t>{%chartImage81}</w:t>
      </w:r>
    </w:p>
    <w:p>
      <w:pPr>
        <w:pStyle w:val="normal2"/>
        <w:jc w:val="center"/>
        <w:rPr/>
      </w:pPr>
      <w:r>
        <w:rPr/>
      </w:r>
    </w:p>
    <w:p>
      <w:pPr>
        <w:pStyle w:val="normal2"/>
        <w:jc w:val="center"/>
        <w:rPr/>
      </w:pPr>
      <w:r>
        <w:rPr>
          <w:i/>
          <w:iCs/>
        </w:rPr>
        <w:t>Figure 89: Map of EU Countries with a National Monitoring on Skills/Training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{%pieChartImage_80_0}</w:t>
      </w:r>
    </w:p>
    <w:p>
      <w:pPr>
        <w:pStyle w:val="normal2"/>
        <w:jc w:val="center"/>
        <w:rPr/>
      </w:pPr>
      <w:r>
        <w:rPr/>
      </w:r>
    </w:p>
    <w:p>
      <w:pPr>
        <w:pStyle w:val="normal2"/>
        <w:jc w:val="center"/>
        <w:rPr/>
      </w:pPr>
      <w:r>
        <w:rPr>
          <w:i/>
          <w:iCs/>
        </w:rPr>
        <w:t>Figure 90: Share of EU Countries with a National Monitoring on Skills/Training for Open Science</w:t>
      </w:r>
    </w:p>
    <w:p>
      <w:pPr>
        <w:pStyle w:val="normal2"/>
        <w:widowControl w:val="false"/>
        <w:spacing w:lineRule="auto" w:line="240"/>
        <w:rPr/>
      </w:pPr>
      <w:r>
        <w:rPr/>
      </w:r>
    </w:p>
    <w:p>
      <w:pPr>
        <w:pStyle w:val="normal2"/>
        <w:widowControl w:val="false"/>
        <w:numPr>
          <w:ilvl w:val="2"/>
          <w:numId w:val="1"/>
        </w:numPr>
        <w:spacing w:lineRule="auto" w:line="240"/>
        <w:rPr/>
      </w:pPr>
      <w:r>
        <w:rPr/>
        <w:t>National Investments in Skills/Training</w:t>
      </w:r>
    </w:p>
    <w:p>
      <w:pPr>
        <w:pStyle w:val="normal2"/>
        <w:widowControl w:val="false"/>
        <w:spacing w:lineRule="auto" w:line="240"/>
        <w:rPr/>
      </w:pPr>
      <w:r>
        <w:rPr/>
      </w:r>
    </w:p>
    <w:p>
      <w:pPr>
        <w:pStyle w:val="normal2"/>
        <w:widowControl w:val="false"/>
        <w:spacing w:lineRule="auto" w:line="240"/>
        <w:rPr/>
      </w:pPr>
      <w:r>
        <w:rPr/>
        <w:t>The second main practice question on skills/training for Open Science in Survey {</w:t>
      </w:r>
      <w:r>
        <w:rPr>
          <w:highlight w:val="yellow"/>
        </w:rPr>
        <w:t>Year}</w:t>
      </w:r>
      <w:r>
        <w:rPr/>
        <w:t xml:space="preserve"> is </w:t>
      </w:r>
      <w:r>
        <w:rPr>
          <w:i/>
          <w:iCs/>
        </w:rPr>
        <w:t xml:space="preserve">How much did your country financially invest in skills/training for Open Science in </w:t>
      </w:r>
      <w:r>
        <w:rPr/>
        <w:t>{</w:t>
      </w:r>
      <w:r>
        <w:rPr>
          <w:highlight w:val="yellow"/>
        </w:rPr>
        <w:t>Fisca</w:t>
      </w:r>
      <w:r>
        <w:rPr>
          <w:i/>
          <w:iCs/>
        </w:rPr>
        <w:t>lYear} in millions of Euros?</w:t>
      </w:r>
      <w:r>
        <w:rPr/>
        <w:t xml:space="preserve"> (Q87). {</w:t>
      </w:r>
      <w:r>
        <w:rPr>
          <w:highlight w:val="yellow"/>
        </w:rPr>
        <w:t>Question92[0]}</w:t>
      </w:r>
      <w:r>
        <w:rPr/>
        <w:t xml:space="preserve"> of responding EU countries are not investing or have not stated the number of investments in skills/training for Open Science. {</w:t>
      </w:r>
      <w:r>
        <w:rPr>
          <w:highlight w:val="yellow"/>
        </w:rPr>
        <w:t>Question92[1]}</w:t>
      </w:r>
      <w:r>
        <w:rPr/>
        <w:t xml:space="preserve"> of EU countries invested &gt;0 to 50 €K, {</w:t>
      </w:r>
      <w:r>
        <w:rPr>
          <w:highlight w:val="yellow"/>
        </w:rPr>
        <w:t>Question92[2]}</w:t>
      </w:r>
      <w:r>
        <w:rPr/>
        <w:t xml:space="preserve"> &gt;50 to 100 €K, {</w:t>
      </w:r>
      <w:r>
        <w:rPr>
          <w:highlight w:val="yellow"/>
        </w:rPr>
        <w:t>Question92[3]}</w:t>
      </w:r>
      <w:r>
        <w:rPr/>
        <w:t xml:space="preserve"> &gt;100 to 250 €K, {</w:t>
      </w:r>
      <w:r>
        <w:rPr>
          <w:highlight w:val="yellow"/>
        </w:rPr>
        <w:t>Question92[4]}</w:t>
      </w:r>
      <w:r>
        <w:rPr/>
        <w:t xml:space="preserve"> &gt;250 to 500 €K, {</w:t>
      </w:r>
      <w:r>
        <w:rPr>
          <w:highlight w:val="yellow"/>
        </w:rPr>
        <w:t>Question92[5]}</w:t>
      </w:r>
      <w:r>
        <w:rPr/>
        <w:t xml:space="preserve"> &gt;500 to 1000 €K, and {</w:t>
      </w:r>
      <w:r>
        <w:rPr>
          <w:highlight w:val="yellow"/>
        </w:rPr>
        <w:t>Question92[6]}</w:t>
      </w:r>
      <w:r>
        <w:rPr/>
        <w:t xml:space="preserve"> &gt;1000 €K per 1000 FTE researchers as shown in Figure 91.</w:t>
      </w:r>
    </w:p>
    <w:p>
      <w:pPr>
        <w:pStyle w:val="normal2"/>
        <w:widowControl w:val="false"/>
        <w:spacing w:lineRule="auto" w:line="240"/>
        <w:rPr/>
      </w:pPr>
      <w:r>
        <w:rPr/>
      </w:r>
    </w:p>
    <w:p>
      <w:pPr>
        <w:pStyle w:val="normal1"/>
        <w:jc w:val="center"/>
        <w:rPr>
          <w:i/>
        </w:rPr>
      </w:pPr>
      <w:r>
        <w:rPr>
          <w:i/>
          <w:highlight w:val="yellow"/>
        </w:rPr>
        <w:t>{%chartImage82}</w:t>
      </w:r>
    </w:p>
    <w:p>
      <w:pPr>
        <w:pStyle w:val="normal2"/>
        <w:jc w:val="center"/>
        <w:rPr/>
      </w:pPr>
      <w:r>
        <w:rPr/>
      </w:r>
    </w:p>
    <w:p>
      <w:pPr>
        <w:pStyle w:val="normal2"/>
        <w:jc w:val="center"/>
        <w:rPr/>
      </w:pPr>
      <w:r>
        <w:rPr>
          <w:i/>
          <w:iCs/>
        </w:rPr>
        <w:t>Figure 91: Number of EU Countries with National Investments in Skills/Training for Open Science per 1000 FTE Researchers</w:t>
      </w:r>
    </w:p>
    <w:p>
      <w:pPr>
        <w:pStyle w:val="normal2"/>
        <w:widowControl w:val="false"/>
        <w:spacing w:lineRule="auto" w:line="240"/>
        <w:rPr/>
      </w:pPr>
      <w:r>
        <w:rPr/>
      </w:r>
    </w:p>
    <w:p>
      <w:pPr>
        <w:pStyle w:val="normal2"/>
        <w:widowControl w:val="false"/>
        <w:numPr>
          <w:ilvl w:val="1"/>
          <w:numId w:val="1"/>
        </w:numPr>
        <w:spacing w:lineRule="auto" w:line="240"/>
        <w:rPr/>
      </w:pPr>
      <w:r>
        <w:rPr/>
        <w:t>Impacts</w:t>
      </w:r>
    </w:p>
    <w:p>
      <w:pPr>
        <w:pStyle w:val="normal2"/>
        <w:widowControl w:val="false"/>
        <w:spacing w:lineRule="auto" w:line="240"/>
        <w:rPr/>
      </w:pPr>
      <w:r>
        <w:rPr/>
      </w:r>
    </w:p>
    <w:p>
      <w:pPr>
        <w:pStyle w:val="normal2"/>
        <w:widowControl w:val="false"/>
        <w:numPr>
          <w:ilvl w:val="2"/>
          <w:numId w:val="1"/>
        </w:numPr>
        <w:spacing w:lineRule="auto" w:line="240"/>
        <w:rPr/>
      </w:pPr>
      <w:r>
        <w:rPr/>
        <w:t>Progress in Policies on Skills/Training</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Question42[0]}</w:t>
      </w:r>
      <w:r>
        <w:rPr/>
        <w:t xml:space="preserve"> in national policies on skills/training for Open Science in EU countr</w:t>
      </w:r>
      <w:r>
        <w:rPr>
          <w:shd w:fill="auto" w:val="clear"/>
        </w:rPr>
        <w:t>ies in Survey {</w:t>
      </w:r>
      <w:r>
        <w:rPr>
          <w:highlight w:val="yellow"/>
        </w:rPr>
        <w:t>Year}</w:t>
      </w:r>
      <w:r>
        <w:rPr/>
        <w:t xml:space="preserve"> from the previous year and {</w:t>
      </w:r>
      <w:r>
        <w:rPr>
          <w:highlight w:val="yellow"/>
        </w:rPr>
        <w:t>Question42[1]}</w:t>
      </w:r>
      <w:r>
        <w:rPr/>
        <w:t xml:space="preserve"> since Survey 2022, whereby there is {</w:t>
      </w:r>
      <w:r>
        <w:rPr>
          <w:highlight w:val="yellow"/>
        </w:rPr>
        <w:t>Question42[2]}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highlight w:val="yellow"/>
        </w:rPr>
        <w:t>Question42[3]}</w:t>
      </w:r>
      <w:r>
        <w:rPr/>
        <w:t xml:space="preserve"> since Survey 2022 as shown in Figure 92.</w:t>
      </w:r>
    </w:p>
    <w:p>
      <w:pPr>
        <w:pStyle w:val="normal2"/>
        <w:widowControl w:val="false"/>
        <w:spacing w:lineRule="auto" w:line="240"/>
        <w:rPr/>
      </w:pPr>
      <w:r>
        <w:rPr/>
      </w:r>
    </w:p>
    <w:p>
      <w:pPr>
        <w:pStyle w:val="normal1"/>
        <w:jc w:val="center"/>
        <w:rPr>
          <w:i/>
        </w:rPr>
      </w:pPr>
      <w:r>
        <w:rPr>
          <w:i/>
          <w:highlight w:val="yellow"/>
        </w:rPr>
        <w:t>{%chartImage83}</w:t>
      </w:r>
    </w:p>
    <w:p>
      <w:pPr>
        <w:pStyle w:val="normal2"/>
        <w:jc w:val="center"/>
        <w:rPr/>
      </w:pPr>
      <w:r>
        <w:rPr/>
      </w:r>
    </w:p>
    <w:p>
      <w:pPr>
        <w:pStyle w:val="normal2"/>
        <w:jc w:val="center"/>
        <w:rPr/>
      </w:pPr>
      <w:r>
        <w:rPr>
          <w:i/>
          <w:iCs/>
        </w:rPr>
        <w:t>Figure 92: Progress in EU Countries with a National Policy on Skills/Training for Open Science</w:t>
      </w:r>
    </w:p>
    <w:p>
      <w:pPr>
        <w:pStyle w:val="normal2"/>
        <w:rPr/>
      </w:pPr>
      <w:r>
        <w:rPr/>
      </w:r>
    </w:p>
    <w:p>
      <w:pPr>
        <w:pStyle w:val="normal2"/>
        <w:widowControl w:val="false"/>
        <w:spacing w:lineRule="auto" w:line="240"/>
        <w:rPr/>
      </w:pPr>
      <w:r>
        <w:rPr/>
        <w:t>There is {</w:t>
      </w:r>
      <w:r>
        <w:rPr>
          <w:highlight w:val="yellow"/>
        </w:rPr>
        <w:t>Question43[0]}</w:t>
      </w:r>
      <w:r>
        <w:rPr/>
        <w:t xml:space="preserve"> in financial strategies on skills/training for Open Science in EU countr</w:t>
      </w:r>
      <w:r>
        <w:rPr>
          <w:shd w:fill="auto" w:val="clear"/>
        </w:rPr>
        <w:t>ies in Survey {</w:t>
      </w:r>
      <w:r>
        <w:rPr>
          <w:highlight w:val="yellow"/>
        </w:rPr>
        <w:t>Year}</w:t>
      </w:r>
      <w:r>
        <w:rPr/>
        <w:t xml:space="preserve"> from the previous year and {</w:t>
      </w:r>
      <w:r>
        <w:rPr>
          <w:highlight w:val="yellow"/>
        </w:rPr>
        <w:t>Question43[1]}</w:t>
      </w:r>
      <w:r>
        <w:rPr/>
        <w:t xml:space="preserve"> since Survey 2022 as shown in Figure 93.</w:t>
      </w:r>
    </w:p>
    <w:p>
      <w:pPr>
        <w:pStyle w:val="normal2"/>
        <w:widowControl w:val="false"/>
        <w:spacing w:lineRule="auto" w:line="240"/>
        <w:rPr/>
      </w:pPr>
      <w:r>
        <w:rPr/>
      </w:r>
    </w:p>
    <w:p>
      <w:pPr>
        <w:pStyle w:val="normal1"/>
        <w:jc w:val="center"/>
        <w:rPr>
          <w:i/>
        </w:rPr>
      </w:pPr>
      <w:r>
        <w:rPr>
          <w:i/>
          <w:highlight w:val="yellow"/>
        </w:rPr>
        <w:t>{%chartImage84}</w:t>
      </w:r>
    </w:p>
    <w:p>
      <w:pPr>
        <w:pStyle w:val="normal2"/>
        <w:jc w:val="center"/>
        <w:rPr/>
      </w:pPr>
      <w:r>
        <w:rPr/>
      </w:r>
    </w:p>
    <w:p>
      <w:pPr>
        <w:pStyle w:val="normal2"/>
        <w:jc w:val="center"/>
        <w:rPr/>
      </w:pPr>
      <w:r>
        <w:rPr>
          <w:i/>
          <w:iCs/>
        </w:rPr>
        <w:t>Figure 93: Progress in EU Countries with a Financial Strategy on Skills/Training for Open Science</w:t>
      </w:r>
    </w:p>
    <w:p>
      <w:pPr>
        <w:pStyle w:val="normal2"/>
        <w:widowControl w:val="false"/>
        <w:spacing w:lineRule="auto" w:line="240"/>
        <w:rPr/>
      </w:pPr>
      <w:r>
        <w:rPr/>
      </w:r>
    </w:p>
    <w:p>
      <w:pPr>
        <w:pStyle w:val="normal2"/>
        <w:widowControl w:val="false"/>
        <w:numPr>
          <w:ilvl w:val="2"/>
          <w:numId w:val="1"/>
        </w:numPr>
        <w:spacing w:lineRule="auto" w:line="240"/>
        <w:rPr/>
      </w:pPr>
      <w:r>
        <w:rPr/>
        <w:t>Progress in Practices on Skills/Training</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Question90[0]</w:t>
      </w:r>
      <w:r>
        <w:rPr/>
        <w:t>} in national monitoring on skills/training for Open Science in EU countr</w:t>
      </w:r>
      <w:r>
        <w:rPr>
          <w:shd w:fill="auto" w:val="clear"/>
        </w:rPr>
        <w:t>ies in Survey {</w:t>
      </w:r>
      <w:r>
        <w:rPr>
          <w:highlight w:val="yellow"/>
        </w:rPr>
        <w:t>Year}</w:t>
      </w:r>
      <w:r>
        <w:rPr/>
        <w:t xml:space="preserve"> from the previous year and {</w:t>
      </w:r>
      <w:r>
        <w:rPr>
          <w:highlight w:val="yellow"/>
        </w:rPr>
        <w:t>Question90[1]</w:t>
      </w:r>
      <w:r>
        <w:rPr/>
        <w:t>} since Survey 2022 as shown in Figure 94.</w:t>
      </w:r>
    </w:p>
    <w:p>
      <w:pPr>
        <w:pStyle w:val="normal2"/>
        <w:widowControl w:val="false"/>
        <w:spacing w:lineRule="auto" w:line="240"/>
        <w:rPr/>
      </w:pPr>
      <w:r>
        <w:rPr/>
      </w:r>
    </w:p>
    <w:p>
      <w:pPr>
        <w:pStyle w:val="normal1"/>
        <w:jc w:val="center"/>
        <w:rPr>
          <w:i/>
        </w:rPr>
      </w:pPr>
      <w:r>
        <w:rPr>
          <w:i/>
          <w:highlight w:val="yellow"/>
        </w:rPr>
        <w:t>{%chartImage85}</w:t>
      </w:r>
    </w:p>
    <w:p>
      <w:pPr>
        <w:pStyle w:val="normal2"/>
        <w:jc w:val="center"/>
        <w:rPr/>
      </w:pPr>
      <w:r>
        <w:rPr/>
      </w:r>
    </w:p>
    <w:p>
      <w:pPr>
        <w:pStyle w:val="normal2"/>
        <w:jc w:val="center"/>
        <w:rPr>
          <w:i/>
          <w:iCs/>
        </w:rPr>
      </w:pPr>
      <w:r>
        <w:rPr>
          <w:i/>
          <w:iCs/>
        </w:rPr>
        <w:t>Figure 94: Progress in EU Countries with a National Monitoring on Skills/Training for Open Science</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Question92_trend[0]</w:t>
      </w:r>
      <w:r>
        <w:rPr/>
        <w:t>} in national investments in skills/training for Open Science per 1000 FTE researchers in EU countr</w:t>
      </w:r>
      <w:r>
        <w:rPr>
          <w:shd w:fill="auto" w:val="clear"/>
        </w:rPr>
        <w:t>ies in Survey {</w:t>
      </w:r>
      <w:r>
        <w:rPr>
          <w:highlight w:val="yellow"/>
        </w:rPr>
        <w:t>Year}</w:t>
      </w:r>
      <w:r>
        <w:rPr/>
        <w:t xml:space="preserve"> from the previous year and {</w:t>
      </w:r>
      <w:r>
        <w:rPr>
          <w:highlight w:val="yellow"/>
        </w:rPr>
        <w:t>Question92_trend[1]</w:t>
      </w:r>
      <w:r>
        <w:rPr/>
        <w:t>} since Survey 2022 as shown in Figure 95.</w:t>
      </w:r>
    </w:p>
    <w:p>
      <w:pPr>
        <w:pStyle w:val="normal2"/>
        <w:widowControl w:val="false"/>
        <w:spacing w:lineRule="auto" w:line="240"/>
        <w:rPr/>
      </w:pPr>
      <w:r>
        <w:rPr/>
      </w:r>
    </w:p>
    <w:p>
      <w:pPr>
        <w:pStyle w:val="normal1"/>
        <w:jc w:val="center"/>
        <w:rPr>
          <w:i/>
        </w:rPr>
      </w:pPr>
      <w:r>
        <w:rPr>
          <w:i/>
          <w:highlight w:val="yellow"/>
        </w:rPr>
        <w:t>{%chartImage86}</w:t>
      </w:r>
    </w:p>
    <w:p>
      <w:pPr>
        <w:pStyle w:val="normal2"/>
        <w:jc w:val="center"/>
        <w:rPr/>
      </w:pPr>
      <w:r>
        <w:rPr/>
      </w:r>
    </w:p>
    <w:p>
      <w:pPr>
        <w:pStyle w:val="normal2"/>
        <w:jc w:val="center"/>
        <w:rPr/>
      </w:pPr>
      <w:r>
        <w:rPr>
          <w:i/>
          <w:iCs/>
        </w:rPr>
        <w:t>Figure 95: Progress in EU Countries with National Investments in Skills/Training for Open Science per 1000 FTE Researchers</w:t>
      </w:r>
    </w:p>
    <w:p>
      <w:pPr>
        <w:pStyle w:val="normal2"/>
        <w:widowControl w:val="false"/>
        <w:spacing w:lineRule="auto" w:line="240"/>
        <w:rPr/>
      </w:pPr>
      <w:r>
        <w:rPr/>
      </w:r>
    </w:p>
    <w:p>
      <w:pPr>
        <w:pStyle w:val="normal2"/>
        <w:widowControl w:val="false"/>
        <w:numPr>
          <w:ilvl w:val="0"/>
          <w:numId w:val="1"/>
        </w:numPr>
        <w:spacing w:lineRule="auto" w:line="240"/>
        <w:rPr>
          <w:b/>
          <w:bCs/>
        </w:rPr>
      </w:pPr>
      <w:r>
        <w:rPr>
          <w:b/>
          <w:bCs/>
        </w:rPr>
        <w:t>Assessment</w:t>
      </w:r>
    </w:p>
    <w:p>
      <w:pPr>
        <w:pStyle w:val="normal2"/>
        <w:widowControl w:val="false"/>
        <w:spacing w:lineRule="auto" w:line="240"/>
        <w:rPr/>
      </w:pPr>
      <w:r>
        <w:rPr/>
      </w:r>
    </w:p>
    <w:p>
      <w:pPr>
        <w:pStyle w:val="normal2"/>
        <w:widowControl w:val="false"/>
        <w:spacing w:lineRule="auto" w:line="240"/>
        <w:rPr/>
      </w:pPr>
      <w:r>
        <w:rPr/>
        <w:t>The assessment category consists of one main topic: incentives/rewards for Open Science.</w:t>
      </w:r>
    </w:p>
    <w:p>
      <w:pPr>
        <w:pStyle w:val="normal2"/>
        <w:widowControl w:val="false"/>
        <w:spacing w:lineRule="auto" w:line="240"/>
        <w:rPr/>
      </w:pPr>
      <w:r>
        <w:rPr/>
      </w:r>
    </w:p>
    <w:p>
      <w:pPr>
        <w:pStyle w:val="normal2"/>
        <w:widowControl w:val="false"/>
        <w:numPr>
          <w:ilvl w:val="1"/>
          <w:numId w:val="1"/>
        </w:numPr>
        <w:spacing w:lineRule="auto" w:line="240"/>
        <w:rPr/>
      </w:pPr>
      <w:r>
        <w:rPr/>
        <w:t>Policies</w:t>
      </w:r>
    </w:p>
    <w:p>
      <w:pPr>
        <w:pStyle w:val="normal2"/>
        <w:widowControl w:val="false"/>
        <w:spacing w:lineRule="auto" w:line="240"/>
        <w:rPr/>
      </w:pPr>
      <w:r>
        <w:rPr/>
      </w:r>
    </w:p>
    <w:p>
      <w:pPr>
        <w:pStyle w:val="normal2"/>
        <w:widowControl w:val="false"/>
        <w:numPr>
          <w:ilvl w:val="2"/>
          <w:numId w:val="1"/>
        </w:numPr>
        <w:spacing w:lineRule="auto" w:line="240"/>
        <w:rPr/>
      </w:pPr>
      <w:r>
        <w:rPr/>
        <w:t>National Policy on Assessment</w:t>
      </w:r>
    </w:p>
    <w:p>
      <w:pPr>
        <w:pStyle w:val="normal2"/>
        <w:widowControl w:val="false"/>
        <w:spacing w:lineRule="auto" w:line="240"/>
        <w:rPr/>
      </w:pPr>
      <w:r>
        <w:rPr/>
      </w:r>
    </w:p>
    <w:p>
      <w:pPr>
        <w:pStyle w:val="normal2"/>
        <w:widowControl w:val="false"/>
        <w:spacing w:lineRule="auto" w:line="240"/>
        <w:rPr/>
      </w:pPr>
      <w:r>
        <w:rPr/>
        <w:t>The first main policy question on incentives/rewards for Open Science in Survey {</w:t>
      </w:r>
      <w:r>
        <w:rPr>
          <w:highlight w:val="yellow"/>
        </w:rPr>
        <w:t>Year}</w:t>
      </w:r>
      <w:r>
        <w:rPr/>
        <w:t xml:space="preserve"> is </w:t>
      </w:r>
      <w:r>
        <w:rPr>
          <w:i/>
          <w:iCs/>
        </w:rPr>
        <w:t>Does your country have a national policy on incentives/rewards for Open Science?</w:t>
      </w:r>
      <w:r>
        <w:rPr/>
        <w:t xml:space="preserve"> (Q41) followed by </w:t>
      </w:r>
      <w:r>
        <w:rPr>
          <w:i/>
          <w:iCs/>
        </w:rPr>
        <w:t>Is this policy mandatory?</w:t>
      </w:r>
      <w:r>
        <w:rPr/>
        <w:t xml:space="preserve"> (Q41.1). {</w:t>
      </w:r>
      <w:r>
        <w:rPr>
          <w:shd w:fill="FFFF00" w:val="clear"/>
        </w:rPr>
        <w:t>Question46</w:t>
      </w:r>
      <w:r>
        <w:rPr/>
        <w:t>} of responding EU countries have a national policy on incentives/rewards for Open Science, whereby {</w:t>
      </w:r>
      <w:r>
        <w:rPr>
          <w:shd w:fill="FFFF00" w:val="clear"/>
        </w:rPr>
        <w:t>Question46.1</w:t>
      </w:r>
      <w:r>
        <w:rPr/>
        <w:t>} are mandatory as shown in Figures 96 and 97.</w:t>
      </w:r>
    </w:p>
    <w:p>
      <w:pPr>
        <w:pStyle w:val="normal2"/>
        <w:widowControl w:val="false"/>
        <w:spacing w:lineRule="auto" w:line="240"/>
        <w:rPr/>
      </w:pPr>
      <w:r>
        <w:rPr/>
      </w:r>
    </w:p>
    <w:p>
      <w:pPr>
        <w:pStyle w:val="normal1"/>
        <w:jc w:val="center"/>
        <w:rPr>
          <w:i/>
        </w:rPr>
      </w:pPr>
      <w:r>
        <w:rPr>
          <w:i/>
          <w:highlight w:val="yellow"/>
        </w:rPr>
        <w:t>{%chartImage87}</w:t>
      </w:r>
    </w:p>
    <w:p>
      <w:pPr>
        <w:pStyle w:val="normal2"/>
        <w:jc w:val="center"/>
        <w:rPr/>
      </w:pPr>
      <w:r>
        <w:rPr/>
      </w:r>
    </w:p>
    <w:p>
      <w:pPr>
        <w:pStyle w:val="normal2"/>
        <w:jc w:val="center"/>
        <w:rPr>
          <w:i/>
          <w:iCs/>
        </w:rPr>
      </w:pPr>
      <w:r>
        <w:rPr>
          <w:i/>
          <w:iCs/>
        </w:rPr>
        <w:t>Figure 96: Map of EU Countries with a National Policy on Incentives/Rewards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{%pieChartImage_86_0}</w:t>
      </w:r>
    </w:p>
    <w:p>
      <w:pPr>
        <w:pStyle w:val="normal1"/>
        <w:jc w:val="center"/>
        <w:rPr>
          <w:i/>
        </w:rPr>
      </w:pPr>
      <w:r>
        <w:rPr>
          <w:highlight w:val="yellow"/>
        </w:rPr>
        <w:t>[</w:t>
      </w:r>
      <w:r>
        <w:rPr>
          <w:i/>
          <w:highlight w:val="yellow"/>
        </w:rPr>
        <w:t>{%pieChartImage_86_1}</w:t>
      </w:r>
    </w:p>
    <w:p>
      <w:pPr>
        <w:pStyle w:val="normal2"/>
        <w:jc w:val="center"/>
        <w:rPr/>
      </w:pPr>
      <w:r>
        <w:rPr/>
      </w:r>
    </w:p>
    <w:p>
      <w:pPr>
        <w:pStyle w:val="normal2"/>
        <w:jc w:val="center"/>
        <w:rPr/>
      </w:pPr>
      <w:r>
        <w:rPr>
          <w:i/>
          <w:iCs/>
        </w:rPr>
        <w:t>Figure 97: Share of EU Countries with a National Policy on Incentives/Rewards for Open Science</w:t>
      </w:r>
    </w:p>
    <w:p>
      <w:pPr>
        <w:pStyle w:val="normal2"/>
        <w:widowControl w:val="false"/>
        <w:spacing w:lineRule="auto" w:line="240"/>
        <w:rPr/>
      </w:pPr>
      <w:r>
        <w:rPr/>
      </w:r>
    </w:p>
    <w:p>
      <w:pPr>
        <w:pStyle w:val="normal2"/>
        <w:widowControl w:val="false"/>
        <w:numPr>
          <w:ilvl w:val="2"/>
          <w:numId w:val="1"/>
        </w:numPr>
        <w:spacing w:lineRule="auto" w:line="240"/>
        <w:rPr/>
      </w:pPr>
      <w:r>
        <w:rPr/>
        <w:t>Financial Strategy on Assessment</w:t>
      </w:r>
    </w:p>
    <w:p>
      <w:pPr>
        <w:pStyle w:val="normal2"/>
        <w:widowControl w:val="false"/>
        <w:spacing w:lineRule="auto" w:line="240"/>
        <w:rPr/>
      </w:pPr>
      <w:r>
        <w:rPr/>
      </w:r>
    </w:p>
    <w:p>
      <w:pPr>
        <w:pStyle w:val="normal2"/>
        <w:widowControl w:val="false"/>
        <w:spacing w:lineRule="auto" w:line="240"/>
        <w:rPr/>
      </w:pPr>
      <w:r>
        <w:rPr/>
        <w:t>The second main policy question on incentives/rewards for Open Science in Survey {</w:t>
      </w:r>
      <w:r>
        <w:rPr>
          <w:highlight w:val="yellow"/>
        </w:rPr>
        <w:t>Year}</w:t>
      </w:r>
      <w:r>
        <w:rPr/>
        <w:t xml:space="preserve"> is </w:t>
      </w:r>
      <w:r>
        <w:rPr>
          <w:i/>
          <w:iCs/>
        </w:rPr>
        <w:t>Does your country have a financial strategy on incentives/rewards for Open Science?</w:t>
      </w:r>
      <w:r>
        <w:rPr/>
        <w:t xml:space="preserve"> (Q42). {</w:t>
      </w:r>
      <w:r>
        <w:rPr>
          <w:shd w:fill="FFFF00" w:val="clear"/>
        </w:rPr>
        <w:t>Question47</w:t>
      </w:r>
      <w:r>
        <w:rPr/>
        <w:t>} of responding EU countries have a financial strategy on incentives/rewards for Open Science as shown in Figures 98 and 99.</w:t>
      </w:r>
    </w:p>
    <w:p>
      <w:pPr>
        <w:pStyle w:val="normal2"/>
        <w:widowControl w:val="false"/>
        <w:spacing w:lineRule="auto" w:line="240"/>
        <w:rPr/>
      </w:pPr>
      <w:r>
        <w:rPr/>
      </w:r>
    </w:p>
    <w:p>
      <w:pPr>
        <w:pStyle w:val="normal1"/>
        <w:jc w:val="center"/>
        <w:rPr>
          <w:i/>
        </w:rPr>
      </w:pPr>
      <w:r>
        <w:rPr>
          <w:i/>
          <w:highlight w:val="yellow"/>
        </w:rPr>
        <w:t>{%chartImage88}</w:t>
      </w:r>
    </w:p>
    <w:p>
      <w:pPr>
        <w:pStyle w:val="normal2"/>
        <w:jc w:val="center"/>
        <w:rPr/>
      </w:pPr>
      <w:r>
        <w:rPr/>
      </w:r>
    </w:p>
    <w:p>
      <w:pPr>
        <w:pStyle w:val="normal2"/>
        <w:jc w:val="center"/>
        <w:rPr/>
      </w:pPr>
      <w:r>
        <w:rPr>
          <w:i/>
          <w:iCs/>
        </w:rPr>
        <w:t>Figure 98: Map of EU Countries with a Financial Strategy on Incentives/Rewards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{%pieChartImage_87_0}</w:t>
      </w:r>
    </w:p>
    <w:p>
      <w:pPr>
        <w:pStyle w:val="normal2"/>
        <w:jc w:val="center"/>
        <w:rPr/>
      </w:pPr>
      <w:r>
        <w:rPr/>
      </w:r>
    </w:p>
    <w:p>
      <w:pPr>
        <w:pStyle w:val="normal2"/>
        <w:jc w:val="center"/>
        <w:rPr/>
      </w:pPr>
      <w:r>
        <w:rPr>
          <w:i/>
          <w:iCs/>
        </w:rPr>
        <w:t>Figure 99: Share of EU Countries with a Financial Strategy on Incentives/Rewards for Open Science</w:t>
      </w:r>
    </w:p>
    <w:p>
      <w:pPr>
        <w:pStyle w:val="normal2"/>
        <w:widowControl w:val="false"/>
        <w:spacing w:lineRule="auto" w:line="240"/>
        <w:rPr/>
      </w:pPr>
      <w:r>
        <w:rPr/>
      </w:r>
    </w:p>
    <w:p>
      <w:pPr>
        <w:pStyle w:val="normal2"/>
        <w:widowControl w:val="false"/>
        <w:numPr>
          <w:ilvl w:val="1"/>
          <w:numId w:val="1"/>
        </w:numPr>
        <w:spacing w:lineRule="auto" w:line="240"/>
        <w:rPr/>
      </w:pPr>
      <w:r>
        <w:rPr/>
        <w:t>Practices</w:t>
      </w:r>
    </w:p>
    <w:p>
      <w:pPr>
        <w:pStyle w:val="normal2"/>
        <w:widowControl w:val="false"/>
        <w:spacing w:lineRule="auto" w:line="240"/>
        <w:rPr/>
      </w:pPr>
      <w:r>
        <w:rPr/>
      </w:r>
    </w:p>
    <w:p>
      <w:pPr>
        <w:pStyle w:val="normal2"/>
        <w:widowControl w:val="false"/>
        <w:numPr>
          <w:ilvl w:val="2"/>
          <w:numId w:val="1"/>
        </w:numPr>
        <w:spacing w:lineRule="auto" w:line="240"/>
        <w:rPr/>
      </w:pPr>
      <w:r>
        <w:rPr/>
        <w:t>National Monitoring on Assessment</w:t>
      </w:r>
    </w:p>
    <w:p>
      <w:pPr>
        <w:pStyle w:val="normal2"/>
        <w:widowControl w:val="false"/>
        <w:spacing w:lineRule="auto" w:line="240"/>
        <w:rPr/>
      </w:pPr>
      <w:r>
        <w:rPr/>
      </w:r>
    </w:p>
    <w:p>
      <w:pPr>
        <w:pStyle w:val="normal2"/>
        <w:widowControl w:val="false"/>
        <w:spacing w:lineRule="auto" w:line="240"/>
        <w:rPr/>
      </w:pPr>
      <w:r>
        <w:rPr/>
        <w:t>The first main practice question on incentives/rewards for Open Science in Survey {</w:t>
      </w:r>
      <w:r>
        <w:rPr>
          <w:highlight w:val="yellow"/>
        </w:rPr>
        <w:t>Year}</w:t>
      </w:r>
      <w:r>
        <w:rPr/>
        <w:t xml:space="preserve"> is </w:t>
      </w:r>
      <w:r>
        <w:rPr>
          <w:i/>
          <w:iCs/>
        </w:rPr>
        <w:t>Does your country have a national monitoring on incentives/rewards for Open Science?</w:t>
      </w:r>
      <w:r>
        <w:rPr/>
        <w:t xml:space="preserve"> (Q89). {</w:t>
      </w:r>
      <w:r>
        <w:rPr>
          <w:shd w:fill="FFFF00" w:val="clear"/>
        </w:rPr>
        <w:t>Question94</w:t>
      </w:r>
      <w:r>
        <w:rPr/>
        <w:t>} of responding EU countries have a national monitoring on incentives/rewards for Open Science as shown in Figures 100 and 101.</w:t>
      </w:r>
    </w:p>
    <w:p>
      <w:pPr>
        <w:pStyle w:val="normal2"/>
        <w:widowControl w:val="false"/>
        <w:spacing w:lineRule="auto" w:line="240"/>
        <w:rPr/>
      </w:pPr>
      <w:r>
        <w:rPr/>
      </w:r>
    </w:p>
    <w:p>
      <w:pPr>
        <w:pStyle w:val="normal1"/>
        <w:jc w:val="center"/>
        <w:rPr>
          <w:i/>
        </w:rPr>
      </w:pPr>
      <w:r>
        <w:rPr>
          <w:i/>
          <w:highlight w:val="yellow"/>
        </w:rPr>
        <w:t>{%chartImage89}</w:t>
      </w:r>
    </w:p>
    <w:p>
      <w:pPr>
        <w:pStyle w:val="normal2"/>
        <w:jc w:val="center"/>
        <w:rPr/>
      </w:pPr>
      <w:r>
        <w:rPr/>
      </w:r>
    </w:p>
    <w:p>
      <w:pPr>
        <w:pStyle w:val="normal2"/>
        <w:jc w:val="center"/>
        <w:rPr/>
      </w:pPr>
      <w:r>
        <w:rPr>
          <w:i/>
          <w:iCs/>
        </w:rPr>
        <w:t>Figure 100: Map of EU Countries with a National Monitoring on Incentives/Rewards for Open Science</w:t>
      </w:r>
    </w:p>
    <w:p>
      <w:pPr>
        <w:pStyle w:val="normal2"/>
        <w:widowControl w:val="false"/>
        <w:spacing w:lineRule="auto" w:line="240"/>
        <w:rPr/>
      </w:pPr>
      <w:r>
        <w:rPr/>
      </w:r>
    </w:p>
    <w:p>
      <w:pPr>
        <w:pStyle w:val="normal1"/>
        <w:jc w:val="center"/>
        <w:rPr>
          <w:i/>
        </w:rPr>
      </w:pPr>
      <w:r>
        <w:rPr>
          <w:highlight w:val="yellow"/>
        </w:rPr>
        <w:t>[</w:t>
      </w:r>
      <w:r>
        <w:rPr>
          <w:i/>
          <w:highlight w:val="yellow"/>
        </w:rPr>
        <w:t>{%pieChartImage_88_0}</w:t>
      </w:r>
    </w:p>
    <w:p>
      <w:pPr>
        <w:pStyle w:val="normal2"/>
        <w:jc w:val="center"/>
        <w:rPr/>
      </w:pPr>
      <w:r>
        <w:rPr/>
      </w:r>
    </w:p>
    <w:p>
      <w:pPr>
        <w:pStyle w:val="normal2"/>
        <w:jc w:val="center"/>
        <w:rPr/>
      </w:pPr>
      <w:r>
        <w:rPr>
          <w:i/>
          <w:iCs/>
        </w:rPr>
        <w:t>Figure 101: Share of EU Countries with a National Monitoring on Incentives/Rewards for Open Science</w:t>
      </w:r>
    </w:p>
    <w:p>
      <w:pPr>
        <w:pStyle w:val="normal2"/>
        <w:widowControl w:val="false"/>
        <w:spacing w:lineRule="auto" w:line="240"/>
        <w:rPr/>
      </w:pPr>
      <w:r>
        <w:rPr/>
      </w:r>
    </w:p>
    <w:p>
      <w:pPr>
        <w:pStyle w:val="normal2"/>
        <w:widowControl w:val="false"/>
        <w:numPr>
          <w:ilvl w:val="2"/>
          <w:numId w:val="1"/>
        </w:numPr>
        <w:spacing w:lineRule="auto" w:line="240"/>
        <w:rPr/>
      </w:pPr>
      <w:r>
        <w:rPr/>
        <w:t>National Investments in Assessment</w:t>
      </w:r>
    </w:p>
    <w:p>
      <w:pPr>
        <w:pStyle w:val="normal2"/>
        <w:widowControl w:val="false"/>
        <w:spacing w:lineRule="auto" w:line="240"/>
        <w:rPr/>
      </w:pPr>
      <w:r>
        <w:rPr/>
      </w:r>
    </w:p>
    <w:p>
      <w:pPr>
        <w:pStyle w:val="normal2"/>
        <w:widowControl w:val="false"/>
        <w:spacing w:lineRule="auto" w:line="240"/>
        <w:rPr/>
      </w:pPr>
      <w:r>
        <w:rPr/>
        <w:t>The second main practice question on incentives/rewards for Open Science in Survey {</w:t>
      </w:r>
      <w:r>
        <w:rPr>
          <w:highlight w:val="yellow"/>
        </w:rPr>
        <w:t>Year}</w:t>
      </w:r>
      <w:r>
        <w:rPr/>
        <w:t xml:space="preserve"> is </w:t>
      </w:r>
      <w:r>
        <w:rPr>
          <w:i/>
          <w:iCs/>
        </w:rPr>
        <w:t xml:space="preserve">How much did your country financially invest in incentives/rewards for Open Science in </w:t>
      </w:r>
      <w:r>
        <w:rPr/>
        <w:t>{</w:t>
      </w:r>
      <w:r>
        <w:rPr>
          <w:highlight w:val="yellow"/>
        </w:rPr>
        <w:t>Fisc</w:t>
      </w:r>
      <w:r>
        <w:rPr>
          <w:i/>
          <w:iCs/>
        </w:rPr>
        <w:t>alYear} in millions of Euros?</w:t>
      </w:r>
      <w:r>
        <w:rPr/>
        <w:t xml:space="preserve"> (Q91). {</w:t>
      </w:r>
      <w:r>
        <w:rPr>
          <w:highlight w:val="yellow"/>
        </w:rPr>
        <w:t>Question96[0]}</w:t>
      </w:r>
      <w:r>
        <w:rPr/>
        <w:t xml:space="preserve"> of responding EU countries are not investing or have not stated the number of investments in incentives/rewards for Open Science. {</w:t>
      </w:r>
      <w:r>
        <w:rPr>
          <w:highlight w:val="yellow"/>
        </w:rPr>
        <w:t>Question96[1]}</w:t>
      </w:r>
      <w:r>
        <w:rPr/>
        <w:t xml:space="preserve"> of EU countries invested &gt;0 to 50 €K, {</w:t>
      </w:r>
      <w:r>
        <w:rPr>
          <w:highlight w:val="yellow"/>
        </w:rPr>
        <w:t>Question96[2]}</w:t>
      </w:r>
      <w:r>
        <w:rPr/>
        <w:t xml:space="preserve"> &gt;50 to 100 €K, {</w:t>
      </w:r>
      <w:r>
        <w:rPr>
          <w:highlight w:val="yellow"/>
        </w:rPr>
        <w:t>Question96[3]}</w:t>
      </w:r>
      <w:r>
        <w:rPr/>
        <w:t xml:space="preserve"> &gt;100 to 250 €K, {</w:t>
      </w:r>
      <w:r>
        <w:rPr>
          <w:highlight w:val="yellow"/>
        </w:rPr>
        <w:t>Question96[4]}</w:t>
      </w:r>
      <w:r>
        <w:rPr/>
        <w:t xml:space="preserve"> &gt;250 to 500 €K, {</w:t>
      </w:r>
      <w:r>
        <w:rPr>
          <w:highlight w:val="yellow"/>
        </w:rPr>
        <w:t>Question96[5]}</w:t>
      </w:r>
      <w:r>
        <w:rPr/>
        <w:t xml:space="preserve"> &gt;500 to 1000 €K, and {</w:t>
      </w:r>
      <w:r>
        <w:rPr>
          <w:highlight w:val="yellow"/>
        </w:rPr>
        <w:t>Question96[6]}</w:t>
      </w:r>
      <w:r>
        <w:rPr/>
        <w:t xml:space="preserve"> &gt;1000 €K per 1000 FTE researchers as shown in Figure 102.</w:t>
      </w:r>
    </w:p>
    <w:p>
      <w:pPr>
        <w:pStyle w:val="normal1"/>
        <w:jc w:val="center"/>
        <w:rPr>
          <w:i/>
        </w:rPr>
      </w:pPr>
      <w:r>
        <w:rPr>
          <w:i/>
          <w:highlight w:val="yellow"/>
        </w:rPr>
        <w:t>{%chartImage90}</w:t>
      </w:r>
    </w:p>
    <w:p>
      <w:pPr>
        <w:pStyle w:val="normal2"/>
        <w:jc w:val="center"/>
        <w:rPr/>
      </w:pPr>
      <w:r>
        <w:rPr/>
      </w:r>
    </w:p>
    <w:p>
      <w:pPr>
        <w:pStyle w:val="normal2"/>
        <w:jc w:val="center"/>
        <w:rPr/>
      </w:pPr>
      <w:r>
        <w:rPr>
          <w:i/>
          <w:iCs/>
        </w:rPr>
        <w:t>Figure 102: Number of EU Countries with National Investments in Incentives/Rewards for Open Science per 1000 FTE Researchers</w:t>
      </w:r>
    </w:p>
    <w:p>
      <w:pPr>
        <w:pStyle w:val="normal2"/>
        <w:widowControl w:val="false"/>
        <w:spacing w:lineRule="auto" w:line="240"/>
        <w:rPr/>
      </w:pPr>
      <w:r>
        <w:rPr/>
      </w:r>
    </w:p>
    <w:p>
      <w:pPr>
        <w:pStyle w:val="normal2"/>
        <w:widowControl w:val="false"/>
        <w:numPr>
          <w:ilvl w:val="1"/>
          <w:numId w:val="1"/>
        </w:numPr>
        <w:spacing w:lineRule="auto" w:line="240"/>
        <w:rPr/>
      </w:pPr>
      <w:r>
        <w:rPr/>
        <w:t>Impacts</w:t>
      </w:r>
    </w:p>
    <w:p>
      <w:pPr>
        <w:pStyle w:val="normal2"/>
        <w:widowControl w:val="false"/>
        <w:spacing w:lineRule="auto" w:line="240"/>
        <w:rPr/>
      </w:pPr>
      <w:r>
        <w:rPr/>
      </w:r>
    </w:p>
    <w:p>
      <w:pPr>
        <w:pStyle w:val="normal2"/>
        <w:widowControl w:val="false"/>
        <w:numPr>
          <w:ilvl w:val="2"/>
          <w:numId w:val="1"/>
        </w:numPr>
        <w:spacing w:lineRule="auto" w:line="240"/>
        <w:rPr/>
      </w:pPr>
      <w:r>
        <w:rPr/>
        <w:t>Progress in Policies on Assessment</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Question46[0]}</w:t>
      </w:r>
      <w:r>
        <w:rPr/>
        <w:t xml:space="preserve"> in national policies on incentives/rewards for Open Science in EU countr</w:t>
      </w:r>
      <w:r>
        <w:rPr>
          <w:shd w:fill="auto" w:val="clear"/>
        </w:rPr>
        <w:t>ies in Survey {</w:t>
      </w:r>
      <w:r>
        <w:rPr>
          <w:highlight w:val="yellow"/>
        </w:rPr>
        <w:t>Year}</w:t>
      </w:r>
      <w:r>
        <w:rPr/>
        <w:t xml:space="preserve"> from the previous year and {</w:t>
      </w:r>
      <w:r>
        <w:rPr>
          <w:highlight w:val="yellow"/>
        </w:rPr>
        <w:t>Question46[1]}</w:t>
      </w:r>
      <w:r>
        <w:rPr/>
        <w:t xml:space="preserve"> since Survey 2022, whereby there is {</w:t>
      </w:r>
      <w:r>
        <w:rPr>
          <w:highlight w:val="yellow"/>
        </w:rPr>
        <w:t>Question46[2]}</w:t>
      </w:r>
      <w:r>
        <w:rPr/>
        <w:t xml:space="preserve"> in mandatory </w:t>
      </w:r>
      <w:r>
        <w:rPr>
          <w:shd w:fill="auto" w:val="clear"/>
        </w:rPr>
        <w:t>policies in Survey {</w:t>
      </w:r>
      <w:r>
        <w:rPr>
          <w:shd w:fill="FFFF00" w:val="clear"/>
        </w:rPr>
        <w:t>Year</w:t>
      </w:r>
      <w:r>
        <w:rPr>
          <w:shd w:fill="auto" w:val="clear"/>
        </w:rPr>
        <w:t>} from the previous year</w:t>
      </w:r>
      <w:r>
        <w:rPr/>
        <w:t xml:space="preserve"> and {</w:t>
      </w:r>
      <w:r>
        <w:rPr>
          <w:highlight w:val="yellow"/>
        </w:rPr>
        <w:t>Question46[3]}</w:t>
      </w:r>
      <w:r>
        <w:rPr/>
        <w:t xml:space="preserve"> since Survey 2022 as shown in Figure 103.</w:t>
      </w:r>
    </w:p>
    <w:p>
      <w:pPr>
        <w:pStyle w:val="normal2"/>
        <w:widowControl w:val="false"/>
        <w:spacing w:lineRule="auto" w:line="240"/>
        <w:rPr/>
      </w:pPr>
      <w:r>
        <w:rPr/>
      </w:r>
    </w:p>
    <w:p>
      <w:pPr>
        <w:pStyle w:val="normal1"/>
        <w:jc w:val="center"/>
        <w:rPr>
          <w:i/>
        </w:rPr>
      </w:pPr>
      <w:r>
        <w:rPr>
          <w:i/>
          <w:highlight w:val="yellow"/>
        </w:rPr>
        <w:t>{%chartImage91}</w:t>
      </w:r>
    </w:p>
    <w:p>
      <w:pPr>
        <w:pStyle w:val="normal2"/>
        <w:jc w:val="center"/>
        <w:rPr/>
      </w:pPr>
      <w:r>
        <w:rPr/>
      </w:r>
    </w:p>
    <w:p>
      <w:pPr>
        <w:pStyle w:val="normal2"/>
        <w:jc w:val="center"/>
        <w:rPr/>
      </w:pPr>
      <w:r>
        <w:rPr>
          <w:i/>
          <w:iCs/>
        </w:rPr>
        <w:t>Figure 103: Progress in EU Countries with a National Policy on Incentives/Rewards for Open Science</w:t>
      </w:r>
    </w:p>
    <w:p>
      <w:pPr>
        <w:pStyle w:val="normal2"/>
        <w:rPr/>
      </w:pPr>
      <w:r>
        <w:rPr/>
      </w:r>
    </w:p>
    <w:p>
      <w:pPr>
        <w:pStyle w:val="normal2"/>
        <w:widowControl w:val="false"/>
        <w:spacing w:lineRule="auto" w:line="240"/>
        <w:rPr/>
      </w:pPr>
      <w:r>
        <w:rPr/>
        <w:t>There is {</w:t>
      </w:r>
      <w:r>
        <w:rPr>
          <w:highlight w:val="yellow"/>
        </w:rPr>
        <w:t>Question47[0]}</w:t>
      </w:r>
      <w:r>
        <w:rPr/>
        <w:t xml:space="preserve"> in financial strategies on incentives/rewards for Open Science in EU countr</w:t>
      </w:r>
      <w:r>
        <w:rPr>
          <w:shd w:fill="auto" w:val="clear"/>
        </w:rPr>
        <w:t>ies in Survey {</w:t>
      </w:r>
      <w:r>
        <w:rPr>
          <w:highlight w:val="yellow"/>
        </w:rPr>
        <w:t>Year}</w:t>
      </w:r>
      <w:r>
        <w:rPr/>
        <w:t xml:space="preserve"> from the previous year and {</w:t>
      </w:r>
      <w:r>
        <w:rPr>
          <w:highlight w:val="yellow"/>
        </w:rPr>
        <w:t>Question47[1]}</w:t>
      </w:r>
      <w:r>
        <w:rPr/>
        <w:t xml:space="preserve"> since Survey 2022 as shown in Figure 104.</w:t>
      </w:r>
    </w:p>
    <w:p>
      <w:pPr>
        <w:pStyle w:val="normal2"/>
        <w:widowControl w:val="false"/>
        <w:spacing w:lineRule="auto" w:line="240"/>
        <w:rPr/>
      </w:pPr>
      <w:r>
        <w:rPr/>
      </w:r>
    </w:p>
    <w:p>
      <w:pPr>
        <w:pStyle w:val="normal1"/>
        <w:jc w:val="center"/>
        <w:rPr>
          <w:i/>
        </w:rPr>
      </w:pPr>
      <w:r>
        <w:rPr>
          <w:i/>
          <w:highlight w:val="yellow"/>
        </w:rPr>
        <w:t>{%chartImage92}</w:t>
      </w:r>
    </w:p>
    <w:p>
      <w:pPr>
        <w:pStyle w:val="normal2"/>
        <w:jc w:val="center"/>
        <w:rPr/>
      </w:pPr>
      <w:r>
        <w:rPr/>
      </w:r>
    </w:p>
    <w:p>
      <w:pPr>
        <w:pStyle w:val="normal2"/>
        <w:jc w:val="center"/>
        <w:rPr/>
      </w:pPr>
      <w:r>
        <w:rPr>
          <w:i/>
          <w:iCs/>
        </w:rPr>
        <w:t>Figure 104: Progress in EU Countries with a Financial Strategy on Incentives/Rewards for Open Science</w:t>
      </w:r>
    </w:p>
    <w:p>
      <w:pPr>
        <w:pStyle w:val="normal2"/>
        <w:widowControl w:val="false"/>
        <w:spacing w:lineRule="auto" w:line="240"/>
        <w:rPr/>
      </w:pPr>
      <w:r>
        <w:rPr/>
      </w:r>
    </w:p>
    <w:p>
      <w:pPr>
        <w:pStyle w:val="normal2"/>
        <w:widowControl w:val="false"/>
        <w:numPr>
          <w:ilvl w:val="2"/>
          <w:numId w:val="1"/>
        </w:numPr>
        <w:spacing w:lineRule="auto" w:line="240"/>
        <w:rPr/>
      </w:pPr>
      <w:r>
        <w:rPr/>
        <w:t>Progress in Practices on Assessment</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Question94[0]}</w:t>
      </w:r>
      <w:r>
        <w:rPr/>
        <w:t xml:space="preserve"> in national monitoring on incentives/rewards for Open Science in EU countr</w:t>
      </w:r>
      <w:r>
        <w:rPr>
          <w:shd w:fill="auto" w:val="clear"/>
        </w:rPr>
        <w:t>ies in Survey {</w:t>
      </w:r>
      <w:r>
        <w:rPr>
          <w:highlight w:val="yellow"/>
        </w:rPr>
        <w:t>Year}</w:t>
      </w:r>
      <w:r>
        <w:rPr/>
        <w:t xml:space="preserve"> from the previous year and {</w:t>
      </w:r>
      <w:r>
        <w:rPr>
          <w:highlight w:val="yellow"/>
        </w:rPr>
        <w:t>Question94[1]}</w:t>
      </w:r>
      <w:r>
        <w:rPr/>
        <w:t xml:space="preserve"> since Survey 2022 as shown in Figure 105.</w:t>
      </w:r>
    </w:p>
    <w:p>
      <w:pPr>
        <w:pStyle w:val="normal2"/>
        <w:widowControl w:val="false"/>
        <w:spacing w:lineRule="auto" w:line="240"/>
        <w:rPr/>
      </w:pPr>
      <w:r>
        <w:rPr/>
      </w:r>
    </w:p>
    <w:p>
      <w:pPr>
        <w:pStyle w:val="normal1"/>
        <w:jc w:val="center"/>
        <w:rPr>
          <w:i/>
        </w:rPr>
      </w:pPr>
      <w:r>
        <w:rPr>
          <w:i/>
          <w:highlight w:val="yellow"/>
        </w:rPr>
        <w:t>{%chartImage93}</w:t>
      </w:r>
    </w:p>
    <w:p>
      <w:pPr>
        <w:pStyle w:val="normal2"/>
        <w:jc w:val="center"/>
        <w:rPr/>
      </w:pPr>
      <w:r>
        <w:rPr/>
      </w:r>
    </w:p>
    <w:p>
      <w:pPr>
        <w:pStyle w:val="normal2"/>
        <w:jc w:val="center"/>
        <w:rPr>
          <w:i/>
          <w:iCs/>
        </w:rPr>
      </w:pPr>
      <w:r>
        <w:rPr>
          <w:i/>
          <w:iCs/>
        </w:rPr>
        <w:t>Figure 105: Progress in EU Countries with a National Monitoring on Incentives/Rewards for Open Science</w:t>
      </w:r>
    </w:p>
    <w:p>
      <w:pPr>
        <w:pStyle w:val="normal2"/>
        <w:widowControl w:val="false"/>
        <w:spacing w:lineRule="auto" w:line="240"/>
        <w:rPr/>
      </w:pPr>
      <w:r>
        <w:rPr/>
      </w:r>
    </w:p>
    <w:p>
      <w:pPr>
        <w:pStyle w:val="normal2"/>
        <w:widowControl w:val="false"/>
        <w:spacing w:lineRule="auto" w:line="240"/>
        <w:rPr/>
      </w:pPr>
      <w:r>
        <w:rPr/>
        <w:t>There is {</w:t>
      </w:r>
      <w:r>
        <w:rPr>
          <w:highlight w:val="yellow"/>
        </w:rPr>
        <w:t>Question96_trend[0]</w:t>
      </w:r>
      <w:r>
        <w:rPr/>
        <w:t>} in national investments in incentives/rewards for Open Science per 1000 FTE researchers in EU countr</w:t>
      </w:r>
      <w:r>
        <w:rPr>
          <w:shd w:fill="auto" w:val="clear"/>
        </w:rPr>
        <w:t>ies in Survey {</w:t>
      </w:r>
      <w:r>
        <w:rPr>
          <w:highlight w:val="yellow"/>
        </w:rPr>
        <w:t>Year}</w:t>
      </w:r>
      <w:r>
        <w:rPr/>
        <w:t xml:space="preserve"> from the previous year and {</w:t>
      </w:r>
      <w:r>
        <w:rPr>
          <w:highlight w:val="yellow"/>
        </w:rPr>
        <w:t>Question96_trend[1]</w:t>
      </w:r>
      <w:r>
        <w:rPr/>
        <w:t>} since Survey 2022 as shown in Figure 106.</w:t>
      </w:r>
    </w:p>
    <w:p>
      <w:pPr>
        <w:pStyle w:val="normal2"/>
        <w:widowControl w:val="false"/>
        <w:spacing w:lineRule="auto" w:line="240"/>
        <w:rPr/>
      </w:pPr>
      <w:r>
        <w:rPr/>
      </w:r>
    </w:p>
    <w:p>
      <w:pPr>
        <w:pStyle w:val="normal1"/>
        <w:jc w:val="center"/>
        <w:rPr>
          <w:i/>
        </w:rPr>
      </w:pPr>
      <w:r>
        <w:rPr>
          <w:i/>
          <w:highlight w:val="yellow"/>
        </w:rPr>
        <w:t>{%chartImage94}</w:t>
      </w:r>
    </w:p>
    <w:p>
      <w:pPr>
        <w:pStyle w:val="normal2"/>
        <w:jc w:val="center"/>
        <w:rPr/>
      </w:pPr>
      <w:r>
        <w:rPr/>
      </w:r>
    </w:p>
    <w:p>
      <w:pPr>
        <w:pStyle w:val="normal1"/>
        <w:jc w:val="center"/>
        <w:rPr>
          <w:i/>
          <w:iCs/>
        </w:rPr>
      </w:pPr>
      <w:r>
        <w:rPr>
          <w:i/>
          <w:iCs/>
        </w:rPr>
        <w:t>Figure 106: Progress in EU Countries with National Investments in Incentives/Rewards for Open Science per 1000 FTE Researchers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0"/>
          <w:numId w:val="1"/>
        </w:numPr>
        <w:suppressAutoHyphens w:val="false"/>
        <w:spacing w:lineRule="auto" w:line="240"/>
        <w:rPr>
          <w:b/>
          <w:bCs/>
        </w:rPr>
      </w:pPr>
      <w:r>
        <w:rPr>
          <w:b/>
          <w:bCs/>
          <w:lang w:eastAsia="en-GB" w:bidi="ar-SA"/>
        </w:rPr>
        <w:t>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The engagement category consists of one main topic: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1"/>
          <w:numId w:val="1"/>
        </w:numPr>
        <w:suppressAutoHyphens w:val="false"/>
        <w:spacing w:lineRule="auto" w:line="240"/>
        <w:rPr>
          <w:lang w:eastAsia="en-GB" w:bidi="ar-SA"/>
        </w:rPr>
      </w:pPr>
      <w:r>
        <w:rPr>
          <w:lang w:eastAsia="en-GB" w:bidi="ar-SA"/>
        </w:rPr>
        <w:t>Policies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National Policy on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 first main policy question on citizen science in Survey </w:t>
      </w:r>
      <w:r>
        <w:rPr/>
        <w:t>{</w:t>
      </w:r>
      <w:r>
        <w:rPr>
          <w:highlight w:val="yellow"/>
        </w:rPr>
        <w:t>Year}</w:t>
      </w:r>
      <w:r>
        <w:rPr>
          <w:lang w:eastAsia="en-GB" w:bidi="ar-SA"/>
        </w:rPr>
        <w:t xml:space="preserve"> is </w:t>
      </w:r>
      <w:r>
        <w:rPr>
          <w:i/>
          <w:iCs/>
          <w:lang w:eastAsia="en-GB" w:bidi="ar-SA"/>
        </w:rPr>
        <w:t>Does your country have a national policy on citizen science?</w:t>
      </w:r>
      <w:r>
        <w:rPr>
          <w:lang w:eastAsia="en-GB" w:bidi="ar-SA"/>
        </w:rPr>
        <w:t xml:space="preserve"> (Q45) followed by </w:t>
      </w:r>
      <w:r>
        <w:rPr>
          <w:i/>
          <w:iCs/>
          <w:lang w:eastAsia="en-GB" w:bidi="ar-SA"/>
        </w:rPr>
        <w:t>Is this policy mandatory?</w:t>
      </w:r>
      <w:r>
        <w:rPr>
          <w:lang w:eastAsia="en-GB" w:bidi="ar-SA"/>
        </w:rPr>
        <w:t xml:space="preserve"> (Q41.1). </w:t>
      </w:r>
      <w:r>
        <w:rPr/>
        <w:t>{</w:t>
      </w:r>
      <w:r>
        <w:rPr>
          <w:shd w:fill="FFFF00" w:val="clear"/>
        </w:rPr>
        <w:t>Question50</w:t>
      </w:r>
      <w:r>
        <w:rPr/>
        <w:t>}</w:t>
      </w:r>
      <w:r>
        <w:rPr>
          <w:lang w:eastAsia="en-GB" w:bidi="ar-SA"/>
        </w:rPr>
        <w:t xml:space="preserve"> of responding EU countries have a national policy on citizen science, whereby </w:t>
      </w:r>
      <w:r>
        <w:rPr/>
        <w:t>{</w:t>
      </w:r>
      <w:r>
        <w:rPr>
          <w:shd w:fill="FFFF00" w:val="clear"/>
        </w:rPr>
        <w:t>Question50.1</w:t>
      </w:r>
      <w:r>
        <w:rPr/>
        <w:t>}</w:t>
      </w:r>
      <w:r>
        <w:rPr>
          <w:lang w:eastAsia="en-GB" w:bidi="ar-SA"/>
        </w:rPr>
        <w:t xml:space="preserve"> are mandatory as shown in Figures 107 and 108.</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{%chartImage95}</w:t>
      </w:r>
    </w:p>
    <w:p>
      <w:pPr>
        <w:pStyle w:val="Normal"/>
        <w:suppressAutoHyphens w:val="false"/>
        <w:jc w:val="center"/>
        <w:rPr>
          <w:lang w:eastAsia="en-GB" w:bidi="ar-SA"/>
        </w:rPr>
      </w:pPr>
      <w:r>
        <w:rPr>
          <w:lang w:eastAsia="en-GB" w:bidi="ar-SA"/>
        </w:rPr>
      </w:r>
    </w:p>
    <w:p>
      <w:pPr>
        <w:pStyle w:val="Normal"/>
        <w:suppressAutoHyphens w:val="false"/>
        <w:jc w:val="center"/>
        <w:rPr>
          <w:i/>
          <w:iCs/>
          <w:lang w:eastAsia="en-GB" w:bidi="ar-SA"/>
        </w:rPr>
      </w:pPr>
      <w:r>
        <w:rPr>
          <w:i/>
          <w:iCs/>
          <w:lang w:eastAsia="en-GB" w:bidi="ar-SA"/>
        </w:rPr>
        <w:t>Figure 107: Map of EU Countries with a National Policy on Citizen Science</w:t>
      </w:r>
    </w:p>
    <w:p>
      <w:pPr>
        <w:pStyle w:val="Normal"/>
        <w:widowControl w:val="false"/>
        <w:suppressAutoHyphens w:val="false"/>
        <w:spacing w:lineRule="auto" w:line="240"/>
        <w:rPr>
          <w:lang w:eastAsia="en-GB" w:bidi="ar-SA"/>
        </w:rPr>
      </w:pPr>
      <w:r>
        <w:rPr>
          <w:lang w:eastAsia="en-GB" w:bidi="ar-SA"/>
        </w:rPr>
      </w:r>
    </w:p>
    <w:p>
      <w:pPr>
        <w:pStyle w:val="normal1"/>
        <w:jc w:val="center"/>
        <w:rPr/>
      </w:pPr>
      <w:r>
        <w:rPr>
          <w:highlight w:val="yellow"/>
        </w:rPr>
        <w:t>{%pieChartImage_94_0}</w:t>
      </w:r>
    </w:p>
    <w:p>
      <w:pPr>
        <w:pStyle w:val="normal1"/>
        <w:jc w:val="center"/>
        <w:rPr>
          <w:i/>
        </w:rPr>
      </w:pPr>
      <w:r>
        <w:rPr>
          <w:highlight w:val="yellow"/>
        </w:rPr>
        <w:t>{%pieChartImage_94_1}</w:t>
      </w:r>
    </w:p>
    <w:p>
      <w:pPr>
        <w:pStyle w:val="normal1"/>
        <w:jc w:val="center"/>
        <w:rPr>
          <w:i/>
        </w:rPr>
      </w:pPr>
      <w:r>
        <w:rPr>
          <w:i/>
        </w:rPr>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108: Share of EU Countries with a National Policy on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Financial Strategy on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 second main policy question on citizen science in Survey </w:t>
      </w:r>
      <w:r>
        <w:rPr/>
        <w:t>{</w:t>
      </w:r>
      <w:r>
        <w:rPr>
          <w:highlight w:val="yellow"/>
        </w:rPr>
        <w:t>Year}</w:t>
      </w:r>
      <w:r>
        <w:rPr>
          <w:lang w:eastAsia="en-GB" w:bidi="ar-SA"/>
        </w:rPr>
        <w:t xml:space="preserve"> is </w:t>
      </w:r>
      <w:r>
        <w:rPr>
          <w:i/>
          <w:iCs/>
          <w:lang w:eastAsia="en-GB" w:bidi="ar-SA"/>
        </w:rPr>
        <w:t>Does your country have a financial strategy on citizen science?</w:t>
      </w:r>
      <w:r>
        <w:rPr>
          <w:lang w:eastAsia="en-GB" w:bidi="ar-SA"/>
        </w:rPr>
        <w:t xml:space="preserve"> (Q46). </w:t>
      </w:r>
      <w:r>
        <w:rPr/>
        <w:t>{</w:t>
      </w:r>
      <w:r>
        <w:rPr>
          <w:shd w:fill="FFFF00" w:val="clear"/>
        </w:rPr>
        <w:t>Question51</w:t>
      </w:r>
      <w:r>
        <w:rPr/>
        <w:t>}</w:t>
      </w:r>
      <w:r>
        <w:rPr>
          <w:lang w:eastAsia="en-GB" w:bidi="ar-SA"/>
        </w:rPr>
        <w:t xml:space="preserve"> of responding EU countries have a financial strategy on citizen science as shown in Figures 109 and 110.</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{%chartImage96}</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109: Map of EU Countries with a Financial Strategy on Citizen Science</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highlight w:val="yellow"/>
        </w:rPr>
        <w:t>[</w:t>
      </w:r>
      <w:r>
        <w:rPr>
          <w:i/>
          <w:highlight w:val="yellow"/>
        </w:rPr>
        <w:t>{%pieChartImage_95_0}</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110: Share of EU Countries with a Financial Strategy on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1"/>
          <w:numId w:val="1"/>
        </w:numPr>
        <w:suppressAutoHyphens w:val="false"/>
        <w:spacing w:lineRule="auto" w:line="240"/>
        <w:rPr>
          <w:lang w:eastAsia="en-GB" w:bidi="ar-SA"/>
        </w:rPr>
      </w:pPr>
      <w:r>
        <w:rPr>
          <w:lang w:eastAsia="en-GB" w:bidi="ar-SA"/>
        </w:rPr>
        <w:t>Practices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National Monitoring on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 first main practice question on citizen science in Survey </w:t>
      </w:r>
      <w:r>
        <w:rPr/>
        <w:t>{</w:t>
      </w:r>
      <w:r>
        <w:rPr>
          <w:highlight w:val="yellow"/>
        </w:rPr>
        <w:t>Year}</w:t>
      </w:r>
      <w:r>
        <w:rPr>
          <w:lang w:eastAsia="en-GB" w:bidi="ar-SA"/>
        </w:rPr>
        <w:t xml:space="preserve"> is </w:t>
      </w:r>
      <w:r>
        <w:rPr>
          <w:i/>
          <w:iCs/>
          <w:lang w:eastAsia="en-GB" w:bidi="ar-SA"/>
        </w:rPr>
        <w:t>Does your country have a national monitoring on citizen science?</w:t>
      </w:r>
      <w:r>
        <w:rPr>
          <w:lang w:eastAsia="en-GB" w:bidi="ar-SA"/>
        </w:rPr>
        <w:t xml:space="preserve"> (Q93). </w:t>
      </w:r>
      <w:r>
        <w:rPr/>
        <w:t>{</w:t>
      </w:r>
      <w:r>
        <w:rPr>
          <w:shd w:fill="FFFF00" w:val="clear"/>
        </w:rPr>
        <w:t>Question98</w:t>
      </w:r>
      <w:r>
        <w:rPr/>
        <w:t>}</w:t>
      </w:r>
      <w:r>
        <w:rPr>
          <w:lang w:eastAsia="en-GB" w:bidi="ar-SA"/>
        </w:rPr>
        <w:t xml:space="preserve"> of responding EU countries have a national monitoring on citizen science as shown in Figures 111 and 112.</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{%chartImage97}</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111: Map of EU Countries with a National Monitoring on Citizen Science</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highlight w:val="yellow"/>
        </w:rPr>
        <w:t>[</w:t>
      </w:r>
      <w:r>
        <w:rPr>
          <w:i/>
          <w:highlight w:val="yellow"/>
        </w:rPr>
        <w:t>{%pieChartImage_96_0}</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112: Share of EU Countries with a National Monitoring on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National Investments in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 second main practice question on citizen science in Survey </w:t>
      </w:r>
      <w:r>
        <w:rPr/>
        <w:t>{</w:t>
      </w:r>
      <w:r>
        <w:rPr>
          <w:highlight w:val="yellow"/>
        </w:rPr>
        <w:t>Year}</w:t>
      </w:r>
      <w:r>
        <w:rPr>
          <w:lang w:eastAsia="en-GB" w:bidi="ar-SA"/>
        </w:rPr>
        <w:t xml:space="preserve"> is </w:t>
      </w:r>
      <w:r>
        <w:rPr>
          <w:i/>
          <w:iCs/>
          <w:lang w:eastAsia="en-GB" w:bidi="ar-SA"/>
        </w:rPr>
        <w:t xml:space="preserve">How much did your country financially invest in citizen science in </w:t>
      </w:r>
      <w:r>
        <w:rPr/>
        <w:t>{</w:t>
      </w:r>
      <w:r>
        <w:rPr>
          <w:shd w:fill="FFFF00" w:val="clear"/>
        </w:rPr>
        <w:t>Fisca</w:t>
      </w:r>
      <w:r>
        <w:rPr>
          <w:i/>
          <w:iCs/>
          <w:shd w:fill="FFFF00" w:val="clear"/>
          <w:lang w:eastAsia="en-GB" w:bidi="ar-SA"/>
        </w:rPr>
        <w:t>lYear</w:t>
      </w:r>
      <w:r>
        <w:rPr>
          <w:i/>
          <w:iCs/>
          <w:lang w:eastAsia="en-GB" w:bidi="ar-SA"/>
        </w:rPr>
        <w:t>} in millions of Euros?</w:t>
      </w:r>
      <w:r>
        <w:rPr>
          <w:lang w:eastAsia="en-GB" w:bidi="ar-SA"/>
        </w:rPr>
        <w:t xml:space="preserve"> (Q95). </w:t>
      </w:r>
      <w:r>
        <w:rPr/>
        <w:t>{</w:t>
      </w:r>
      <w:r>
        <w:rPr>
          <w:highlight w:val="yellow"/>
        </w:rPr>
        <w:t>Question100[0]}</w:t>
      </w:r>
      <w:r>
        <w:rPr>
          <w:lang w:eastAsia="en-GB" w:bidi="ar-SA"/>
        </w:rPr>
        <w:t xml:space="preserve"> of responding EU countries are not investing or have not stated the number of investments in citizen science. </w:t>
      </w:r>
      <w:r>
        <w:rPr/>
        <w:t>{</w:t>
      </w:r>
      <w:r>
        <w:rPr>
          <w:highlight w:val="yellow"/>
        </w:rPr>
        <w:t>Question100[1]}</w:t>
      </w:r>
      <w:r>
        <w:rPr>
          <w:lang w:eastAsia="en-GB" w:bidi="ar-SA"/>
        </w:rPr>
        <w:t xml:space="preserve"> of EU countries invested &gt;0 to 50 €K, </w:t>
      </w:r>
      <w:r>
        <w:rPr/>
        <w:t>{</w:t>
      </w:r>
      <w:r>
        <w:rPr>
          <w:highlight w:val="yellow"/>
        </w:rPr>
        <w:t>Question100[2]}</w:t>
      </w:r>
      <w:r>
        <w:rPr>
          <w:lang w:eastAsia="en-GB" w:bidi="ar-SA"/>
        </w:rPr>
        <w:t xml:space="preserve"> &gt;50 to 100 €K, </w:t>
      </w:r>
      <w:r>
        <w:rPr/>
        <w:t>{</w:t>
      </w:r>
      <w:r>
        <w:rPr>
          <w:highlight w:val="yellow"/>
        </w:rPr>
        <w:t>Question100[3]}</w:t>
      </w:r>
      <w:r>
        <w:rPr>
          <w:lang w:eastAsia="en-GB" w:bidi="ar-SA"/>
        </w:rPr>
        <w:t xml:space="preserve"> &gt;100 to 250 €K, </w:t>
      </w:r>
      <w:r>
        <w:rPr/>
        <w:t>{</w:t>
      </w:r>
      <w:r>
        <w:rPr>
          <w:highlight w:val="yellow"/>
        </w:rPr>
        <w:t>Question100[4]}</w:t>
      </w:r>
      <w:r>
        <w:rPr>
          <w:lang w:eastAsia="en-GB" w:bidi="ar-SA"/>
        </w:rPr>
        <w:t xml:space="preserve"> &gt;250 to 500 €K, </w:t>
      </w:r>
      <w:r>
        <w:rPr/>
        <w:t>{</w:t>
      </w:r>
      <w:r>
        <w:rPr>
          <w:highlight w:val="yellow"/>
        </w:rPr>
        <w:t>Question100[5]}</w:t>
      </w:r>
      <w:r>
        <w:rPr>
          <w:lang w:eastAsia="en-GB" w:bidi="ar-SA"/>
        </w:rPr>
        <w:t xml:space="preserve"> &gt;500 to 1000 €K, and </w:t>
      </w:r>
      <w:r>
        <w:rPr/>
        <w:t>{</w:t>
      </w:r>
      <w:r>
        <w:rPr>
          <w:highlight w:val="yellow"/>
        </w:rPr>
        <w:t>Question100[6]}</w:t>
      </w:r>
      <w:r>
        <w:rPr>
          <w:lang w:eastAsia="en-GB" w:bidi="ar-SA"/>
        </w:rPr>
        <w:t xml:space="preserve"> &gt;1000 €K per 1000 FTE researchers in citizen science as shown in Figure 113.</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{%chartImage98}</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113: Number of EU Countries with National Investments in Citizen Science per 1000 FTE Researchers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1"/>
          <w:numId w:val="1"/>
        </w:numPr>
        <w:suppressAutoHyphens w:val="false"/>
        <w:spacing w:lineRule="auto" w:line="240"/>
        <w:rPr>
          <w:lang w:eastAsia="en-GB" w:bidi="ar-SA"/>
        </w:rPr>
      </w:pPr>
      <w:r>
        <w:rPr>
          <w:lang w:eastAsia="en-GB" w:bidi="ar-SA"/>
        </w:rPr>
        <w:t>Impacts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Progress in Policies on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There is </w:t>
      </w:r>
      <w:r>
        <w:rPr/>
        <w:t>{</w:t>
      </w:r>
      <w:r>
        <w:rPr>
          <w:highlight w:val="yellow"/>
        </w:rPr>
        <w:t>Question50[0]}</w:t>
      </w:r>
      <w:r>
        <w:rPr>
          <w:lang w:eastAsia="en-GB" w:bidi="ar-SA"/>
        </w:rPr>
        <w:t xml:space="preserve"> in national policies on citizen science in EU countr</w:t>
      </w:r>
      <w:r>
        <w:rPr>
          <w:shd w:fill="auto" w:val="clear"/>
          <w:lang w:eastAsia="en-GB" w:bidi="ar-SA"/>
        </w:rPr>
        <w:t xml:space="preserve">ies in </w:t>
      </w:r>
      <w:r>
        <w:rPr>
          <w:shd w:fill="auto" w:val="clear"/>
        </w:rPr>
        <w:t>Survey {</w:t>
      </w:r>
      <w:r>
        <w:rPr>
          <w:highlight w:val="yellow"/>
        </w:rPr>
        <w:t>Year}</w:t>
      </w:r>
      <w:r>
        <w:rPr>
          <w:lang w:eastAsia="en-GB" w:bidi="ar-SA"/>
        </w:rPr>
        <w:t xml:space="preserve"> from the previous year and </w:t>
      </w:r>
      <w:r>
        <w:rPr/>
        <w:t>{</w:t>
      </w:r>
      <w:r>
        <w:rPr>
          <w:highlight w:val="yellow"/>
        </w:rPr>
        <w:t>Question50[1]}</w:t>
      </w:r>
      <w:r>
        <w:rPr>
          <w:lang w:eastAsia="en-GB" w:bidi="ar-SA"/>
        </w:rPr>
        <w:t xml:space="preserve"> since Survey 2022, whereby there is </w:t>
      </w:r>
      <w:r>
        <w:rPr/>
        <w:t>{</w:t>
      </w:r>
      <w:r>
        <w:rPr>
          <w:highlight w:val="yellow"/>
        </w:rPr>
        <w:t>Question50[2]}</w:t>
      </w:r>
      <w:r>
        <w:rPr>
          <w:lang w:eastAsia="en-GB" w:bidi="ar-SA"/>
        </w:rPr>
        <w:t xml:space="preserve"> in mandatory </w:t>
      </w:r>
      <w:r>
        <w:rPr>
          <w:shd w:fill="auto" w:val="clear"/>
          <w:lang w:eastAsia="en-GB" w:bidi="ar-SA"/>
        </w:rPr>
        <w:t xml:space="preserve">policies in </w:t>
      </w:r>
      <w:r>
        <w:rPr>
          <w:shd w:fill="auto" w:val="clear"/>
        </w:rPr>
        <w:t>Survey</w:t>
      </w:r>
      <w:r>
        <w:rPr>
          <w:shd w:fill="auto" w:val="clear"/>
          <w:lang w:eastAsia="en-GB" w:bidi="ar-SA"/>
        </w:rPr>
        <w:t xml:space="preserve"> {</w:t>
      </w:r>
      <w:r>
        <w:rPr>
          <w:shd w:fill="FFFF00" w:val="clear"/>
          <w:lang w:eastAsia="en-GB" w:bidi="ar-SA"/>
        </w:rPr>
        <w:t>Year</w:t>
      </w:r>
      <w:r>
        <w:rPr>
          <w:shd w:fill="auto" w:val="clear"/>
          <w:lang w:eastAsia="en-GB" w:bidi="ar-SA"/>
        </w:rPr>
        <w:t>} from the previous year</w:t>
      </w:r>
      <w:r>
        <w:rPr>
          <w:lang w:eastAsia="en-GB" w:bidi="ar-SA"/>
        </w:rPr>
        <w:t xml:space="preserve"> and </w:t>
      </w:r>
      <w:r>
        <w:rPr/>
        <w:t>{</w:t>
      </w:r>
      <w:r>
        <w:rPr>
          <w:highlight w:val="yellow"/>
        </w:rPr>
        <w:t>Question50[3]}</w:t>
      </w:r>
      <w:r>
        <w:rPr>
          <w:lang w:eastAsia="en-GB" w:bidi="ar-SA"/>
        </w:rPr>
        <w:t xml:space="preserve"> since Survey 2022 as shown in Figure 114.</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{%chartImage99}</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114: Progress in EU Countries with a National Policy on Citizen Science</w:t>
      </w:r>
    </w:p>
    <w:p>
      <w:pPr>
        <w:pStyle w:val="Normal"/>
        <w:suppressAutoHyphens w:val="false"/>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There is </w:t>
      </w:r>
      <w:r>
        <w:rPr/>
        <w:t>{</w:t>
      </w:r>
      <w:r>
        <w:rPr>
          <w:highlight w:val="yellow"/>
        </w:rPr>
        <w:t>Question51[0]</w:t>
      </w:r>
      <w:r>
        <w:rPr/>
        <w:t>}</w:t>
      </w:r>
      <w:r>
        <w:rPr>
          <w:lang w:eastAsia="en-GB" w:bidi="ar-SA"/>
        </w:rPr>
        <w:t xml:space="preserve"> in financial strategies on citizen science in EU countr</w:t>
      </w:r>
      <w:r>
        <w:rPr>
          <w:shd w:fill="auto" w:val="clear"/>
          <w:lang w:eastAsia="en-GB" w:bidi="ar-SA"/>
        </w:rPr>
        <w:t xml:space="preserve">ies in </w:t>
      </w:r>
      <w:r>
        <w:rPr>
          <w:shd w:fill="auto" w:val="clear"/>
        </w:rPr>
        <w:t>Survey {</w:t>
      </w:r>
      <w:r>
        <w:rPr>
          <w:highlight w:val="yellow"/>
        </w:rPr>
        <w:t>Year}</w:t>
      </w:r>
      <w:r>
        <w:rPr>
          <w:lang w:eastAsia="en-GB" w:bidi="ar-SA"/>
        </w:rPr>
        <w:t xml:space="preserve"> from the previous year and </w:t>
      </w:r>
      <w:r>
        <w:rPr/>
        <w:t>{</w:t>
      </w:r>
      <w:r>
        <w:rPr>
          <w:highlight w:val="yellow"/>
        </w:rPr>
        <w:t>Question51[1]</w:t>
      </w:r>
      <w:r>
        <w:rPr/>
        <w:t>}</w:t>
      </w:r>
      <w:r>
        <w:rPr>
          <w:lang w:eastAsia="en-GB" w:bidi="ar-SA"/>
        </w:rPr>
        <w:t xml:space="preserve"> since Survey 2022 as shown in Figure 115.</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{%chartImage100}</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115: Progress in EU Countries with a Financial Strategy on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2"/>
          <w:numId w:val="1"/>
        </w:numPr>
        <w:suppressAutoHyphens w:val="false"/>
        <w:spacing w:lineRule="auto" w:line="240"/>
        <w:rPr>
          <w:lang w:eastAsia="en-GB" w:bidi="ar-SA"/>
        </w:rPr>
      </w:pPr>
      <w:r>
        <w:rPr>
          <w:lang w:eastAsia="en-GB" w:bidi="ar-SA"/>
        </w:rPr>
        <w:t>Progress in Practices on Engagement</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There is </w:t>
      </w:r>
      <w:r>
        <w:rPr/>
        <w:t>{</w:t>
      </w:r>
      <w:r>
        <w:rPr>
          <w:highlight w:val="yellow"/>
        </w:rPr>
        <w:t>Question98[0]</w:t>
      </w:r>
      <w:r>
        <w:rPr/>
        <w:t>}</w:t>
      </w:r>
      <w:r>
        <w:rPr>
          <w:lang w:eastAsia="en-GB" w:bidi="ar-SA"/>
        </w:rPr>
        <w:t xml:space="preserve"> in national monitoring on citizen science in EU countr</w:t>
      </w:r>
      <w:r>
        <w:rPr>
          <w:shd w:fill="auto" w:val="clear"/>
          <w:lang w:eastAsia="en-GB" w:bidi="ar-SA"/>
        </w:rPr>
        <w:t xml:space="preserve">ies in </w:t>
      </w:r>
      <w:r>
        <w:rPr>
          <w:shd w:fill="auto" w:val="clear"/>
        </w:rPr>
        <w:t>Survey {</w:t>
      </w:r>
      <w:r>
        <w:rPr>
          <w:highlight w:val="yellow"/>
        </w:rPr>
        <w:t>Year}</w:t>
      </w:r>
      <w:r>
        <w:rPr>
          <w:lang w:eastAsia="en-GB" w:bidi="ar-SA"/>
        </w:rPr>
        <w:t xml:space="preserve"> from the previous year and </w:t>
      </w:r>
      <w:r>
        <w:rPr/>
        <w:t>{</w:t>
      </w:r>
      <w:r>
        <w:rPr>
          <w:highlight w:val="yellow"/>
        </w:rPr>
        <w:t>Question98[1]</w:t>
      </w:r>
      <w:r>
        <w:rPr/>
        <w:t>}</w:t>
      </w:r>
      <w:r>
        <w:rPr>
          <w:lang w:eastAsia="en-GB" w:bidi="ar-SA"/>
        </w:rPr>
        <w:t xml:space="preserve"> since Survey 2022 as shown in Figure 116.</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{%chartImage101}</w:t>
      </w:r>
    </w:p>
    <w:p>
      <w:pPr>
        <w:pStyle w:val="Normal"/>
        <w:suppressAutoHyphens w:val="false"/>
        <w:jc w:val="center"/>
        <w:rPr>
          <w:lang w:eastAsia="en-GB" w:bidi="ar-SA"/>
        </w:rPr>
      </w:pPr>
      <w:r>
        <w:rPr>
          <w:lang w:eastAsia="en-GB" w:bidi="ar-SA"/>
        </w:rPr>
      </w:r>
    </w:p>
    <w:p>
      <w:pPr>
        <w:pStyle w:val="Normal"/>
        <w:suppressAutoHyphens w:val="false"/>
        <w:jc w:val="center"/>
        <w:rPr>
          <w:i/>
          <w:iCs/>
          <w:lang w:eastAsia="en-GB" w:bidi="ar-SA"/>
        </w:rPr>
      </w:pPr>
      <w:r>
        <w:rPr>
          <w:i/>
          <w:iCs/>
          <w:lang w:eastAsia="en-GB" w:bidi="ar-SA"/>
        </w:rPr>
        <w:t>Figure 116: Progress in EU Countries with a National Monitoring on Citizen Science</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There is </w:t>
      </w:r>
      <w:r>
        <w:rPr/>
        <w:t>{</w:t>
      </w:r>
      <w:r>
        <w:rPr>
          <w:highlight w:val="yellow"/>
        </w:rPr>
        <w:t>Question100_trend[0]</w:t>
      </w:r>
      <w:r>
        <w:rPr/>
        <w:t>}</w:t>
      </w:r>
      <w:r>
        <w:rPr>
          <w:lang w:eastAsia="en-GB" w:bidi="ar-SA"/>
        </w:rPr>
        <w:t xml:space="preserve"> in national investments in citizen science per 1000 FTE researchers in EU countr</w:t>
      </w:r>
      <w:r>
        <w:rPr>
          <w:shd w:fill="auto" w:val="clear"/>
          <w:lang w:eastAsia="en-GB" w:bidi="ar-SA"/>
        </w:rPr>
        <w:t xml:space="preserve">ies in </w:t>
      </w:r>
      <w:r>
        <w:rPr>
          <w:shd w:fill="auto" w:val="clear"/>
        </w:rPr>
        <w:t>Survey {</w:t>
      </w:r>
      <w:r>
        <w:rPr>
          <w:highlight w:val="yellow"/>
        </w:rPr>
        <w:t>Year}</w:t>
      </w:r>
      <w:r>
        <w:rPr>
          <w:lang w:eastAsia="en-GB" w:bidi="ar-SA"/>
        </w:rPr>
        <w:t xml:space="preserve"> from the previous year and </w:t>
      </w:r>
      <w:r>
        <w:rPr/>
        <w:t>{</w:t>
      </w:r>
      <w:r>
        <w:rPr>
          <w:highlight w:val="yellow"/>
        </w:rPr>
        <w:t>Question100_trend[1]</w:t>
      </w:r>
      <w:r>
        <w:rPr/>
        <w:t>}</w:t>
      </w:r>
      <w:r>
        <w:rPr>
          <w:lang w:eastAsia="en-GB" w:bidi="ar-SA"/>
        </w:rPr>
        <w:t xml:space="preserve"> since Survey 2022 as shown in Figure 117.</w:t>
      </w:r>
    </w:p>
    <w:p>
      <w:pPr>
        <w:pStyle w:val="normal1"/>
        <w:jc w:val="center"/>
        <w:rPr>
          <w:i/>
        </w:rPr>
      </w:pPr>
      <w:r>
        <w:rPr>
          <w:i/>
          <w:highlight w:val="yellow"/>
        </w:rPr>
        <w:t>{%chartImage102}</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117: Progress in EU Countries with National Investments in Citizen Science per 1000 FTE Researchers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0"/>
          <w:numId w:val="1"/>
        </w:numPr>
        <w:suppressAutoHyphens w:val="false"/>
        <w:spacing w:lineRule="auto" w:line="240"/>
        <w:rPr>
          <w:b/>
          <w:bCs/>
        </w:rPr>
      </w:pPr>
      <w:r>
        <w:rPr>
          <w:b/>
          <w:bCs/>
          <w:lang w:eastAsia="en-GB" w:bidi="ar-SA"/>
        </w:rPr>
        <w:t>Total Investments in EOSC and Open Science</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1"/>
          <w:numId w:val="1"/>
        </w:numPr>
        <w:suppressAutoHyphens w:val="false"/>
        <w:spacing w:lineRule="auto" w:line="240"/>
        <w:rPr>
          <w:lang w:eastAsia="en-GB" w:bidi="ar-SA"/>
        </w:rPr>
      </w:pPr>
      <w:r>
        <w:rPr>
          <w:lang w:eastAsia="en-GB" w:bidi="ar-SA"/>
        </w:rPr>
        <w:t>Total Investments in Millions of Euros</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This report has so far looked at national investments across the eight categories relevant for EOSC and Open Science of publications, data, software, services, infrastructure, skills/training, assessment, and engagement. A general question on national investments in Survey </w:t>
      </w:r>
      <w:r>
        <w:rPr/>
        <w:t>{</w:t>
      </w:r>
      <w:r>
        <w:rPr>
          <w:highlight w:val="yellow"/>
        </w:rPr>
        <w:t>Year}</w:t>
      </w:r>
      <w:r>
        <w:rPr>
          <w:lang w:eastAsia="en-GB" w:bidi="ar-SA"/>
        </w:rPr>
        <w:t xml:space="preserve"> is </w:t>
      </w:r>
      <w:r>
        <w:rPr>
          <w:i/>
          <w:iCs/>
          <w:lang w:eastAsia="en-GB" w:bidi="ar-SA"/>
        </w:rPr>
        <w:t>How much did your country financially invest in total in EOSC and Open Science in {</w:t>
      </w:r>
      <w:r>
        <w:rPr>
          <w:i/>
          <w:iCs/>
          <w:shd w:fill="FFFF00" w:val="clear"/>
          <w:lang w:eastAsia="en-GB" w:bidi="ar-SA"/>
        </w:rPr>
        <w:t>FiscalYear</w:t>
      </w:r>
      <w:r>
        <w:rPr>
          <w:i/>
          <w:iCs/>
          <w:lang w:eastAsia="en-GB" w:bidi="ar-SA"/>
        </w:rPr>
        <w:t>} in millions of Euros?</w:t>
      </w:r>
      <w:r>
        <w:rPr>
          <w:lang w:eastAsia="en-GB" w:bidi="ar-SA"/>
        </w:rPr>
        <w:t xml:space="preserve"> (Q147). </w:t>
      </w:r>
      <w:r>
        <w:rPr/>
        <w:t>{</w:t>
      </w:r>
      <w:r>
        <w:rPr>
          <w:highlight w:val="yellow"/>
        </w:rPr>
        <w:t>Question5_total[0]</w:t>
      </w:r>
      <w:r>
        <w:rPr/>
        <w:t>}</w:t>
      </w:r>
      <w:r>
        <w:rPr>
          <w:lang w:eastAsia="en-GB" w:bidi="ar-SA"/>
        </w:rPr>
        <w:t xml:space="preserve"> of responding EU countries are not investing or have not stated the total amount of investments in EOSC and Open Science. </w:t>
      </w:r>
      <w:r>
        <w:rPr/>
        <w:t>{</w:t>
      </w:r>
      <w:r>
        <w:rPr>
          <w:highlight w:val="yellow"/>
        </w:rPr>
        <w:t>Question5_total[1]</w:t>
      </w:r>
      <w:r>
        <w:rPr/>
        <w:t>}</w:t>
      </w:r>
      <w:r>
        <w:rPr>
          <w:lang w:eastAsia="en-GB" w:bidi="ar-SA"/>
        </w:rPr>
        <w:t xml:space="preserve"> EU countries invested &gt;0 to 1 €M, </w:t>
      </w:r>
      <w:r>
        <w:rPr/>
        <w:t>{</w:t>
      </w:r>
      <w:r>
        <w:rPr>
          <w:highlight w:val="yellow"/>
        </w:rPr>
        <w:t>Question5_total[2]</w:t>
      </w:r>
      <w:r>
        <w:rPr/>
        <w:t>}</w:t>
      </w:r>
      <w:r>
        <w:rPr>
          <w:lang w:eastAsia="en-GB" w:bidi="ar-SA"/>
        </w:rPr>
        <w:t xml:space="preserve"> &gt;1 to 5 €M, </w:t>
      </w:r>
      <w:r>
        <w:rPr/>
        <w:t>{</w:t>
      </w:r>
      <w:r>
        <w:rPr>
          <w:highlight w:val="yellow"/>
        </w:rPr>
        <w:t>Question5_total[3]</w:t>
      </w:r>
      <w:r>
        <w:rPr/>
        <w:t>}</w:t>
      </w:r>
      <w:r>
        <w:rPr>
          <w:lang w:eastAsia="en-GB" w:bidi="ar-SA"/>
        </w:rPr>
        <w:t xml:space="preserve"> &gt;5 to 10 €M, </w:t>
      </w:r>
      <w:r>
        <w:rPr/>
        <w:t>{</w:t>
      </w:r>
      <w:r>
        <w:rPr>
          <w:highlight w:val="yellow"/>
        </w:rPr>
        <w:t>Question5_total[4]</w:t>
      </w:r>
      <w:r>
        <w:rPr/>
        <w:t>}</w:t>
      </w:r>
      <w:r>
        <w:rPr>
          <w:lang w:eastAsia="en-GB" w:bidi="ar-SA"/>
        </w:rPr>
        <w:t xml:space="preserve"> &gt;10 to 50 €M, </w:t>
      </w:r>
      <w:r>
        <w:rPr/>
        <w:t>{</w:t>
      </w:r>
      <w:r>
        <w:rPr>
          <w:highlight w:val="yellow"/>
        </w:rPr>
        <w:t>Question5_total[5]</w:t>
      </w:r>
      <w:r>
        <w:rPr/>
        <w:t>}</w:t>
      </w:r>
      <w:r>
        <w:rPr>
          <w:lang w:eastAsia="en-GB" w:bidi="ar-SA"/>
        </w:rPr>
        <w:t xml:space="preserve"> &gt;50 to 100 €M, and </w:t>
      </w:r>
      <w:r>
        <w:rPr/>
        <w:t>{</w:t>
      </w:r>
      <w:r>
        <w:rPr>
          <w:highlight w:val="yellow"/>
        </w:rPr>
        <w:t>Question5_total[6]</w:t>
      </w:r>
      <w:r>
        <w:rPr/>
        <w:t>}</w:t>
      </w:r>
      <w:r>
        <w:rPr>
          <w:lang w:eastAsia="en-GB" w:bidi="ar-SA"/>
        </w:rPr>
        <w:t xml:space="preserve"> &gt;100 €M as shown in Figure 118.</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{%chartImage103}</w:t>
      </w:r>
    </w:p>
    <w:p>
      <w:pPr>
        <w:pStyle w:val="Normal"/>
        <w:suppressAutoHyphens w:val="false"/>
        <w:jc w:val="center"/>
        <w:rPr>
          <w:lang w:eastAsia="en-GB" w:bidi="ar-SA"/>
        </w:rPr>
      </w:pPr>
      <w:r>
        <w:rPr>
          <w:lang w:eastAsia="en-GB" w:bidi="ar-SA"/>
        </w:rPr>
      </w:r>
    </w:p>
    <w:p>
      <w:pPr>
        <w:pStyle w:val="Normal"/>
        <w:suppressAutoHyphens w:val="false"/>
        <w:jc w:val="center"/>
        <w:rPr>
          <w:lang w:eastAsia="en-GB" w:bidi="ar-SA"/>
        </w:rPr>
      </w:pPr>
      <w:r>
        <w:rPr>
          <w:i/>
          <w:iCs/>
          <w:lang w:eastAsia="en-GB" w:bidi="ar-SA"/>
        </w:rPr>
        <w:t>Figure 118: Number of EU Countries with National Investments in EOSC and Open Science in Millions of Euros</w:t>
      </w:r>
    </w:p>
    <w:p>
      <w:pPr>
        <w:pStyle w:val="Normal"/>
        <w:widowControl w:val="false"/>
        <w:suppressAutoHyphens w:val="false"/>
        <w:spacing w:lineRule="auto" w:line="240"/>
        <w:rPr>
          <w:lang w:eastAsia="en-GB" w:bidi="ar-SA"/>
        </w:rPr>
      </w:pPr>
      <w:r>
        <w:rPr>
          <w:lang w:eastAsia="en-GB" w:bidi="ar-SA"/>
        </w:rPr>
      </w:r>
    </w:p>
    <w:p>
      <w:pPr>
        <w:pStyle w:val="Normal"/>
        <w:widowControl w:val="false"/>
        <w:numPr>
          <w:ilvl w:val="1"/>
          <w:numId w:val="1"/>
        </w:numPr>
        <w:suppressAutoHyphens w:val="false"/>
        <w:spacing w:lineRule="auto" w:line="240"/>
        <w:rPr>
          <w:lang w:eastAsia="en-GB" w:bidi="ar-SA"/>
        </w:rPr>
      </w:pPr>
      <w:r>
        <w:rPr>
          <w:lang w:eastAsia="en-GB" w:bidi="ar-SA"/>
        </w:rPr>
        <w:t>Total Investments per 1000 FTE Researchers</w:t>
      </w:r>
    </w:p>
    <w:p>
      <w:pPr>
        <w:pStyle w:val="Normal"/>
        <w:widowControl w:val="false"/>
        <w:suppressAutoHyphens w:val="false"/>
        <w:spacing w:lineRule="auto" w:line="240"/>
        <w:rPr>
          <w:lang w:eastAsia="en-GB" w:bidi="ar-SA"/>
        </w:rPr>
      </w:pPr>
      <w:r>
        <w:rPr>
          <w:lang w:eastAsia="en-GB" w:bidi="ar-SA"/>
        </w:rPr>
      </w:r>
    </w:p>
    <w:p>
      <w:pPr>
        <w:pStyle w:val="Normal"/>
        <w:widowControl w:val="false"/>
        <w:suppressAutoHyphens w:val="false"/>
        <w:spacing w:lineRule="auto" w:line="240"/>
        <w:rPr>
          <w:lang w:eastAsia="en-GB" w:bidi="ar-SA"/>
        </w:rPr>
      </w:pPr>
      <w:r>
        <w:rPr>
          <w:lang w:eastAsia="en-GB" w:bidi="ar-SA"/>
        </w:rPr>
        <w:t xml:space="preserve">The figures reported in Survey </w:t>
      </w:r>
      <w:r>
        <w:rPr/>
        <w:t>{</w:t>
      </w:r>
      <w:r>
        <w:rPr>
          <w:highlight w:val="yellow"/>
        </w:rPr>
        <w:t>Year}</w:t>
      </w:r>
      <w:r>
        <w:rPr>
          <w:lang w:eastAsia="en-GB" w:bidi="ar-SA"/>
        </w:rPr>
        <w:t xml:space="preserve"> for the general question </w:t>
      </w:r>
      <w:r>
        <w:rPr>
          <w:i/>
          <w:iCs/>
          <w:lang w:eastAsia="en-GB" w:bidi="ar-SA"/>
        </w:rPr>
        <w:t>How much did your country financially invest in total in EOSC and Open Science in {</w:t>
      </w:r>
      <w:r>
        <w:rPr>
          <w:i/>
          <w:iCs/>
          <w:shd w:fill="FFFF00" w:val="clear"/>
          <w:lang w:eastAsia="en-GB" w:bidi="ar-SA"/>
        </w:rPr>
        <w:t>FiscalYear</w:t>
      </w:r>
      <w:r>
        <w:rPr>
          <w:i/>
          <w:iCs/>
          <w:lang w:eastAsia="en-GB" w:bidi="ar-SA"/>
        </w:rPr>
        <w:t>} in millions of Euros?</w:t>
      </w:r>
      <w:r>
        <w:rPr>
          <w:lang w:eastAsia="en-GB" w:bidi="ar-SA"/>
        </w:rPr>
        <w:t xml:space="preserve"> (Q147) can be better compared across countries by being relativised to 1000 FTE researchers in the country. </w:t>
      </w:r>
      <w:r>
        <w:rPr/>
        <w:t>{</w:t>
      </w:r>
      <w:r>
        <w:rPr>
          <w:highlight w:val="yellow"/>
        </w:rPr>
        <w:t>Question5[0]</w:t>
      </w:r>
      <w:r>
        <w:rPr/>
        <w:t>}</w:t>
      </w:r>
      <w:r>
        <w:rPr>
          <w:lang w:eastAsia="en-GB" w:bidi="ar-SA"/>
        </w:rPr>
        <w:t xml:space="preserve"> of responding to  EU countries are not investing or have not stated the total amount of investments in EOSC and Open Science. </w:t>
      </w:r>
      <w:r>
        <w:rPr/>
        <w:t>{</w:t>
      </w:r>
      <w:r>
        <w:rPr>
          <w:highlight w:val="yellow"/>
        </w:rPr>
        <w:t>Question5[1]</w:t>
      </w:r>
      <w:r>
        <w:rPr/>
        <w:t>}</w:t>
      </w:r>
      <w:r>
        <w:rPr>
          <w:lang w:eastAsia="en-GB" w:bidi="ar-SA"/>
        </w:rPr>
        <w:t xml:space="preserve"> of EU countries invested &gt;0 to 50 €K, </w:t>
      </w:r>
      <w:r>
        <w:rPr/>
        <w:t>{</w:t>
      </w:r>
      <w:r>
        <w:rPr>
          <w:highlight w:val="yellow"/>
        </w:rPr>
        <w:t>Question5[2]</w:t>
      </w:r>
      <w:r>
        <w:rPr/>
        <w:t>}</w:t>
      </w:r>
      <w:r>
        <w:rPr>
          <w:lang w:eastAsia="en-GB" w:bidi="ar-SA"/>
        </w:rPr>
        <w:t xml:space="preserve"> &gt;50 to 100 €K, </w:t>
      </w:r>
      <w:r>
        <w:rPr/>
        <w:t>{</w:t>
      </w:r>
      <w:r>
        <w:rPr>
          <w:highlight w:val="yellow"/>
        </w:rPr>
        <w:t>Question5[3]</w:t>
      </w:r>
      <w:r>
        <w:rPr/>
        <w:t>}</w:t>
      </w:r>
      <w:r>
        <w:rPr>
          <w:lang w:eastAsia="en-GB" w:bidi="ar-SA"/>
        </w:rPr>
        <w:t xml:space="preserve"> &gt;100 to 250 €K, </w:t>
      </w:r>
      <w:r>
        <w:rPr/>
        <w:t>{</w:t>
      </w:r>
      <w:r>
        <w:rPr>
          <w:highlight w:val="yellow"/>
        </w:rPr>
        <w:t>Question5[4]</w:t>
      </w:r>
      <w:r>
        <w:rPr/>
        <w:t>}</w:t>
      </w:r>
      <w:r>
        <w:rPr>
          <w:lang w:eastAsia="en-GB" w:bidi="ar-SA"/>
        </w:rPr>
        <w:t xml:space="preserve"> &gt;250 to 500 €K, </w:t>
      </w:r>
      <w:r>
        <w:rPr/>
        <w:t>{</w:t>
      </w:r>
      <w:r>
        <w:rPr>
          <w:highlight w:val="yellow"/>
        </w:rPr>
        <w:t>Question5[5]</w:t>
      </w:r>
      <w:r>
        <w:rPr/>
        <w:t>}</w:t>
      </w:r>
      <w:r>
        <w:rPr>
          <w:lang w:eastAsia="en-GB" w:bidi="ar-SA"/>
        </w:rPr>
        <w:t xml:space="preserve"> &gt;500 to 1000 €K, and </w:t>
      </w:r>
      <w:r>
        <w:rPr/>
        <w:t>{</w:t>
      </w:r>
      <w:r>
        <w:rPr>
          <w:highlight w:val="yellow"/>
        </w:rPr>
        <w:t>Question5[6]</w:t>
      </w:r>
      <w:r>
        <w:rPr/>
        <w:t>}</w:t>
      </w:r>
      <w:r>
        <w:rPr>
          <w:lang w:eastAsia="en-GB" w:bidi="ar-SA"/>
        </w:rPr>
        <w:t xml:space="preserve"> &gt;1000 €K per 1000 FTE researchers as shown in Figure 119.</w:t>
      </w:r>
    </w:p>
    <w:p>
      <w:pPr>
        <w:pStyle w:val="Normal"/>
        <w:widowControl w:val="false"/>
        <w:suppressAutoHyphens w:val="false"/>
        <w:spacing w:lineRule="auto" w:line="240"/>
        <w:rPr>
          <w:lang w:eastAsia="en-GB" w:bidi="ar-SA"/>
        </w:rPr>
      </w:pPr>
      <w:r>
        <w:rPr>
          <w:lang w:eastAsia="en-GB" w:bidi="ar-SA"/>
        </w:rPr>
      </w:r>
    </w:p>
    <w:p>
      <w:pPr>
        <w:pStyle w:val="normal1"/>
        <w:jc w:val="center"/>
        <w:rPr>
          <w:i/>
        </w:rPr>
      </w:pPr>
      <w:r>
        <w:rPr>
          <w:i/>
          <w:highlight w:val="yellow"/>
        </w:rPr>
        <w:t>{%chartImage104}</w:t>
      </w:r>
    </w:p>
    <w:p>
      <w:pPr>
        <w:pStyle w:val="Normal"/>
        <w:suppressAutoHyphens w:val="false"/>
        <w:jc w:val="center"/>
        <w:rPr>
          <w:lang w:eastAsia="en-GB" w:bidi="ar-SA"/>
        </w:rPr>
      </w:pPr>
      <w:r>
        <w:rPr>
          <w:lang w:eastAsia="en-GB" w:bidi="ar-SA"/>
        </w:rPr>
      </w:r>
    </w:p>
    <w:p>
      <w:pPr>
        <w:pStyle w:val="Normal"/>
        <w:suppressAutoHyphens w:val="false"/>
        <w:jc w:val="center"/>
        <w:rPr>
          <w:i/>
          <w:iCs/>
          <w:lang w:eastAsia="en-GB" w:bidi="ar-SA"/>
        </w:rPr>
      </w:pPr>
      <w:r>
        <w:rPr>
          <w:i/>
          <w:iCs/>
          <w:lang w:eastAsia="en-GB" w:bidi="ar-SA"/>
        </w:rPr>
        <w:t>Figure 119: Number of EU Countries with National Investments in EOSC and Open Science per 1000 FTE Researchers</w:t>
      </w:r>
    </w:p>
    <w:p>
      <w:pPr>
        <w:pStyle w:val="Normal"/>
        <w:suppressAutoHyphens w:val="false"/>
        <w:jc w:val="center"/>
        <w:rPr>
          <w:i/>
          <w:iCs/>
          <w:lang w:eastAsia="en-GB" w:bidi="ar-SA"/>
        </w:rPr>
      </w:pPr>
      <w:r>
        <w:rPr>
          <w:i/>
          <w:iCs/>
          <w:lang w:eastAsia="en-GB" w:bidi="ar-SA"/>
        </w:rPr>
      </w:r>
    </w:p>
    <w:p>
      <w:pPr>
        <w:pStyle w:val="Normal"/>
        <w:suppressAutoHyphens w:val="false"/>
        <w:jc w:val="left"/>
        <w:rPr>
          <w:b/>
          <w:bCs/>
        </w:rPr>
      </w:pPr>
      <w:r>
        <w:rPr>
          <w:b/>
          <w:bCs/>
          <w:lang w:val="en-GB" w:eastAsia="en-GB" w:bidi="ar-SA"/>
        </w:rPr>
        <w:t>References</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lang w:val="en-GB" w:eastAsia="en-GB" w:bidi="ar-SA"/>
        </w:rPr>
        <w:t xml:space="preserve">[1] Webpage of the EOSC Future project on CORDIS hosted by the European Commission. Link: </w:t>
      </w:r>
      <w:hyperlink r:id="rId2">
        <w:r>
          <w:rPr>
            <w:rStyle w:val="Hyperlink"/>
            <w:lang w:val="en-GB" w:eastAsia="en-GB" w:bidi="ar-SA"/>
          </w:rPr>
          <w:t>https://cordis.europa.eu/project/id/101017536</w:t>
        </w:r>
      </w:hyperlink>
      <w:r>
        <w:rPr>
          <w:lang w:val="en-GB" w:eastAsia="en-GB" w:bidi="ar-SA"/>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[2] Website of the expert group on EOSC Steering Board under the European Commission hosted by the European Commission. Link: </w:t>
      </w:r>
      <w:hyperlink r:id="rId3">
        <w:r>
          <w:rPr>
            <w:rStyle w:val="Hyperlink"/>
          </w:rPr>
          <w:t>https://ec.europa.eu/transparency/ expert-groups-register/screen/expert-groups/consult?lang=en&amp;groupID=3756</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[3] EOSC Future and EOSC Steering Board (2021) Survey on National Contributions to EOSC 2021. Link: </w:t>
      </w:r>
      <w:hyperlink r:id="rId4">
        <w:r>
          <w:rPr>
            <w:rStyle w:val="Hyperlink"/>
          </w:rPr>
          <w:t>https://zenodo.org/record/7423953</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[4] EOSC Future and EOSC Steering Board (2023) Survey on National Contributions to EOSC 2022. Link: </w:t>
      </w:r>
      <w:hyperlink r:id="rId5">
        <w:r>
          <w:rPr>
            <w:rStyle w:val="Hyperlink"/>
          </w:rPr>
          <w:t>https://zenodo.org/record/7550798</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[5] Webpage of the EOSC Observatory Zenodo Community hosted by Zenodo. Link: </w:t>
      </w:r>
      <w:hyperlink r:id="rId6">
        <w:r>
          <w:rPr>
            <w:rStyle w:val="Hyperlink"/>
          </w:rPr>
          <w:t>https://zenodo.org/communities/eoscobservatory</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[6] Website of the EOSC Open Science Observatory hosted on the EOSC Portal website by the EOSC Future project. Link: </w:t>
      </w:r>
      <w:hyperlink r:id="rId7">
        <w:r>
          <w:rPr>
            <w:rStyle w:val="Hyperlink"/>
          </w:rPr>
          <w:t>https://eoscobservatory.eosc-portal.eu</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[7] Webpage of the EOSC Track project on CORDIS hosted by the European Commission. Link: </w:t>
      </w:r>
      <w:hyperlink r:id="rId8">
        <w:r>
          <w:rPr>
            <w:rStyle w:val="Hyperlink"/>
          </w:rPr>
          <w:t>https://cordis.europa.eu/project/id/101148217</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[8] O'Neill, Gareth (2025) Monitoring Framework for National Contributions to EOSC and Open Science (V2). Report of the EOSC Track project. Link: </w:t>
      </w:r>
      <w:hyperlink r:id="rId9">
        <w:r>
          <w:rPr>
            <w:rStyle w:val="Hyperlink"/>
          </w:rPr>
          <w:t>https://zenodo.org/record/7410760</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[9] EOSC Track and EOSC Steering Board (2025) Survey on National Contributions to EOSC 2024. Link: </w:t>
      </w:r>
      <w:hyperlink r:id="rId10">
        <w:r>
          <w:rPr>
            <w:rStyle w:val="Hyperlink"/>
          </w:rPr>
          <w:t>https://zenodo.org/records/17704636</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[10] O’Neill, Gareth and Stefania Martziou (2023) Data of Survey on National Contributions to EOSC 2024. Data set of the EOSC Track project. Link: </w:t>
      </w:r>
      <w:hyperlink r:id="rId11">
        <w:r>
          <w:rPr>
            <w:rStyle w:val="Hyperlink"/>
          </w:rPr>
          <w:t>https://zenodo.org/records/17704792</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[11] Webpage on the FAIR Principles hosted by the GO FAIR Foundation. Link: </w:t>
      </w:r>
      <w:hyperlink r:id="rId12">
        <w:r>
          <w:rPr>
            <w:rStyle w:val="Hyperlink"/>
          </w:rPr>
          <w:t>https://www.go-fair.org/fair-principles</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[12] Webpage of the EOSC-Exchange hosted by the EOSC Future project. Link: </w:t>
      </w:r>
      <w:hyperlink r:id="rId13">
        <w:r>
          <w:rPr>
            <w:rStyle w:val="Hyperlink"/>
          </w:rPr>
          <w:t>https://eoscfuture.eu/ker/eosc-exchange</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[13] Webpage of the EOSC-Core hosted by the EOSC Future project. Link: </w:t>
      </w:r>
      <w:hyperlink r:id="rId14">
        <w:r>
          <w:rPr>
            <w:rStyle w:val="Hyperlink"/>
          </w:rPr>
          <w:t>https://</w:t>
        </w:r>
      </w:hyperlink>
    </w:p>
    <w:p>
      <w:pPr>
        <w:pStyle w:val="Normal"/>
        <w:suppressAutoHyphens w:val="false"/>
        <w:jc w:val="left"/>
        <w:rPr/>
      </w:pPr>
      <w:hyperlink r:id="rId15">
        <w:r>
          <w:rPr>
            <w:rStyle w:val="Hyperlink"/>
          </w:rPr>
          <w:t>eoscfuture.eu/ker/eosc-core</w:t>
        </w:r>
      </w:hyperlink>
      <w:r>
        <w:rPr/>
        <w:t>. Accessed 09 February 2026.</w:t>
      </w:r>
    </w:p>
    <w:p>
      <w:pPr>
        <w:pStyle w:val="Normal"/>
        <w:suppressAutoHyphens w:val="false"/>
        <w:jc w:val="left"/>
        <w:rPr>
          <w:lang w:val="en-GB" w:eastAsia="en-GB" w:bidi="ar-SA"/>
        </w:rPr>
      </w:pPr>
      <w:r>
        <w:rPr>
          <w:lang w:val="en-GB" w:eastAsia="en-GB" w:bidi="ar-SA"/>
        </w:rPr>
      </w:r>
    </w:p>
    <w:p>
      <w:pPr>
        <w:pStyle w:val="Normal"/>
        <w:suppressAutoHyphens w:val="false"/>
        <w:jc w:val="left"/>
        <w:rPr/>
      </w:pPr>
      <w:r>
        <w:rPr/>
        <w:t xml:space="preserve">[14] Website of the EOSC EU Node hosted by the European Commission. Link: </w:t>
      </w:r>
      <w:hyperlink r:id="rId16">
        <w:r>
          <w:rPr>
            <w:rStyle w:val="Hyperlink"/>
          </w:rPr>
          <w:t>https://open-science-cloud.ec.europa.eu</w:t>
        </w:r>
      </w:hyperlink>
      <w:r>
        <w:rPr/>
        <w:t>. Accessed 09 February 2026.</w:t>
      </w:r>
    </w:p>
    <w:sectPr>
      <w:footerReference w:type="even" r:id="rId17"/>
      <w:footerReference w:type="default" r:id="rId18"/>
      <w:footerReference w:type="first" r:id="rId19"/>
      <w:type w:val="nextPage"/>
      <w:pgSz w:w="11906" w:h="16838"/>
      <w:pgMar w:left="1133" w:right="1133" w:gutter="0" w:header="0" w:top="1133" w:footer="720" w:bottom="1133"/>
      <w:pgNumType w:start="1"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OpenSymbol">
    <w:altName w:val="Arial Unicode MS"/>
    <w:charset w:val="02"/>
    <w:family w:val="roman"/>
    <w:pitch w:val="variable"/>
  </w:font>
  <w:font w:name="Liberation Sans">
    <w:altName w:val="Arial"/>
    <w:charset w:val="01"/>
    <w:family w:val="roman"/>
    <w:pitch w:val="variable"/>
  </w:font>
  <w:font w:name="Liberation Mono">
    <w:altName w:val="Courier New"/>
    <w:charset w:val="01"/>
    <w:family w:val="roman"/>
    <w:pitch w:val="variable"/>
  </w:font>
  <w:font w:name="Arial">
    <w:altName w:val="sans-serif"/>
    <w:charset w:val="01"/>
    <w:family w:val="swiss"/>
    <w:pitch w:val="variable"/>
  </w:font>
  <w:font w:name="Open Sans">
    <w:charset w:val="01"/>
    <w:family w:val="roman"/>
    <w:pitch w:val="variable"/>
  </w:font>
  <w:font w:name="Arial">
    <w:altName w:val="sans-serif"/>
    <w:charset w:val="01"/>
    <w:family w:val="auto"/>
    <w:pitch w:val="default"/>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t xml:space="preserve">Page </w:t>
    </w:r>
    <w:r>
      <w:rPr/>
      <w:fldChar w:fldCharType="begin"/>
    </w:r>
    <w:r>
      <w:rPr/>
      <w:instrText xml:space="preserve"> PAGE </w:instrText>
    </w:r>
    <w:r>
      <w:rPr/>
      <w:fldChar w:fldCharType="separate"/>
    </w:r>
    <w:r>
      <w:rPr/>
      <w:t>25</w:t>
    </w:r>
    <w:r>
      <w:rPr/>
      <w:fldChar w:fldCharType="end"/>
    </w:r>
    <w:r>
      <w:rPr/>
      <w:t xml:space="preserve"> of </w:t>
    </w:r>
    <w:r>
      <w:rPr/>
      <w:fldChar w:fldCharType="begin"/>
    </w:r>
    <w:r>
      <w:rPr/>
      <w:instrText xml:space="preserve"> NUMPAGES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jc w:val="center"/>
      <w:rPr/>
    </w:pPr>
    <w:r>
      <w:rPr/>
      <w:t xml:space="preserve">Page </w:t>
    </w:r>
    <w:r>
      <w:rPr/>
      <w:fldChar w:fldCharType="begin"/>
    </w:r>
    <w:r>
      <w:rPr/>
      <w:instrText xml:space="preserve"> PAGE </w:instrText>
    </w:r>
    <w:r>
      <w:rPr/>
      <w:fldChar w:fldCharType="separate"/>
    </w:r>
    <w:r>
      <w:rPr/>
      <w:t>25</w:t>
    </w:r>
    <w:r>
      <w:rPr/>
      <w:fldChar w:fldCharType="end"/>
    </w:r>
    <w:r>
      <w:rPr/>
      <w:t xml:space="preserve"> of </w:t>
    </w:r>
    <w:r>
      <w:rPr/>
      <w:fldChar w:fldCharType="begin"/>
    </w:r>
    <w:r>
      <w:rPr/>
      <w:instrText xml:space="preserve"> NUMPAGES </w:instrText>
    </w:r>
    <w:r>
      <w:rPr/>
      <w:fldChar w:fldCharType="separate"/>
    </w:r>
    <w:r>
      <w:rPr/>
      <w:t>25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right"/>
      <w:pPr>
        <w:tabs>
          <w:tab w:val="num" w:pos="0"/>
        </w:tabs>
        <w:ind w:left="720" w:hanging="360"/>
      </w:pPr>
      <w:rPr>
        <w:u w:val="none"/>
      </w:rPr>
    </w:lvl>
    <w:lvl w:ilvl="1">
      <w:start w:val="1"/>
      <w:numFmt w:val="decimal"/>
      <w:lvlText w:val="%1.%2."/>
      <w:lvlJc w:val="right"/>
      <w:pPr>
        <w:tabs>
          <w:tab w:val="num" w:pos="0"/>
        </w:tabs>
        <w:ind w:left="1440" w:hanging="360"/>
      </w:pPr>
      <w:rPr>
        <w:u w:val="none"/>
      </w:rPr>
    </w:lvl>
    <w:lvl w:ilvl="2">
      <w:start w:val="1"/>
      <w:numFmt w:val="decimal"/>
      <w:lvlText w:val="%1.%2.%3."/>
      <w:lvlJc w:val="right"/>
      <w:pPr>
        <w:tabs>
          <w:tab w:val="num" w:pos="0"/>
        </w:tabs>
        <w:ind w:left="2160" w:hanging="360"/>
      </w:pPr>
      <w:rPr>
        <w:u w:val="none"/>
      </w:rPr>
    </w:lvl>
    <w:lvl w:ilvl="3">
      <w:start w:val="1"/>
      <w:numFmt w:val="decimal"/>
      <w:lvlText w:val="%1.%2.%3.%4."/>
      <w:lvlJc w:val="right"/>
      <w:pPr>
        <w:tabs>
          <w:tab w:val="num" w:pos="0"/>
        </w:tabs>
        <w:ind w:left="2880" w:hanging="360"/>
      </w:pPr>
      <w:rPr>
        <w:u w:val="none"/>
      </w:rPr>
    </w:lvl>
    <w:lvl w:ilvl="4">
      <w:start w:val="1"/>
      <w:numFmt w:val="decimal"/>
      <w:lvlText w:val="%1.%2.%3.%4.%5."/>
      <w:lvlJc w:val="right"/>
      <w:pPr>
        <w:tabs>
          <w:tab w:val="num" w:pos="0"/>
        </w:tabs>
        <w:ind w:left="3600" w:hanging="360"/>
      </w:pPr>
      <w:rPr>
        <w:u w:val="none"/>
      </w:rPr>
    </w:lvl>
    <w:lvl w:ilvl="5">
      <w:start w:val="1"/>
      <w:numFmt w:val="decimal"/>
      <w:lvlText w:val="%1.%2.%3.%4.%5.%6."/>
      <w:lvlJc w:val="right"/>
      <w:pPr>
        <w:tabs>
          <w:tab w:val="num" w:pos="0"/>
        </w:tabs>
        <w:ind w:left="4320" w:hanging="360"/>
      </w:pPr>
      <w:rPr>
        <w:u w:val="none"/>
      </w:rPr>
    </w:lvl>
    <w:lvl w:ilvl="6">
      <w:start w:val="1"/>
      <w:numFmt w:val="decimal"/>
      <w:lvlText w:val="%1.%2.%3.%4.%5.%6.%7."/>
      <w:lvlJc w:val="right"/>
      <w:pPr>
        <w:tabs>
          <w:tab w:val="num" w:pos="0"/>
        </w:tabs>
        <w:ind w:left="5040" w:hanging="360"/>
      </w:pPr>
      <w:rPr>
        <w:u w:val="none"/>
      </w:rPr>
    </w:lvl>
    <w:lvl w:ilvl="7">
      <w:start w:val="1"/>
      <w:numFmt w:val="decimal"/>
      <w:lvlText w:val="%1.%2.%3.%4.%5.%6.%7.%8."/>
      <w:lvlJc w:val="right"/>
      <w:pPr>
        <w:tabs>
          <w:tab w:val="num" w:pos="0"/>
        </w:tabs>
        <w:ind w:left="5760" w:hanging="360"/>
      </w:pPr>
      <w:rPr>
        <w:u w:val="none"/>
      </w:rPr>
    </w:lvl>
    <w:lvl w:ilvl="8">
      <w:start w:val="1"/>
      <w:numFmt w:val="decimal"/>
      <w:lvlText w:val="%1.%2.%3.%4.%5.%6.%7.%8.%9."/>
      <w:lvlJc w:val="right"/>
      <w:pPr>
        <w:tabs>
          <w:tab w:val="num" w:pos="0"/>
        </w:tabs>
        <w:ind w:left="6480" w:hanging="360"/>
      </w:pPr>
      <w:rPr>
        <w:u w:val="none"/>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isplayBackgroundShape/>
  <w:defaultTabStop w:val="720"/>
  <w:autoHyphenation w:val="true"/>
  <w:hyphenationZone w:val="36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nl-NL"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left"/>
    </w:pPr>
    <w:rPr>
      <w:rFonts w:ascii="Arial" w:hAnsi="Arial" w:eastAsia="Arial" w:cs="Arial"/>
      <w:color w:val="auto"/>
      <w:kern w:val="0"/>
      <w:sz w:val="22"/>
      <w:szCs w:val="22"/>
      <w:lang w:val="nl-NL" w:eastAsia="zh-CN" w:bidi="hi-IN"/>
    </w:rPr>
  </w:style>
  <w:style w:type="paragraph" w:styleId="Heading1">
    <w:name w:val="heading 1"/>
    <w:basedOn w:val="normal1"/>
    <w:next w:val="normal1"/>
    <w:uiPriority w:val="9"/>
    <w:qFormat/>
    <w:pPr>
      <w:keepNext w:val="true"/>
      <w:keepLines/>
      <w:spacing w:lineRule="auto" w:line="240" w:before="400" w:after="120"/>
      <w:outlineLvl w:val="0"/>
    </w:pPr>
    <w:rPr>
      <w:sz w:val="40"/>
      <w:szCs w:val="40"/>
    </w:rPr>
  </w:style>
  <w:style w:type="paragraph" w:styleId="Heading2">
    <w:name w:val="heading 2"/>
    <w:basedOn w:val="normal1"/>
    <w:next w:val="normal1"/>
    <w:uiPriority w:val="9"/>
    <w:semiHidden/>
    <w:unhideWhenUsed/>
    <w:qFormat/>
    <w:pPr>
      <w:keepNext w:val="true"/>
      <w:keepLines/>
      <w:spacing w:lineRule="auto" w:line="240" w:before="360" w:after="120"/>
      <w:outlineLvl w:val="1"/>
    </w:pPr>
    <w:rPr>
      <w:sz w:val="32"/>
      <w:szCs w:val="32"/>
    </w:rPr>
  </w:style>
  <w:style w:type="paragraph" w:styleId="Heading3">
    <w:name w:val="heading 3"/>
    <w:basedOn w:val="normal1"/>
    <w:next w:val="normal1"/>
    <w:uiPriority w:val="9"/>
    <w:semiHidden/>
    <w:unhideWhenUsed/>
    <w:qFormat/>
    <w:pPr>
      <w:keepNext w:val="true"/>
      <w:keepLines/>
      <w:spacing w:lineRule="auto" w:line="240" w:before="320" w:after="80"/>
      <w:outlineLvl w:val="2"/>
    </w:pPr>
    <w:rPr>
      <w:color w:val="434343"/>
      <w:sz w:val="28"/>
      <w:szCs w:val="28"/>
    </w:rPr>
  </w:style>
  <w:style w:type="paragraph" w:styleId="Heading4">
    <w:name w:val="heading 4"/>
    <w:basedOn w:val="normal1"/>
    <w:next w:val="normal1"/>
    <w:uiPriority w:val="9"/>
    <w:semiHidden/>
    <w:unhideWhenUsed/>
    <w:qFormat/>
    <w:pPr>
      <w:keepNext w:val="true"/>
      <w:keepLines/>
      <w:spacing w:lineRule="auto" w:line="240" w:before="280" w:after="80"/>
      <w:outlineLvl w:val="3"/>
    </w:pPr>
    <w:rPr>
      <w:color w:val="666666"/>
      <w:sz w:val="24"/>
      <w:szCs w:val="24"/>
    </w:rPr>
  </w:style>
  <w:style w:type="paragraph" w:styleId="Heading5">
    <w:name w:val="heading 5"/>
    <w:basedOn w:val="normal1"/>
    <w:next w:val="normal1"/>
    <w:uiPriority w:val="9"/>
    <w:semiHidden/>
    <w:unhideWhenUsed/>
    <w:qFormat/>
    <w:pPr>
      <w:keepNext w:val="true"/>
      <w:keepLines/>
      <w:spacing w:lineRule="auto" w:line="240" w:before="240" w:after="80"/>
      <w:outlineLvl w:val="4"/>
    </w:pPr>
    <w:rPr>
      <w:color w:val="666666"/>
    </w:rPr>
  </w:style>
  <w:style w:type="paragraph" w:styleId="Heading6">
    <w:name w:val="heading 6"/>
    <w:basedOn w:val="normal1"/>
    <w:next w:val="normal1"/>
    <w:uiPriority w:val="9"/>
    <w:semiHidden/>
    <w:unhideWhenUsed/>
    <w:qFormat/>
    <w:pPr>
      <w:keepNext w:val="true"/>
      <w:keepLines/>
      <w:spacing w:lineRule="auto" w:line="240" w:before="240" w:after="80"/>
      <w:outlineLvl w:val="5"/>
    </w:pPr>
    <w:rPr>
      <w:i/>
      <w:color w:val="666666"/>
    </w:rPr>
  </w:style>
  <w:style w:type="character" w:styleId="DefaultParagraphFont" w:default="1">
    <w:name w:val="Default Paragraph Font"/>
    <w:uiPriority w:val="1"/>
    <w:semiHidden/>
    <w:unhideWhenUsed/>
    <w:qFormat/>
    <w:rPr/>
  </w:style>
  <w:style w:type="character" w:styleId="NumberingSymbols" w:customStyle="1">
    <w:name w:val="Numbering Symbols"/>
    <w:qFormat/>
    <w:rPr/>
  </w:style>
  <w:style w:type="character" w:styleId="CommentTextChar" w:customStyle="1">
    <w:name w:val="Comment Text Char"/>
    <w:basedOn w:val="DefaultParagraphFont"/>
    <w:link w:val="CommentText"/>
    <w:uiPriority w:val="99"/>
    <w:semiHidden/>
    <w:qFormat/>
    <w:rPr>
      <w:rFonts w:cs="Mangal"/>
      <w:sz w:val="20"/>
      <w:szCs w:val="18"/>
    </w:rPr>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rsid w:val="00e04808"/>
    <w:rPr>
      <w:color w:themeColor="hyperlink" w:val="0000FF"/>
      <w:u w:val="single"/>
    </w:rPr>
  </w:style>
  <w:style w:type="character" w:styleId="UnresolvedMention">
    <w:name w:val="Unresolved Mention"/>
    <w:basedOn w:val="DefaultParagraphFont"/>
    <w:uiPriority w:val="99"/>
    <w:semiHidden/>
    <w:unhideWhenUsed/>
    <w:qFormat/>
    <w:rsid w:val="00e04808"/>
    <w:rPr>
      <w:color w:val="605E5C"/>
      <w:shd w:fill="E1DFDD" w:val="clear"/>
    </w:rPr>
  </w:style>
  <w:style w:type="character" w:styleId="LineNumber">
    <w:name w:val="line number"/>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normal1" w:customStyle="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nl-NL" w:eastAsia="zh-CN" w:bidi="hi-IN"/>
    </w:rPr>
  </w:style>
  <w:style w:type="paragraph" w:styleId="Title">
    <w:name w:val="Title"/>
    <w:basedOn w:val="normal1"/>
    <w:next w:val="normal1"/>
    <w:uiPriority w:val="10"/>
    <w:qFormat/>
    <w:pPr>
      <w:keepNext w:val="true"/>
      <w:keepLines/>
      <w:spacing w:lineRule="auto" w:line="240" w:before="0" w:after="60"/>
    </w:pPr>
    <w:rPr>
      <w:sz w:val="52"/>
      <w:szCs w:val="52"/>
    </w:rPr>
  </w:style>
  <w:style w:type="paragraph" w:styleId="Subtitle">
    <w:name w:val="Subtitle"/>
    <w:basedOn w:val="normal1"/>
    <w:next w:val="normal1"/>
    <w:uiPriority w:val="11"/>
    <w:qFormat/>
    <w:pPr>
      <w:keepNext w:val="true"/>
      <w:keepLines/>
      <w:spacing w:lineRule="auto" w:line="240" w:before="0" w:after="320"/>
    </w:pPr>
    <w:rPr>
      <w:color w:val="666666"/>
      <w:sz w:val="30"/>
      <w:szCs w:val="30"/>
    </w:rPr>
  </w:style>
  <w:style w:type="paragraph" w:styleId="HeaderandFooter" w:customStyle="1">
    <w:name w:val="Header and Footer"/>
    <w:basedOn w:val="Normal"/>
    <w:qFormat/>
    <w:pPr/>
    <w:rPr/>
  </w:style>
  <w:style w:type="paragraph" w:styleId="Footer">
    <w:name w:val="footer"/>
    <w:basedOn w:val="HeaderandFooter"/>
    <w:pPr/>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normal2" w:customStyle="1">
    <w:name w:val="normal2"/>
    <w:qFormat/>
    <w:pPr>
      <w:widowControl/>
      <w:suppressAutoHyphens w:val="true"/>
      <w:bidi w:val="0"/>
      <w:spacing w:lineRule="auto" w:line="276" w:before="0" w:after="0"/>
      <w:jc w:val="left"/>
    </w:pPr>
    <w:rPr>
      <w:rFonts w:ascii="Arial" w:hAnsi="Arial" w:eastAsia="Arial" w:cs="Arial"/>
      <w:color w:val="auto"/>
      <w:kern w:val="0"/>
      <w:sz w:val="22"/>
      <w:szCs w:val="22"/>
      <w:lang w:val="nl-NL" w:eastAsia="zh-CN" w:bidi="hi-IN"/>
    </w:rPr>
  </w:style>
  <w:style w:type="paragraph" w:styleId="CommentText">
    <w:name w:val="annotation text"/>
    <w:basedOn w:val="Normal"/>
    <w:link w:val="CommentTextChar"/>
    <w:uiPriority w:val="99"/>
    <w:semiHidden/>
    <w:unhideWhenUsed/>
    <w:pPr>
      <w:spacing w:lineRule="auto" w:line="240"/>
    </w:pPr>
    <w:rPr>
      <w:rFonts w:cs="Mangal"/>
      <w:sz w:val="20"/>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0">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ordis.europa.eu/project/id/101017536" TargetMode="External"/><Relationship Id="rId3" Type="http://schemas.openxmlformats.org/officeDocument/2006/relationships/hyperlink" Target="https://ec.europa.eu/transparency/%20expert-groups-register/screen/expert-groups/consult?lang=en&amp;groupID=3756" TargetMode="External"/><Relationship Id="rId4" Type="http://schemas.openxmlformats.org/officeDocument/2006/relationships/hyperlink" Target="https://zenodo.org/record/7423953" TargetMode="External"/><Relationship Id="rId5" Type="http://schemas.openxmlformats.org/officeDocument/2006/relationships/hyperlink" Target="https://zenodo.org/record/7550798" TargetMode="External"/><Relationship Id="rId6" Type="http://schemas.openxmlformats.org/officeDocument/2006/relationships/hyperlink" Target="https://zenodo.org/communities/eoscobservatory" TargetMode="External"/><Relationship Id="rId7" Type="http://schemas.openxmlformats.org/officeDocument/2006/relationships/hyperlink" Target="https://eoscobservatory.eosc-portal.eu/" TargetMode="External"/><Relationship Id="rId8" Type="http://schemas.openxmlformats.org/officeDocument/2006/relationships/hyperlink" Target="https://cordis.europa.eu/project/id/101148217" TargetMode="External"/><Relationship Id="rId9" Type="http://schemas.openxmlformats.org/officeDocument/2006/relationships/hyperlink" Target="https://zenodo.org/record/7410760" TargetMode="External"/><Relationship Id="rId10" Type="http://schemas.openxmlformats.org/officeDocument/2006/relationships/hyperlink" Target="https://zenodo.org/records/17704636" TargetMode="External"/><Relationship Id="rId11" Type="http://schemas.openxmlformats.org/officeDocument/2006/relationships/hyperlink" Target="https://zenodo.org/records/17704792" TargetMode="External"/><Relationship Id="rId12" Type="http://schemas.openxmlformats.org/officeDocument/2006/relationships/hyperlink" Target="https://www.go-fair.org/fair-principles" TargetMode="External"/><Relationship Id="rId13" Type="http://schemas.openxmlformats.org/officeDocument/2006/relationships/hyperlink" Target="https://eoscfuture.eu/ker/eosc-exchange" TargetMode="External"/><Relationship Id="rId14" Type="http://schemas.openxmlformats.org/officeDocument/2006/relationships/hyperlink" Target="https://eoscfuture.eu/ker/eosc-core" TargetMode="External"/><Relationship Id="rId15" Type="http://schemas.openxmlformats.org/officeDocument/2006/relationships/hyperlink" Target="https://eoscfuture.eu/ker/eosc-core" TargetMode="External"/><Relationship Id="rId16" Type="http://schemas.openxmlformats.org/officeDocument/2006/relationships/hyperlink" Target="https://open-science-cloud.ec.europa.eu/" TargetMode="External"/><Relationship Id="rId17" Type="http://schemas.openxmlformats.org/officeDocument/2006/relationships/footer" Target="footer1.xml"/><Relationship Id="rId18" Type="http://schemas.openxmlformats.org/officeDocument/2006/relationships/footer" Target="footer2.xml"/><Relationship Id="rId19" Type="http://schemas.openxmlformats.org/officeDocument/2006/relationships/footer" Target="footer3.xml"/><Relationship Id="rId20" Type="http://schemas.openxmlformats.org/officeDocument/2006/relationships/numbering" Target="numbering.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31129</TotalTime>
  <Application>LibreOffice/26.2.6.3$Linux_X86_64 LibreOffice_project/6673c99d96549ce65101be79fa29dd8a8e58eb52</Application>
  <AppVersion>15.0000</AppVersion>
  <Pages>25</Pages>
  <Words>8413</Words>
  <Characters>47544</Characters>
  <CharactersWithSpaces>55396</CharactersWithSpaces>
  <Paragraphs>487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2026-10-29T16:31:53Z</dcterms:modified>
  <cp:revision>175</cp:revision>
  <dc:subject/>
  <dc:title/>
</cp:coreProperties>
</file>

<file path=docProps/custom.xml><?xml version="1.0" encoding="utf-8"?>
<Properties xmlns="http://schemas.openxmlformats.org/officeDocument/2006/custom-properties" xmlns:vt="http://schemas.openxmlformats.org/officeDocument/2006/docPropsVTypes"/>
</file>