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6.xml" ContentType="application/vnd.openxmlformats-officedocument.wordprocessingml.footer+xml"/>
  <Override PartName="/word/theme/theme1.xml" ContentType="application/vnd.openxmlformats-officedocument.theme+xml"/>
  <Override PartName="/word/footer5.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jc w:val="center"/>
        <w:rPr/>
      </w:pPr>
      <w:r>
        <w:rPr>
          <w:b/>
        </w:rPr>
        <w:t>EOSC Track | Survey Report 2024 | Text</w:t>
      </w:r>
    </w:p>
    <w:p>
      <w:pPr>
        <w:pStyle w:val="normal1"/>
        <w:jc w:val="left"/>
        <w:rPr/>
      </w:pPr>
      <w:r>
        <w:rPr/>
      </w:r>
    </w:p>
    <w:p>
      <w:pPr>
        <w:pStyle w:val="normal1"/>
        <w:rPr>
          <w:highlight w:val="cyan"/>
        </w:rPr>
      </w:pPr>
      <w:r>
        <w:rPr>
          <w:highlight w:val="cyan"/>
        </w:rPr>
        <w:t>Front Page</w:t>
      </w:r>
    </w:p>
    <w:p>
      <w:pPr>
        <w:pStyle w:val="normal1"/>
        <w:rPr/>
      </w:pPr>
      <w:r>
        <w:rPr/>
      </w:r>
    </w:p>
    <w:p>
      <w:pPr>
        <w:pStyle w:val="normal1"/>
        <w:rPr>
          <w:highlight w:val="cyan"/>
        </w:rPr>
      </w:pPr>
      <w:r>
        <w:rPr>
          <w:highlight w:val="cyan"/>
        </w:rPr>
        <w:t>Table of Contents</w:t>
      </w:r>
    </w:p>
    <w:p>
      <w:pPr>
        <w:pStyle w:val="normal1"/>
        <w:rPr/>
      </w:pPr>
      <w:r>
        <w:rPr/>
      </w:r>
    </w:p>
    <w:p>
      <w:pPr>
        <w:pStyle w:val="normal1"/>
        <w:rPr>
          <w:highlight w:val="cyan"/>
        </w:rPr>
      </w:pPr>
      <w:r>
        <w:rPr>
          <w:highlight w:val="cyan"/>
        </w:rPr>
        <w:t>List of Tables</w:t>
      </w:r>
    </w:p>
    <w:p>
      <w:pPr>
        <w:pStyle w:val="normal1"/>
        <w:rPr/>
      </w:pPr>
      <w:r>
        <w:rPr/>
      </w:r>
    </w:p>
    <w:p>
      <w:pPr>
        <w:pStyle w:val="normal1"/>
        <w:rPr>
          <w:highlight w:val="cyan"/>
        </w:rPr>
      </w:pPr>
      <w:r>
        <w:rPr>
          <w:highlight w:val="cyan"/>
        </w:rPr>
        <w:t>Executive Summary</w:t>
      </w:r>
    </w:p>
    <w:p>
      <w:pPr>
        <w:pStyle w:val="normal1"/>
        <w:rPr/>
      </w:pPr>
      <w:r>
        <w:rPr/>
      </w:r>
    </w:p>
    <w:p>
      <w:pPr>
        <w:pStyle w:val="normal1"/>
        <w:numPr>
          <w:ilvl w:val="0"/>
          <w:numId w:val="1"/>
        </w:numPr>
        <w:ind w:hanging="360" w:left="720"/>
        <w:rPr/>
      </w:pPr>
      <w:r>
        <w:rPr/>
        <w:t>Introduction</w:t>
      </w:r>
    </w:p>
    <w:p>
      <w:pPr>
        <w:pStyle w:val="normal1"/>
        <w:rPr/>
      </w:pPr>
      <w:r>
        <w:rPr/>
      </w:r>
    </w:p>
    <w:p>
      <w:pPr>
        <w:pStyle w:val="normal1"/>
        <w:rPr/>
      </w:pPr>
      <w:r>
        <w:rPr/>
        <w:t xml:space="preserve">This report oﬀers an Analysis of the Survey on National Contributions to EOSC and Open Science </w:t>
      </w:r>
      <w:r>
        <w:rPr>
          <w:highlight w:val="yellow"/>
        </w:rPr>
        <w:t>[YEAR]</w:t>
      </w:r>
      <w:r>
        <w:rP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pPr>
        <w:pStyle w:val="normal1"/>
        <w:rPr/>
      </w:pPr>
      <w:r>
        <w:rPr/>
      </w:r>
    </w:p>
    <w:p>
      <w:pPr>
        <w:pStyle w:val="normal1"/>
        <w:rPr/>
      </w:pPr>
      <w:r>
        <w:rPr/>
        <w:t xml:space="preserve">The survey for </w:t>
      </w:r>
      <w:r>
        <w:rPr>
          <w:highlight w:val="yellow"/>
        </w:rPr>
        <w:t>[YEAR]</w:t>
      </w:r>
      <w:r>
        <w:rP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trends in policies and practices. Each analysis is supported by graphs which focus on positive responses whereby negative responses group countries which either responded negatively to a question or did not respond to a question.</w:t>
      </w:r>
    </w:p>
    <w:p>
      <w:pPr>
        <w:pStyle w:val="normal1"/>
        <w:rPr/>
      </w:pPr>
      <w:r>
        <w:rPr/>
      </w:r>
    </w:p>
    <w:tbl>
      <w:tblPr>
        <w:tblStyle w:val="Table1"/>
        <w:tblW w:w="9629" w:type="dxa"/>
        <w:jc w:val="left"/>
        <w:tblInd w:w="0" w:type="dxa"/>
        <w:tblLayout w:type="fixed"/>
        <w:tblCellMar>
          <w:top w:w="0" w:type="dxa"/>
          <w:left w:w="108" w:type="dxa"/>
          <w:bottom w:w="0" w:type="dxa"/>
          <w:right w:w="108" w:type="dxa"/>
        </w:tblCellMar>
        <w:tblLook w:val="0600"/>
      </w:tblPr>
      <w:tblGrid>
        <w:gridCol w:w="1904"/>
        <w:gridCol w:w="2577"/>
        <w:gridCol w:w="2575"/>
        <w:gridCol w:w="2572"/>
      </w:tblGrid>
      <w:tr>
        <w:trPr>
          <w:trHeight w:val="504" w:hRule="atLeast"/>
        </w:trPr>
        <w:tc>
          <w:tcPr>
            <w:tcW w:w="1904" w:type="dxa"/>
            <w:tcBorders/>
            <w:shd w:fill="auto"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r>
          </w:p>
        </w:tc>
        <w:tc>
          <w:tcPr>
            <w:tcW w:w="2577" w:type="dxa"/>
            <w:tcBorders/>
            <w:shd w:fill="31849B" w:val="clear"/>
            <w:vAlign w:val="bottom"/>
          </w:tcPr>
          <w:p>
            <w:pPr>
              <w:pStyle w:val="normal1"/>
              <w:spacing w:lineRule="auto" w:line="276" w:before="0" w:after="120"/>
              <w:jc w:val="center"/>
              <w:rPr>
                <w:rFonts w:ascii="Open Sans" w:hAnsi="Open Sans" w:eastAsia="Open Sans" w:cs="Open Sans"/>
                <w:b/>
                <w:color w:val="FFFFFF"/>
                <w:sz w:val="20"/>
                <w:szCs w:val="20"/>
              </w:rPr>
            </w:pPr>
            <w:r>
              <w:rPr>
                <w:rFonts w:eastAsia="Open Sans" w:cs="Open Sans" w:ascii="Open Sans" w:hAnsi="Open Sans"/>
                <w:b/>
                <w:color w:val="FFFFFF"/>
                <w:sz w:val="20"/>
                <w:szCs w:val="20"/>
              </w:rPr>
              <w:t>Policies</w:t>
            </w:r>
          </w:p>
        </w:tc>
        <w:tc>
          <w:tcPr>
            <w:tcW w:w="2575" w:type="dxa"/>
            <w:tcBorders/>
            <w:shd w:fill="31849B" w:val="clear"/>
            <w:vAlign w:val="bottom"/>
          </w:tcPr>
          <w:p>
            <w:pPr>
              <w:pStyle w:val="normal1"/>
              <w:spacing w:lineRule="auto" w:line="276" w:before="0" w:after="120"/>
              <w:jc w:val="center"/>
              <w:rPr>
                <w:rFonts w:ascii="Open Sans" w:hAnsi="Open Sans" w:eastAsia="Open Sans" w:cs="Open Sans"/>
                <w:b/>
                <w:color w:val="FFFFFF"/>
                <w:sz w:val="20"/>
                <w:szCs w:val="20"/>
              </w:rPr>
            </w:pPr>
            <w:r>
              <w:rPr>
                <w:rFonts w:eastAsia="Open Sans" w:cs="Open Sans" w:ascii="Open Sans" w:hAnsi="Open Sans"/>
                <w:b/>
                <w:color w:val="FFFFFF"/>
                <w:sz w:val="20"/>
                <w:szCs w:val="20"/>
              </w:rPr>
              <w:t>Practices</w:t>
            </w:r>
          </w:p>
        </w:tc>
        <w:tc>
          <w:tcPr>
            <w:tcW w:w="2572" w:type="dxa"/>
            <w:tcBorders/>
            <w:shd w:fill="31849B" w:val="clear"/>
            <w:vAlign w:val="bottom"/>
          </w:tcPr>
          <w:p>
            <w:pPr>
              <w:pStyle w:val="normal1"/>
              <w:spacing w:lineRule="auto" w:line="276" w:before="0" w:after="120"/>
              <w:jc w:val="center"/>
              <w:rPr>
                <w:rFonts w:ascii="Open Sans" w:hAnsi="Open Sans" w:eastAsia="Open Sans" w:cs="Open Sans"/>
                <w:b/>
                <w:color w:val="FFFFFF"/>
                <w:sz w:val="20"/>
                <w:szCs w:val="20"/>
              </w:rPr>
            </w:pPr>
            <w:r>
              <w:rPr>
                <w:rFonts w:eastAsia="Open Sans" w:cs="Open Sans" w:ascii="Open Sans" w:hAnsi="Open Sans"/>
                <w:b/>
                <w:color w:val="FFFFFF"/>
                <w:sz w:val="20"/>
                <w:szCs w:val="20"/>
              </w:rPr>
              <w:t>Impacts</w:t>
            </w:r>
          </w:p>
        </w:tc>
      </w:tr>
      <w:tr>
        <w:trPr>
          <w:trHeight w:val="390" w:hRule="atLeast"/>
        </w:trPr>
        <w:tc>
          <w:tcPr>
            <w:tcW w:w="1904" w:type="dxa"/>
            <w:vMerge w:val="restart"/>
            <w:tcBorders/>
            <w:shd w:fill="31849B" w:val="clear"/>
            <w:vAlign w:val="center"/>
          </w:tcPr>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Publications</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Data</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Software</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Services</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Infrastructure</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Skills/Training</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Assessment</w:t>
            </w:r>
          </w:p>
        </w:tc>
        <w:tc>
          <w:tcPr>
            <w:tcW w:w="2577"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Countries with a National Policy</w:t>
            </w:r>
          </w:p>
        </w:tc>
        <w:tc>
          <w:tcPr>
            <w:tcW w:w="2575"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Countries with National Monitoring</w:t>
            </w:r>
          </w:p>
        </w:tc>
        <w:tc>
          <w:tcPr>
            <w:tcW w:w="2572"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Country Impact Stories</w:t>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5"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2"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Countries with a Financial Strategy</w:t>
            </w:r>
          </w:p>
        </w:tc>
        <w:tc>
          <w:tcPr>
            <w:tcW w:w="2575"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County Use Cases</w:t>
            </w:r>
          </w:p>
        </w:tc>
        <w:tc>
          <w:tcPr>
            <w:tcW w:w="2572"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Country Output Outcomes</w:t>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5"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2"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Country RPOs with a Policy</w:t>
            </w:r>
          </w:p>
        </w:tc>
        <w:tc>
          <w:tcPr>
            <w:tcW w:w="2575"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Country Investments</w:t>
            </w:r>
          </w:p>
        </w:tc>
        <w:tc>
          <w:tcPr>
            <w:tcW w:w="2572"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Correlation between Country Indicators</w:t>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5"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2"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Country RFOs with a Policy</w:t>
            </w:r>
          </w:p>
        </w:tc>
        <w:tc>
          <w:tcPr>
            <w:tcW w:w="2575"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Country Outputs</w:t>
            </w:r>
          </w:p>
        </w:tc>
        <w:tc>
          <w:tcPr>
            <w:tcW w:w="2572"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Yearly Progress in Country Indicators</w:t>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5"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2"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bl>
    <w:p>
      <w:pPr>
        <w:pStyle w:val="normal1"/>
        <w:jc w:val="center"/>
        <w:rPr/>
      </w:pPr>
      <w:r>
        <w:rPr/>
      </w:r>
    </w:p>
    <w:p>
      <w:pPr>
        <w:pStyle w:val="normal1"/>
        <w:jc w:val="center"/>
        <w:rPr>
          <w:b/>
          <w:i/>
          <w:i/>
        </w:rPr>
      </w:pPr>
      <w:r>
        <w:rPr>
          <w:i/>
        </w:rPr>
        <w:t>Table 1: Monitoring Framework for National Contributions to EOSC</w:t>
      </w:r>
    </w:p>
    <w:p>
      <w:pPr>
        <w:pStyle w:val="normal1"/>
        <w:rPr/>
      </w:pPr>
      <w:r>
        <w:rPr/>
      </w:r>
    </w:p>
    <w:p>
      <w:pPr>
        <w:pStyle w:val="normal1"/>
        <w:rPr/>
      </w:pPr>
      <w:r>
        <w:rPr/>
        <w:t xml:space="preserve">Survey </w:t>
      </w:r>
      <w:r>
        <w:rPr>
          <w:highlight w:val="yellow"/>
        </w:rPr>
        <w:t>[YEAR]</w:t>
      </w:r>
      <w:r>
        <w:rPr/>
        <w:t xml:space="preserve"> </w:t>
      </w:r>
      <w:r>
        <w:rPr>
          <w:highlight w:val="yellow"/>
        </w:rPr>
        <w:t>[9]</w:t>
      </w:r>
      <w:r>
        <w:rPr/>
        <w:t xml:space="preserve"> was published in the EOSC Open Science Observatory on </w:t>
      </w:r>
      <w:r>
        <w:rPr>
          <w:highlight w:val="yellow"/>
        </w:rPr>
        <w:t>[DATE]</w:t>
      </w:r>
      <w:r>
        <w:rPr/>
        <w:t xml:space="preserve"> and ran until </w:t>
      </w:r>
      <w:r>
        <w:rPr>
          <w:highlight w:val="yellow"/>
        </w:rPr>
        <w:t>[DATE]</w:t>
      </w:r>
      <w:r>
        <w:rPr/>
        <w:t xml:space="preserve"> whereby </w:t>
      </w:r>
      <w:r>
        <w:rPr>
          <w:highlight w:val="yellow"/>
        </w:rPr>
        <w:t>[#]</w:t>
      </w:r>
      <w:r>
        <w:rPr/>
        <w:t xml:space="preserve"> countries responded consisting of </w:t>
      </w:r>
      <w:r>
        <w:rPr>
          <w:highlight w:val="yellow"/>
        </w:rPr>
        <w:t>[#]</w:t>
      </w:r>
      <w:r>
        <w:rPr/>
        <w:t xml:space="preserve"> of the </w:t>
      </w:r>
      <w:r>
        <w:rPr>
          <w:highlight w:val="yellow"/>
        </w:rPr>
        <w:t>[#]</w:t>
      </w:r>
      <w:r>
        <w:rPr/>
        <w:t xml:space="preserve"> European Union (EU) countries and </w:t>
      </w:r>
      <w:r>
        <w:rPr>
          <w:highlight w:val="yellow"/>
        </w:rPr>
        <w:t>[#]</w:t>
      </w:r>
      <w:r>
        <w:rPr/>
        <w:t xml:space="preserve"> non-EU countries as shown in </w:t>
      </w:r>
      <w:commentRangeStart w:id="0"/>
      <w:r>
        <w:rPr/>
        <w:t>Tables 2 and 3</w:t>
      </w:r>
      <w:r>
        <w:rPr/>
      </w:r>
      <w:commentRangeEnd w:id="0"/>
      <w:r>
        <w:commentReference w:id="0"/>
      </w:r>
      <w:r>
        <w:rPr/>
        <w:t xml:space="preserve">. This report is based on the data collected from Survey </w:t>
      </w:r>
      <w:r>
        <w:rPr>
          <w:highlight w:val="yellow"/>
        </w:rPr>
        <w:t>[YEAR]</w:t>
      </w:r>
      <w:r>
        <w:rPr/>
        <w:t xml:space="preserve"> </w:t>
      </w:r>
      <w:r>
        <w:rPr>
          <w:highlight w:val="yellow"/>
        </w:rPr>
        <w:t>[10]</w:t>
      </w:r>
      <w:r>
        <w:rPr/>
        <w:t xml:space="preserve"> and focuses exclusively on the survey results for the </w:t>
      </w:r>
      <w:r>
        <w:rPr>
          <w:highlight w:val="yellow"/>
        </w:rPr>
        <w:t>[#]</w:t>
      </w:r>
      <w:r>
        <w:rPr/>
        <w:t xml:space="preserve">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pPr>
        <w:pStyle w:val="normal1"/>
        <w:jc w:val="center"/>
        <w:rPr/>
      </w:pPr>
      <w:r>
        <w:rPr/>
      </w:r>
    </w:p>
    <w:p>
      <w:pPr>
        <w:pStyle w:val="normal1"/>
        <w:jc w:val="center"/>
        <w:rPr>
          <w:i/>
          <w:i/>
        </w:rPr>
      </w:pPr>
      <w:commentRangeStart w:id="1"/>
      <w:r>
        <w:rPr>
          <w:highlight w:val="yellow"/>
        </w:rPr>
        <w:t>[TABLE 2]</w:t>
      </w:r>
      <w:commentRangeEnd w:id="1"/>
      <w:r>
        <w:commentReference w:id="1"/>
      </w:r>
      <w:r>
        <w:rPr>
          <w:highlight w:val="yellow"/>
        </w:rPr>
      </w:r>
    </w:p>
    <w:p>
      <w:pPr>
        <w:pStyle w:val="normal1"/>
        <w:jc w:val="center"/>
        <w:rPr/>
      </w:pPr>
      <w:r>
        <w:rPr/>
      </w:r>
    </w:p>
    <w:p>
      <w:pPr>
        <w:pStyle w:val="normal1"/>
        <w:jc w:val="center"/>
        <w:rPr>
          <w:b/>
          <w:i/>
          <w:i/>
        </w:rPr>
      </w:pPr>
      <w:r>
        <w:rPr>
          <w:i/>
        </w:rPr>
        <w:t xml:space="preserve">Table 2: EU Countries Responding to Survey 2022 to Survey </w:t>
      </w:r>
      <w:r>
        <w:rPr>
          <w:highlight w:val="yellow"/>
        </w:rPr>
        <w:t>[YEAR]</w:t>
      </w:r>
    </w:p>
    <w:p>
      <w:pPr>
        <w:pStyle w:val="normal1"/>
        <w:rPr/>
      </w:pPr>
      <w:r>
        <w:rPr/>
      </w:r>
    </w:p>
    <w:p>
      <w:pPr>
        <w:pStyle w:val="normal1"/>
        <w:jc w:val="center"/>
        <w:rPr>
          <w:i/>
          <w:i/>
        </w:rPr>
      </w:pPr>
      <w:commentRangeStart w:id="2"/>
      <w:r>
        <w:rPr>
          <w:highlight w:val="yellow"/>
        </w:rPr>
        <w:t>[TABLE 3]</w:t>
      </w:r>
      <w:commentRangeEnd w:id="2"/>
      <w:r>
        <w:commentReference w:id="2"/>
      </w:r>
      <w:r>
        <w:rPr>
          <w:highlight w:val="yellow"/>
        </w:rPr>
      </w:r>
    </w:p>
    <w:p>
      <w:pPr>
        <w:pStyle w:val="normal1"/>
        <w:jc w:val="center"/>
        <w:rPr/>
      </w:pPr>
      <w:r>
        <w:rPr/>
      </w:r>
    </w:p>
    <w:p>
      <w:pPr>
        <w:pStyle w:val="normal1"/>
        <w:jc w:val="center"/>
        <w:rPr>
          <w:b/>
          <w:i/>
          <w:i/>
        </w:rPr>
      </w:pPr>
      <w:r>
        <w:rPr>
          <w:i/>
        </w:rPr>
        <w:t xml:space="preserve">Table 3: Non-EU Countries Responding to Survey 2022 to Survey </w:t>
      </w:r>
      <w:r>
        <w:rPr>
          <w:highlight w:val="yellow"/>
        </w:rPr>
        <w:t>[YEAR]</w:t>
      </w:r>
    </w:p>
    <w:p>
      <w:pPr>
        <w:pStyle w:val="normal1"/>
        <w:rPr/>
      </w:pPr>
      <w:r>
        <w:rPr/>
      </w:r>
    </w:p>
    <w:p>
      <w:pPr>
        <w:pStyle w:val="normal1"/>
        <w:rPr/>
      </w:pPr>
      <w:r>
        <w:rP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pPr>
        <w:pStyle w:val="normal1"/>
        <w:ind w:hanging="0" w:left="0"/>
        <w:rPr/>
      </w:pPr>
      <w:r>
        <w:rPr/>
      </w:r>
    </w:p>
    <w:p>
      <w:pPr>
        <w:pStyle w:val="normal1"/>
        <w:numPr>
          <w:ilvl w:val="0"/>
          <w:numId w:val="1"/>
        </w:numPr>
        <w:ind w:hanging="360" w:left="720"/>
        <w:rPr/>
      </w:pPr>
      <w:r>
        <w:rPr/>
        <w:t>Publications​​</w:t>
      </w:r>
    </w:p>
    <w:p>
      <w:pPr>
        <w:pStyle w:val="normal1"/>
        <w:rPr/>
      </w:pPr>
      <w:r>
        <w:rPr/>
      </w:r>
    </w:p>
    <w:p>
      <w:pPr>
        <w:pStyle w:val="normal1"/>
        <w:widowControl w:val="false"/>
        <w:numPr>
          <w:ilvl w:val="1"/>
          <w:numId w:val="1"/>
        </w:numPr>
        <w:spacing w:lineRule="auto" w:line="240"/>
        <w:ind w:hanging="360" w:left="1440"/>
        <w:rPr/>
      </w:pPr>
      <w:r>
        <w:rPr/>
        <w:t>Policies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National Policies on Publications</w:t>
      </w:r>
    </w:p>
    <w:p>
      <w:pPr>
        <w:pStyle w:val="normal1"/>
        <w:widowControl w:val="false"/>
        <w:spacing w:lineRule="auto" w:line="240"/>
        <w:rPr/>
      </w:pPr>
      <w:r>
        <w:rPr/>
      </w:r>
    </w:p>
    <w:p>
      <w:pPr>
        <w:pStyle w:val="normal1"/>
        <w:widowControl w:val="false"/>
        <w:spacing w:lineRule="auto" w:line="240"/>
        <w:rPr/>
      </w:pPr>
      <w:r>
        <w:rPr/>
        <w:t xml:space="preserve">The first main policy question on open access to publications in Survey </w:t>
      </w:r>
      <w:r>
        <w:rPr>
          <w:highlight w:val="yellow"/>
        </w:rPr>
        <w:t>[YEAR]</w:t>
      </w:r>
      <w:r>
        <w:rPr/>
        <w:t xml:space="preserve"> is </w:t>
      </w:r>
      <w:r>
        <w:rPr>
          <w:i/>
        </w:rPr>
        <w:t>Does your country have a national policy on open access to publications?</w:t>
      </w:r>
      <w:r>
        <w:rPr/>
        <w:t xml:space="preserve"> (Q1) followed by </w:t>
      </w:r>
      <w:r>
        <w:rPr>
          <w:i/>
        </w:rPr>
        <w:t>Is this policy mandatory?</w:t>
      </w:r>
      <w:r>
        <w:rPr/>
        <w:t xml:space="preserve"> (Q1.1). A policy hereby refers to any policies, recommendations, regulations, or laws which are relevant for EOSC and Open Science and which are applicable at national or regional levels. </w:t>
      </w:r>
      <w:r>
        <w:rPr>
          <w:shd w:fill="auto" w:val="clear"/>
        </w:rPr>
        <w:t>{</w:t>
      </w:r>
      <w:r>
        <w:rPr>
          <w:shd w:fill="FFFF00" w:val="clear"/>
        </w:rPr>
        <w:t>Question6</w:t>
      </w:r>
      <w:r>
        <w:rPr>
          <w:shd w:fill="auto" w:val="clear"/>
        </w:rPr>
        <w:t>}</w:t>
      </w:r>
      <w:r>
        <w:rPr/>
        <w:t xml:space="preserve"> of responding EU countries have a national policy on open access to publications whereby </w:t>
      </w:r>
      <w:r>
        <w:rPr>
          <w:shd w:fill="auto" w:val="clear"/>
        </w:rPr>
        <w:t>{</w:t>
      </w:r>
      <w:r>
        <w:rPr>
          <w:shd w:fill="FFFF00" w:val="clear"/>
        </w:rPr>
        <w:t>Question6.1</w:t>
      </w:r>
      <w:r>
        <w:rPr>
          <w:shd w:fill="auto" w:val="clear"/>
        </w:rPr>
        <w:t>}</w:t>
      </w:r>
      <w:r>
        <w:rPr/>
        <w:t xml:space="preserve"> are mandatory as shown in Figures 1 and 2.</w:t>
      </w:r>
    </w:p>
    <w:p>
      <w:pPr>
        <w:pStyle w:val="normal1"/>
        <w:widowControl w:val="false"/>
        <w:spacing w:lineRule="auto" w:line="240"/>
        <w:rPr/>
      </w:pPr>
      <w:r>
        <w:rPr/>
      </w:r>
    </w:p>
    <w:p>
      <w:pPr>
        <w:pStyle w:val="normal1"/>
        <w:jc w:val="center"/>
        <w:rPr>
          <w:i/>
          <w:i/>
        </w:rPr>
      </w:pPr>
      <w:commentRangeStart w:id="3"/>
      <w:r>
        <w:rPr>
          <w:highlight w:val="yellow"/>
        </w:rPr>
        <w:t>{%chartImage1}</w:t>
      </w:r>
      <w:commentRangeEnd w:id="3"/>
      <w:r>
        <w:commentReference w:id="3"/>
      </w:r>
      <w:r>
        <w:rPr>
          <w:highlight w:val="yellow"/>
        </w:rPr>
      </w:r>
    </w:p>
    <w:p>
      <w:pPr>
        <w:pStyle w:val="normal1"/>
        <w:jc w:val="center"/>
        <w:rPr/>
      </w:pPr>
      <w:r>
        <w:rPr/>
      </w:r>
    </w:p>
    <w:p>
      <w:pPr>
        <w:pStyle w:val="normal1"/>
        <w:jc w:val="center"/>
        <w:rPr>
          <w:i/>
          <w:i/>
        </w:rPr>
      </w:pPr>
      <w:r>
        <w:rPr>
          <w:i/>
        </w:rPr>
        <w:t xml:space="preserve">Figure 1: </w:t>
      </w:r>
      <w:commentRangeStart w:id="4"/>
      <w:r>
        <w:rPr>
          <w:i/>
        </w:rPr>
        <w:t>Map</w:t>
      </w:r>
      <w:r>
        <w:rPr>
          <w:i/>
        </w:rPr>
      </w:r>
      <w:commentRangeEnd w:id="4"/>
      <w:r>
        <w:commentReference w:id="4"/>
      </w:r>
      <w:r>
        <w:rPr>
          <w:i/>
        </w:rPr>
        <w:t xml:space="preserve"> of EU Countries with a National Policy on Open Access to Publications</w:t>
      </w:r>
    </w:p>
    <w:p>
      <w:pPr>
        <w:pStyle w:val="normal1"/>
        <w:widowControl w:val="false"/>
        <w:spacing w:lineRule="auto" w:line="240"/>
        <w:rPr/>
      </w:pPr>
      <w:r>
        <w:rPr/>
      </w:r>
    </w:p>
    <w:p>
      <w:pPr>
        <w:pStyle w:val="normal1"/>
        <w:jc w:val="center"/>
        <w:rPr>
          <w:i/>
          <w:i/>
        </w:rPr>
      </w:pPr>
      <w:commentRangeStart w:id="5"/>
      <w:r>
        <w:rPr>
          <w:highlight w:val="yellow"/>
        </w:rPr>
        <w:t>{%pieChartImage_0_0}</w:t>
      </w:r>
    </w:p>
    <w:p>
      <w:pPr>
        <w:pStyle w:val="normal1"/>
        <w:jc w:val="center"/>
        <w:rPr>
          <w:i/>
          <w:i/>
        </w:rPr>
      </w:pPr>
      <w:r>
        <w:rPr>
          <w:highlight w:val="yellow"/>
        </w:rPr>
        <w:t>{%pieChartImage_0_1}</w:t>
      </w:r>
      <w:commentRangeEnd w:id="5"/>
      <w:r>
        <w:commentReference w:id="5"/>
      </w:r>
      <w:r>
        <w:rPr>
          <w:highlight w:val="yellow"/>
        </w:rPr>
      </w:r>
    </w:p>
    <w:p>
      <w:pPr>
        <w:pStyle w:val="normal1"/>
        <w:jc w:val="center"/>
        <w:rPr/>
      </w:pPr>
      <w:r>
        <w:rPr/>
      </w:r>
    </w:p>
    <w:p>
      <w:pPr>
        <w:pStyle w:val="normal1"/>
        <w:jc w:val="center"/>
        <w:rPr/>
      </w:pPr>
      <w:r>
        <w:rPr>
          <w:i/>
        </w:rPr>
        <w:t>Figure 2: Share of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 xml:space="preserve">One sub-question related to having a national policy on open access to publications is </w:t>
      </w:r>
      <w:r>
        <w:rPr>
          <w:i/>
        </w:rPr>
        <w:t>Is there a specific policy on immediate open access to publications?</w:t>
      </w:r>
      <w:r>
        <w:rPr/>
        <w:t xml:space="preserve"> (Q1.3) followed by </w:t>
      </w:r>
      <w:r>
        <w:rPr>
          <w:i/>
        </w:rPr>
        <w:t>Is this policy mandatory?</w:t>
      </w:r>
      <w:r>
        <w:rPr/>
        <w:t xml:space="preserve"> (Q1.3.1). </w:t>
      </w:r>
      <w:r>
        <w:rPr>
          <w:shd w:fill="auto" w:val="clear"/>
        </w:rPr>
        <w:t>{</w:t>
      </w:r>
      <w:r>
        <w:rPr>
          <w:shd w:fill="FFFF00" w:val="clear"/>
        </w:rPr>
        <w:t>Question6.3</w:t>
      </w:r>
      <w:r>
        <w:rPr>
          <w:shd w:fill="auto" w:val="clear"/>
        </w:rPr>
        <w:t>}</w:t>
      </w:r>
      <w:r>
        <w:rPr/>
        <w:t xml:space="preserve"> of responding EU countries have a specific policy on immediate open access to publications whereby </w:t>
      </w:r>
      <w:r>
        <w:rPr>
          <w:shd w:fill="auto" w:val="clear"/>
        </w:rPr>
        <w:t>{</w:t>
      </w:r>
      <w:r>
        <w:rPr>
          <w:shd w:fill="FFFF00" w:val="clear"/>
        </w:rPr>
        <w:t>Question6.3.1</w:t>
      </w:r>
      <w:r>
        <w:rPr>
          <w:shd w:fill="auto" w:val="clear"/>
        </w:rPr>
        <w:t>}</w:t>
      </w:r>
      <w:r>
        <w:rPr/>
        <w:t xml:space="preserve"> of those policies are mandatory as shown in Figures 3 and 4.</w:t>
      </w:r>
    </w:p>
    <w:p>
      <w:pPr>
        <w:pStyle w:val="normal1"/>
        <w:widowControl w:val="false"/>
        <w:spacing w:lineRule="auto" w:line="240"/>
        <w:rPr/>
      </w:pPr>
      <w:r>
        <w:rPr/>
      </w:r>
    </w:p>
    <w:p>
      <w:pPr>
        <w:pStyle w:val="normal1"/>
        <w:jc w:val="center"/>
        <w:rPr>
          <w:i/>
          <w:i/>
        </w:rPr>
      </w:pPr>
      <w:r>
        <w:rPr>
          <w:highlight w:val="yellow"/>
        </w:rPr>
        <w:t>{%chartImage2}</w:t>
      </w:r>
    </w:p>
    <w:p>
      <w:pPr>
        <w:pStyle w:val="normal1"/>
        <w:jc w:val="center"/>
        <w:rPr/>
      </w:pPr>
      <w:r>
        <w:rPr/>
      </w:r>
    </w:p>
    <w:p>
      <w:pPr>
        <w:pStyle w:val="normal1"/>
        <w:jc w:val="center"/>
        <w:rPr/>
      </w:pPr>
      <w:r>
        <w:rPr>
          <w:i/>
        </w:rPr>
        <w:t>Figure 3: Map of EU Countries with a Specific Policy on Immediate Open Access to Publications</w:t>
      </w:r>
    </w:p>
    <w:p>
      <w:pPr>
        <w:pStyle w:val="normal1"/>
        <w:widowControl w:val="false"/>
        <w:spacing w:lineRule="auto" w:line="240"/>
        <w:rPr/>
      </w:pPr>
      <w:r>
        <w:rPr/>
      </w:r>
    </w:p>
    <w:p>
      <w:pPr>
        <w:pStyle w:val="normal1"/>
        <w:jc w:val="center"/>
        <w:rPr>
          <w:i/>
          <w:i/>
        </w:rPr>
      </w:pPr>
      <w:r>
        <w:rPr>
          <w:highlight w:val="yellow"/>
        </w:rPr>
        <w:t>{%pieChartImage_1_0}</w:t>
      </w:r>
    </w:p>
    <w:p>
      <w:pPr>
        <w:pStyle w:val="normal1"/>
        <w:jc w:val="center"/>
        <w:rPr>
          <w:i/>
          <w:i/>
        </w:rPr>
      </w:pPr>
      <w:r>
        <w:rPr>
          <w:highlight w:val="yellow"/>
        </w:rPr>
        <w:t>{%pieChartImage_1_1}</w:t>
      </w:r>
    </w:p>
    <w:p>
      <w:pPr>
        <w:pStyle w:val="normal1"/>
        <w:jc w:val="center"/>
        <w:rPr/>
      </w:pPr>
      <w:r>
        <w:rPr/>
      </w:r>
    </w:p>
    <w:p>
      <w:pPr>
        <w:pStyle w:val="normal1"/>
        <w:jc w:val="center"/>
        <w:rPr/>
      </w:pPr>
      <w:r>
        <w:rPr>
          <w:i/>
        </w:rPr>
        <w:t>Figure 4: Share of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 xml:space="preserve">Another sub-question related to having a national policy on open access to publications is </w:t>
      </w:r>
      <w:r>
        <w:rPr>
          <w:i/>
        </w:rPr>
        <w:t>Is there a specific policy on retention of IPR on publications?</w:t>
      </w:r>
      <w:r>
        <w:rPr/>
        <w:t xml:space="preserve"> (Q1.4) followed by </w:t>
      </w:r>
      <w:r>
        <w:rPr>
          <w:i/>
        </w:rPr>
        <w:t>Is this policy mandatory?</w:t>
      </w:r>
      <w:r>
        <w:rPr/>
        <w:t xml:space="preserve"> (Q1.4.1). </w:t>
      </w:r>
      <w:r>
        <w:rPr>
          <w:shd w:fill="auto" w:val="clear"/>
        </w:rPr>
        <w:t>{</w:t>
      </w:r>
      <w:r>
        <w:rPr>
          <w:shd w:fill="FFFF00" w:val="clear"/>
        </w:rPr>
        <w:t>Question6.4</w:t>
      </w:r>
      <w:r>
        <w:rPr>
          <w:shd w:fill="auto" w:val="clear"/>
        </w:rPr>
        <w:t>}</w:t>
      </w:r>
      <w:r>
        <w:rPr/>
        <w:t xml:space="preserve"> of responding EU countries have a specific policy on retention of IPR on publications whereby </w:t>
      </w:r>
      <w:r>
        <w:rPr>
          <w:shd w:fill="auto" w:val="clear"/>
        </w:rPr>
        <w:t>{</w:t>
      </w:r>
      <w:r>
        <w:rPr>
          <w:shd w:fill="FFFF00" w:val="clear"/>
        </w:rPr>
        <w:t>Question6.4.1</w:t>
      </w:r>
      <w:r>
        <w:rPr>
          <w:shd w:fill="auto" w:val="clear"/>
        </w:rPr>
        <w:t>}</w:t>
      </w:r>
      <w:r>
        <w:rPr/>
        <w:t xml:space="preserve"> of those policies are mandatory as shown in Figures 5 and 6.</w:t>
      </w:r>
    </w:p>
    <w:p>
      <w:pPr>
        <w:pStyle w:val="normal1"/>
        <w:widowControl w:val="false"/>
        <w:spacing w:lineRule="auto" w:line="240"/>
        <w:rPr/>
      </w:pPr>
      <w:r>
        <w:rPr/>
      </w:r>
    </w:p>
    <w:p>
      <w:pPr>
        <w:pStyle w:val="normal1"/>
        <w:jc w:val="center"/>
        <w:rPr>
          <w:i/>
          <w:i/>
        </w:rPr>
      </w:pPr>
      <w:r>
        <w:rPr>
          <w:i/>
          <w:highlight w:val="yellow"/>
        </w:rPr>
        <w:t>{%chartImage3}</w:t>
      </w:r>
    </w:p>
    <w:p>
      <w:pPr>
        <w:pStyle w:val="normal1"/>
        <w:jc w:val="center"/>
        <w:rPr/>
      </w:pPr>
      <w:r>
        <w:rPr/>
      </w:r>
    </w:p>
    <w:p>
      <w:pPr>
        <w:pStyle w:val="normal1"/>
        <w:jc w:val="center"/>
        <w:rPr/>
      </w:pPr>
      <w:r>
        <w:rPr>
          <w:i/>
        </w:rPr>
        <w:t>Figure 5: Map of EU Countries with a Specific Policy on Retention of IPR on Publications</w:t>
      </w:r>
    </w:p>
    <w:p>
      <w:pPr>
        <w:pStyle w:val="normal1"/>
        <w:widowControl w:val="false"/>
        <w:spacing w:lineRule="auto" w:line="240"/>
        <w:rPr/>
      </w:pPr>
      <w:r>
        <w:rPr/>
      </w:r>
    </w:p>
    <w:p>
      <w:pPr>
        <w:pStyle w:val="normal1"/>
        <w:jc w:val="center"/>
        <w:rPr>
          <w:i/>
          <w:i/>
        </w:rPr>
      </w:pPr>
      <w:r>
        <w:rPr>
          <w:highlight w:val="yellow"/>
        </w:rPr>
        <w:t>{%pieChartImage_2_0}</w:t>
      </w:r>
    </w:p>
    <w:p>
      <w:pPr>
        <w:pStyle w:val="normal1"/>
        <w:jc w:val="center"/>
        <w:rPr>
          <w:i/>
          <w:i/>
        </w:rPr>
      </w:pPr>
      <w:r>
        <w:rPr>
          <w:i/>
          <w:highlight w:val="yellow"/>
        </w:rPr>
        <w:t>{%pieChartImage_2_1}</w:t>
      </w:r>
    </w:p>
    <w:p>
      <w:pPr>
        <w:pStyle w:val="normal1"/>
        <w:jc w:val="center"/>
        <w:rPr/>
      </w:pPr>
      <w:r>
        <w:rPr/>
      </w:r>
    </w:p>
    <w:p>
      <w:pPr>
        <w:pStyle w:val="normal1"/>
        <w:jc w:val="center"/>
        <w:rPr/>
      </w:pPr>
      <w:r>
        <w:rPr>
          <w:i/>
        </w:rPr>
        <w:t>Figure 6: Share of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 xml:space="preserve">A final sub-question related to having a national policy on open access to publications is </w:t>
      </w:r>
      <w:r>
        <w:rPr>
          <w:i/>
        </w:rPr>
        <w:t>Is there a specific policy on open licensing of publications?</w:t>
      </w:r>
      <w:r>
        <w:rPr/>
        <w:t xml:space="preserve"> (Q1.5) followed by </w:t>
      </w:r>
      <w:r>
        <w:rPr>
          <w:i/>
        </w:rPr>
        <w:t>Is this policy mandatory?</w:t>
      </w:r>
      <w:r>
        <w:rPr/>
        <w:t xml:space="preserve"> (Q1.5.1). </w:t>
      </w:r>
      <w:r>
        <w:rPr>
          <w:shd w:fill="auto" w:val="clear"/>
        </w:rPr>
        <w:t>{</w:t>
      </w:r>
      <w:r>
        <w:rPr>
          <w:shd w:fill="FFFF00" w:val="clear"/>
        </w:rPr>
        <w:t>Question6.5</w:t>
      </w:r>
      <w:r>
        <w:rPr>
          <w:shd w:fill="auto" w:val="clear"/>
        </w:rPr>
        <w:t>}</w:t>
      </w:r>
      <w:r>
        <w:rPr/>
        <w:t xml:space="preserve"> of responding EU countries have a specific policy on open licensing of publications whereby </w:t>
      </w:r>
      <w:r>
        <w:rPr>
          <w:shd w:fill="auto" w:val="clear"/>
        </w:rPr>
        <w:t>{</w:t>
      </w:r>
      <w:r>
        <w:rPr>
          <w:shd w:fill="FFFF00" w:val="clear"/>
        </w:rPr>
        <w:t>Question6.5.1</w:t>
      </w:r>
      <w:r>
        <w:rPr>
          <w:shd w:fill="auto" w:val="clear"/>
        </w:rPr>
        <w:t>}</w:t>
      </w:r>
      <w:r>
        <w:rPr/>
        <w:t xml:space="preserve"> of those policies are mandatory as shown in Figures 7 and 8.</w:t>
      </w:r>
    </w:p>
    <w:p>
      <w:pPr>
        <w:pStyle w:val="normal1"/>
        <w:widowControl w:val="false"/>
        <w:spacing w:lineRule="auto" w:line="240"/>
        <w:rPr/>
      </w:pPr>
      <w:r>
        <w:rPr/>
      </w:r>
    </w:p>
    <w:p>
      <w:pPr>
        <w:pStyle w:val="normal1"/>
        <w:jc w:val="center"/>
        <w:rPr>
          <w:i/>
          <w:i/>
        </w:rPr>
      </w:pPr>
      <w:r>
        <w:rPr>
          <w:i/>
          <w:highlight w:val="yellow"/>
        </w:rPr>
        <w:t>{%chartImage4}</w:t>
      </w:r>
    </w:p>
    <w:p>
      <w:pPr>
        <w:pStyle w:val="normal1"/>
        <w:jc w:val="center"/>
        <w:rPr/>
      </w:pPr>
      <w:r>
        <w:rPr/>
      </w:r>
    </w:p>
    <w:p>
      <w:pPr>
        <w:pStyle w:val="normal1"/>
        <w:jc w:val="center"/>
        <w:rPr/>
      </w:pPr>
      <w:r>
        <w:rPr>
          <w:i/>
        </w:rPr>
        <w:t>Figure 7: Map of EU Countries with a Specific Policy on Open Licensing of Publications</w:t>
      </w:r>
    </w:p>
    <w:p>
      <w:pPr>
        <w:pStyle w:val="normal1"/>
        <w:widowControl w:val="false"/>
        <w:spacing w:lineRule="auto" w:line="240"/>
        <w:rPr/>
      </w:pPr>
      <w:r>
        <w:rPr/>
      </w:r>
    </w:p>
    <w:p>
      <w:pPr>
        <w:pStyle w:val="normal1"/>
        <w:jc w:val="center"/>
        <w:rPr>
          <w:i/>
          <w:i/>
        </w:rPr>
      </w:pPr>
      <w:r>
        <w:rPr>
          <w:highlight w:val="yellow"/>
        </w:rPr>
        <w:t>{%pieChartImage_3_0}</w:t>
      </w:r>
    </w:p>
    <w:p>
      <w:pPr>
        <w:pStyle w:val="normal1"/>
        <w:jc w:val="center"/>
        <w:rPr>
          <w:i/>
          <w:i/>
        </w:rPr>
      </w:pPr>
      <w:r>
        <w:rPr>
          <w:i/>
          <w:highlight w:val="yellow"/>
        </w:rPr>
        <w:t>{%pieChartImage_3_1}</w:t>
      </w:r>
    </w:p>
    <w:p>
      <w:pPr>
        <w:pStyle w:val="normal1"/>
        <w:jc w:val="center"/>
        <w:rPr/>
      </w:pPr>
      <w:r>
        <w:rPr/>
      </w:r>
    </w:p>
    <w:p>
      <w:pPr>
        <w:pStyle w:val="normal1"/>
        <w:jc w:val="center"/>
        <w:rPr/>
      </w:pPr>
      <w:r>
        <w:rPr>
          <w:i/>
        </w:rPr>
        <w:t>Figure 8: Share of EU Countries with a Specific Policy on Open Licensing of Publications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Financial Strategy on Publications</w:t>
      </w:r>
    </w:p>
    <w:p>
      <w:pPr>
        <w:pStyle w:val="normal1"/>
        <w:widowControl w:val="false"/>
        <w:spacing w:lineRule="auto" w:line="240"/>
        <w:rPr/>
      </w:pPr>
      <w:r>
        <w:rPr/>
      </w:r>
    </w:p>
    <w:p>
      <w:pPr>
        <w:pStyle w:val="normal1"/>
        <w:widowControl w:val="false"/>
        <w:spacing w:lineRule="auto" w:line="240"/>
        <w:rPr/>
      </w:pPr>
      <w:r>
        <w:rPr/>
        <w:t xml:space="preserve">The second main policy question on open access to publications in Survey </w:t>
      </w:r>
      <w:r>
        <w:rPr>
          <w:highlight w:val="yellow"/>
        </w:rPr>
        <w:t>[YEAR]</w:t>
      </w:r>
      <w:r>
        <w:rPr/>
        <w:t xml:space="preserve"> is </w:t>
      </w:r>
      <w:r>
        <w:rPr>
          <w:i/>
        </w:rPr>
        <w:t>Does your country have a financial strategy on open access to publications?</w:t>
      </w:r>
      <w:r>
        <w:rPr/>
        <w:t xml:space="preserve"> (Q2). A financial strategy hereby refers to any self-standing strategy or strategy which is included in an overarching strategy at national or regional levels. </w:t>
      </w:r>
      <w:r>
        <w:rPr>
          <w:shd w:fill="auto" w:val="clear"/>
        </w:rPr>
        <w:t>{</w:t>
      </w:r>
      <w:r>
        <w:rPr>
          <w:shd w:fill="FFFF00" w:val="clear"/>
        </w:rPr>
        <w:t>Question7</w:t>
      </w:r>
      <w:r>
        <w:rPr>
          <w:shd w:fill="auto" w:val="clear"/>
        </w:rPr>
        <w:t>}</w:t>
      </w:r>
      <w:r>
        <w:rPr/>
        <w:t xml:space="preserve"> of responding EU countries have a financial strategy on open access to publications as shown in Figures 9 and 10.</w:t>
      </w:r>
    </w:p>
    <w:p>
      <w:pPr>
        <w:pStyle w:val="normal1"/>
        <w:widowControl w:val="false"/>
        <w:spacing w:lineRule="auto" w:line="240"/>
        <w:rPr/>
      </w:pPr>
      <w:r>
        <w:rPr/>
      </w:r>
    </w:p>
    <w:p>
      <w:pPr>
        <w:pStyle w:val="normal1"/>
        <w:jc w:val="center"/>
        <w:rPr>
          <w:i/>
          <w:i/>
        </w:rPr>
      </w:pPr>
      <w:r>
        <w:rPr>
          <w:i/>
          <w:highlight w:val="yellow"/>
        </w:rPr>
        <w:t>{%chartImage5}</w:t>
      </w:r>
    </w:p>
    <w:p>
      <w:pPr>
        <w:pStyle w:val="normal1"/>
        <w:jc w:val="center"/>
        <w:rPr/>
      </w:pPr>
      <w:r>
        <w:rPr/>
      </w:r>
    </w:p>
    <w:p>
      <w:pPr>
        <w:pStyle w:val="normal1"/>
        <w:jc w:val="center"/>
        <w:rPr/>
      </w:pPr>
      <w:r>
        <w:rPr>
          <w:i/>
        </w:rPr>
        <w:t>Figure 9: Map of EU Countries with a Financial Strategy on Open Access to Publications</w:t>
      </w:r>
    </w:p>
    <w:p>
      <w:pPr>
        <w:pStyle w:val="normal1"/>
        <w:widowControl w:val="false"/>
        <w:spacing w:lineRule="auto" w:line="240"/>
        <w:rPr/>
      </w:pPr>
      <w:r>
        <w:rPr/>
      </w:r>
    </w:p>
    <w:p>
      <w:pPr>
        <w:pStyle w:val="normal1"/>
        <w:jc w:val="center"/>
        <w:rPr>
          <w:i/>
          <w:i/>
        </w:rPr>
      </w:pPr>
      <w:r>
        <w:rPr>
          <w:i/>
          <w:highlight w:val="yellow"/>
        </w:rPr>
        <w:t>{%pieChartImage_4_0}</w:t>
      </w:r>
    </w:p>
    <w:p>
      <w:pPr>
        <w:pStyle w:val="normal1"/>
        <w:jc w:val="center"/>
        <w:rPr/>
      </w:pPr>
      <w:r>
        <w:rPr/>
      </w:r>
    </w:p>
    <w:p>
      <w:pPr>
        <w:pStyle w:val="normal1"/>
        <w:jc w:val="center"/>
        <w:rPr/>
      </w:pPr>
      <w:r>
        <w:rPr>
          <w:i/>
        </w:rPr>
        <w:t xml:space="preserve">Figure 10: Share of EU Countries with a Financial Strategy on Open Access to Publications </w:t>
      </w:r>
    </w:p>
    <w:p>
      <w:pPr>
        <w:pStyle w:val="normal1"/>
        <w:widowControl w:val="false"/>
        <w:spacing w:lineRule="auto" w:line="240"/>
        <w:rPr/>
      </w:pPr>
      <w:r>
        <w:rPr/>
      </w:r>
    </w:p>
    <w:p>
      <w:pPr>
        <w:pStyle w:val="normal1"/>
        <w:widowControl w:val="false"/>
        <w:numPr>
          <w:ilvl w:val="1"/>
          <w:numId w:val="1"/>
        </w:numPr>
        <w:spacing w:lineRule="auto" w:line="240"/>
        <w:ind w:hanging="360" w:left="1440"/>
        <w:rPr/>
      </w:pPr>
      <w:r>
        <w:rPr/>
        <w:t>Practices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National Monitoring on Publications</w:t>
      </w:r>
    </w:p>
    <w:p>
      <w:pPr>
        <w:pStyle w:val="normal1"/>
        <w:widowControl w:val="false"/>
        <w:spacing w:lineRule="auto" w:line="240"/>
        <w:rPr/>
      </w:pPr>
      <w:r>
        <w:rPr/>
      </w:r>
    </w:p>
    <w:p>
      <w:pPr>
        <w:pStyle w:val="normal1"/>
        <w:widowControl w:val="false"/>
        <w:spacing w:lineRule="auto" w:line="240"/>
        <w:rPr/>
      </w:pPr>
      <w:r>
        <w:rPr/>
        <w:t xml:space="preserve">The first main practice question on open access to publications in Survey </w:t>
      </w:r>
      <w:r>
        <w:rPr>
          <w:highlight w:val="yellow"/>
        </w:rPr>
        <w:t>[YEAR]</w:t>
      </w:r>
      <w:r>
        <w:rPr/>
        <w:t xml:space="preserve"> is </w:t>
      </w:r>
      <w:r>
        <w:rPr>
          <w:i/>
        </w:rPr>
        <w:t>Does your country have a national monitoring on open access to publications?</w:t>
      </w:r>
      <w:r>
        <w:rPr/>
        <w:t xml:space="preserve"> (Q49). National monitoring hereby refers to any monitoring of policies or practices at national or regional levels. {</w:t>
      </w:r>
      <w:r>
        <w:rPr>
          <w:highlight w:val="yellow"/>
        </w:rPr>
        <w:t>Question54}</w:t>
      </w:r>
      <w:r>
        <w:rPr/>
        <w:t xml:space="preserve"> of responding EU countries have a national monitoring on open access to publications as shown in Figures 11 and 12.</w:t>
      </w:r>
    </w:p>
    <w:p>
      <w:pPr>
        <w:pStyle w:val="normal1"/>
        <w:widowControl w:val="false"/>
        <w:spacing w:lineRule="auto" w:line="240"/>
        <w:rPr/>
      </w:pPr>
      <w:r>
        <w:rPr/>
      </w:r>
    </w:p>
    <w:p>
      <w:pPr>
        <w:pStyle w:val="normal1"/>
        <w:jc w:val="center"/>
        <w:rPr>
          <w:i/>
          <w:i/>
        </w:rPr>
      </w:pPr>
      <w:r>
        <w:rPr>
          <w:i/>
          <w:highlight w:val="yellow"/>
        </w:rPr>
        <w:t>{%chartImage6}</w:t>
      </w:r>
    </w:p>
    <w:p>
      <w:pPr>
        <w:pStyle w:val="normal1"/>
        <w:jc w:val="center"/>
        <w:rPr/>
      </w:pPr>
      <w:r>
        <w:rPr/>
      </w:r>
    </w:p>
    <w:p>
      <w:pPr>
        <w:pStyle w:val="normal1"/>
        <w:jc w:val="center"/>
        <w:rPr/>
      </w:pPr>
      <w:r>
        <w:rPr>
          <w:i/>
        </w:rPr>
        <w:t>Figure 11: Map of EU Countries with a National Monitoring on Open Access to Publications</w:t>
      </w:r>
    </w:p>
    <w:p>
      <w:pPr>
        <w:pStyle w:val="normal1"/>
        <w:widowControl w:val="false"/>
        <w:spacing w:lineRule="auto" w:line="240"/>
        <w:rPr/>
      </w:pPr>
      <w:r>
        <w:rPr/>
      </w:r>
    </w:p>
    <w:p>
      <w:pPr>
        <w:pStyle w:val="normal1"/>
        <w:jc w:val="center"/>
        <w:rPr>
          <w:i/>
          <w:i/>
        </w:rPr>
      </w:pPr>
      <w:r>
        <w:rPr>
          <w:i/>
          <w:highlight w:val="yellow"/>
        </w:rPr>
        <w:t>{%pieChartImage_5_0}</w:t>
      </w:r>
    </w:p>
    <w:p>
      <w:pPr>
        <w:pStyle w:val="normal1"/>
        <w:jc w:val="center"/>
        <w:rPr/>
      </w:pPr>
      <w:r>
        <w:rPr/>
      </w:r>
    </w:p>
    <w:p>
      <w:pPr>
        <w:pStyle w:val="normal1"/>
        <w:jc w:val="center"/>
        <w:rPr/>
      </w:pPr>
      <w:r>
        <w:rPr>
          <w:i/>
        </w:rPr>
        <w:t>Figure 12: Share of EU Countries with a National Monitoring on Open Access to Publications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National Investments in Publications</w:t>
      </w:r>
    </w:p>
    <w:p>
      <w:pPr>
        <w:pStyle w:val="normal1"/>
        <w:widowControl w:val="false"/>
        <w:spacing w:lineRule="auto" w:line="240"/>
        <w:rPr/>
      </w:pPr>
      <w:r>
        <w:rPr/>
      </w:r>
    </w:p>
    <w:p>
      <w:pPr>
        <w:pStyle w:val="normal1"/>
        <w:widowControl w:val="false"/>
        <w:spacing w:lineRule="auto" w:line="240"/>
        <w:rPr/>
      </w:pPr>
      <w:r>
        <w:rPr/>
        <w:t xml:space="preserve">The second main practice question on open access to publications in Survey </w:t>
      </w:r>
      <w:r>
        <w:rPr>
          <w:highlight w:val="yellow"/>
        </w:rPr>
        <w:t>[YEAR]</w:t>
      </w:r>
      <w:r>
        <w:rPr/>
        <w:t xml:space="preserve"> is </w:t>
      </w:r>
      <w:r>
        <w:rPr>
          <w:i/>
        </w:rPr>
        <w:t xml:space="preserve">How much did your country financially invest in open access to publications in </w:t>
      </w:r>
      <w:r>
        <w:rPr>
          <w:i/>
          <w:highlight w:val="yellow"/>
        </w:rPr>
        <w:t>[YEAR]</w:t>
      </w:r>
      <w:r>
        <w:rPr>
          <w:i/>
        </w:rPr>
        <w:t xml:space="preserve"> in millions of Euros?</w:t>
      </w:r>
      <w:r>
        <w:rPr/>
        <w:t xml:space="preserve"> (Q51). </w:t>
      </w:r>
      <w:r>
        <w:rPr/>
        <w:t>{</w:t>
      </w:r>
      <w:r>
        <w:rPr>
          <w:highlight w:val="yellow"/>
        </w:rPr>
        <w:t>Question56[</w:t>
      </w:r>
      <w:r>
        <w:rPr>
          <w:highlight w:val="yellow"/>
        </w:rPr>
        <w:t>0</w:t>
      </w:r>
      <w:r>
        <w:rPr>
          <w:highlight w:val="yellow"/>
        </w:rPr>
        <w:t>]</w:t>
      </w:r>
      <w:r>
        <w:rPr>
          <w:highlight w:val="yellow"/>
        </w:rPr>
        <w:t>}</w:t>
      </w:r>
      <w:r>
        <w:rPr/>
        <w:t xml:space="preserve"> of responding EU countries are not investing or have not stated the amount of investments in open access to publications. </w:t>
      </w:r>
      <w:r>
        <w:rPr/>
        <w:t>{</w:t>
      </w:r>
      <w:r>
        <w:rPr>
          <w:highlight w:val="yellow"/>
        </w:rPr>
        <w:t>Question56[1]</w:t>
      </w:r>
      <w:r>
        <w:rPr>
          <w:highlight w:val="yellow"/>
        </w:rPr>
        <w:t>}</w:t>
      </w:r>
      <w:r>
        <w:rPr/>
        <w:t xml:space="preserve"> of EU countries invested &gt;0 to 50 €K, </w:t>
      </w:r>
      <w:r>
        <w:rPr/>
        <w:t>{</w:t>
      </w:r>
      <w:r>
        <w:rPr>
          <w:highlight w:val="yellow"/>
        </w:rPr>
        <w:t>Question56[</w:t>
      </w:r>
      <w:r>
        <w:rPr>
          <w:highlight w:val="yellow"/>
        </w:rPr>
        <w:t>2</w:t>
      </w:r>
      <w:r>
        <w:rPr>
          <w:highlight w:val="yellow"/>
        </w:rPr>
        <w:t>]</w:t>
      </w:r>
      <w:r>
        <w:rPr>
          <w:highlight w:val="yellow"/>
        </w:rPr>
        <w:t>}</w:t>
      </w:r>
      <w:r>
        <w:rPr/>
        <w:t xml:space="preserve"> &gt;50 to 100 €K, </w:t>
      </w:r>
      <w:r>
        <w:rPr/>
        <w:t>{</w:t>
      </w:r>
      <w:r>
        <w:rPr>
          <w:highlight w:val="yellow"/>
        </w:rPr>
        <w:t>Question56[</w:t>
      </w:r>
      <w:r>
        <w:rPr>
          <w:highlight w:val="yellow"/>
        </w:rPr>
        <w:t>3</w:t>
      </w:r>
      <w:r>
        <w:rPr>
          <w:highlight w:val="yellow"/>
        </w:rPr>
        <w:t>]</w:t>
      </w:r>
      <w:r>
        <w:rPr>
          <w:highlight w:val="yellow"/>
        </w:rPr>
        <w:t>}</w:t>
      </w:r>
      <w:r>
        <w:rPr/>
        <w:t xml:space="preserve"> &gt;100 to 250 €K, </w:t>
      </w:r>
      <w:r>
        <w:rPr/>
        <w:t>{</w:t>
      </w:r>
      <w:r>
        <w:rPr>
          <w:highlight w:val="yellow"/>
        </w:rPr>
        <w:t>Question56[</w:t>
      </w:r>
      <w:r>
        <w:rPr>
          <w:highlight w:val="yellow"/>
        </w:rPr>
        <w:t>4</w:t>
      </w:r>
      <w:r>
        <w:rPr>
          <w:highlight w:val="yellow"/>
        </w:rPr>
        <w:t>]</w:t>
      </w:r>
      <w:r>
        <w:rPr>
          <w:highlight w:val="yellow"/>
        </w:rPr>
        <w:t>}</w:t>
      </w:r>
      <w:r>
        <w:rPr/>
        <w:t xml:space="preserve"> &gt;250 to 500 €K, </w:t>
      </w:r>
      <w:r>
        <w:rPr/>
        <w:t>{</w:t>
      </w:r>
      <w:r>
        <w:rPr>
          <w:highlight w:val="yellow"/>
        </w:rPr>
        <w:t>Question56[</w:t>
      </w:r>
      <w:r>
        <w:rPr>
          <w:highlight w:val="yellow"/>
        </w:rPr>
        <w:t>5</w:t>
      </w:r>
      <w:r>
        <w:rPr>
          <w:highlight w:val="yellow"/>
        </w:rPr>
        <w:t>]</w:t>
      </w:r>
      <w:r>
        <w:rPr>
          <w:highlight w:val="yellow"/>
        </w:rPr>
        <w:t>}</w:t>
      </w:r>
      <w:r>
        <w:rPr/>
        <w:t xml:space="preserve"> &gt;500 to 1000 €K, and </w:t>
      </w:r>
      <w:r>
        <w:rPr>
          <w:shd w:fill="auto" w:val="clear"/>
        </w:rPr>
        <w:t>{</w:t>
      </w:r>
      <w:r>
        <w:rPr>
          <w:shd w:fill="FFFF00" w:val="clear"/>
        </w:rPr>
        <w:t>Question56[</w:t>
      </w:r>
      <w:r>
        <w:rPr>
          <w:shd w:fill="FFFF00" w:val="clear"/>
        </w:rPr>
        <w:t>6</w:t>
      </w:r>
      <w:r>
        <w:rPr>
          <w:shd w:fill="FFFF00" w:val="clear"/>
        </w:rPr>
        <w:t>]</w:t>
      </w:r>
      <w:r>
        <w:rPr>
          <w:shd w:fill="auto" w:val="clear"/>
        </w:rPr>
        <w:t>}</w:t>
      </w:r>
      <w:r>
        <w:rPr/>
        <w:t xml:space="preserve"> &gt;1000 €K per 1000 FTE researchers as shown in Figure 13.</w:t>
      </w:r>
    </w:p>
    <w:p>
      <w:pPr>
        <w:pStyle w:val="normal1"/>
        <w:widowControl w:val="false"/>
        <w:spacing w:lineRule="auto" w:line="240"/>
        <w:rPr/>
      </w:pPr>
      <w:r>
        <w:rPr/>
      </w:r>
    </w:p>
    <w:p>
      <w:pPr>
        <w:pStyle w:val="normal1"/>
        <w:jc w:val="center"/>
        <w:rPr>
          <w:i/>
          <w:i/>
        </w:rPr>
      </w:pPr>
      <w:commentRangeStart w:id="6"/>
      <w:r>
        <w:rPr>
          <w:i/>
          <w:highlight w:val="yellow"/>
        </w:rPr>
        <w:t>{%chartImage7}</w:t>
      </w:r>
      <w:commentRangeEnd w:id="6"/>
      <w:r>
        <w:commentReference w:id="6"/>
      </w:r>
      <w:r>
        <w:rPr>
          <w:i/>
          <w:highlight w:val="yellow"/>
        </w:rPr>
      </w:r>
    </w:p>
    <w:p>
      <w:pPr>
        <w:pStyle w:val="normal1"/>
        <w:jc w:val="center"/>
        <w:rPr/>
      </w:pPr>
      <w:r>
        <w:rPr/>
      </w:r>
    </w:p>
    <w:p>
      <w:pPr>
        <w:pStyle w:val="normal1"/>
        <w:jc w:val="center"/>
        <w:rPr/>
      </w:pPr>
      <w:r>
        <w:rPr>
          <w:i/>
        </w:rPr>
        <w:t xml:space="preserve">Figure 13: </w:t>
      </w:r>
      <w:bookmarkStart w:id="0" w:name="__DdeLink__2403_2503287465"/>
      <w:r>
        <w:rPr>
          <w:i/>
        </w:rPr>
        <w:t>Share of EU Countries with National Investments in Open Access to Publications per 1000 FTE Researchers</w:t>
      </w:r>
      <w:bookmarkEnd w:id="0"/>
    </w:p>
    <w:p>
      <w:pPr>
        <w:pStyle w:val="normal1"/>
        <w:widowControl w:val="false"/>
        <w:spacing w:lineRule="auto" w:line="240"/>
        <w:rPr/>
      </w:pPr>
      <w:r>
        <w:rPr/>
      </w:r>
    </w:p>
    <w:p>
      <w:pPr>
        <w:pStyle w:val="normal1"/>
        <w:widowControl w:val="false"/>
        <w:numPr>
          <w:ilvl w:val="1"/>
          <w:numId w:val="1"/>
        </w:numPr>
        <w:spacing w:lineRule="auto" w:line="240"/>
        <w:ind w:hanging="360" w:left="1440"/>
        <w:rPr/>
      </w:pPr>
      <w:r>
        <w:rPr/>
        <w:t>Impact</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Yearly Trends in Policies on Publications</w:t>
      </w:r>
    </w:p>
    <w:p>
      <w:pPr>
        <w:pStyle w:val="normal1"/>
        <w:widowControl w:val="false"/>
        <w:spacing w:lineRule="auto" w:line="240"/>
        <w:rPr/>
      </w:pPr>
      <w:r>
        <w:rPr/>
      </w:r>
    </w:p>
    <w:p>
      <w:pPr>
        <w:pStyle w:val="normal1"/>
        <w:widowControl w:val="false"/>
        <w:spacing w:lineRule="auto" w:line="240"/>
        <w:rPr/>
      </w:pPr>
      <w:r>
        <w:rPr/>
        <w:t xml:space="preserve">There is </w:t>
      </w:r>
      <w:commentRangeStart w:id="7"/>
      <w:r>
        <w:rPr>
          <w:highlight w:val="yellow"/>
        </w:rPr>
        <w:t>[TREND1]</w:t>
      </w:r>
      <w:r>
        <w:rPr>
          <w:highlight w:val="yellow"/>
        </w:rPr>
      </w:r>
      <w:commentRangeEnd w:id="7"/>
      <w:r>
        <w:commentReference w:id="7"/>
      </w:r>
      <w:r>
        <w:rPr/>
        <w:t xml:space="preserve"> in national policies on open access to publications in EU countries in </w:t>
      </w:r>
      <w:r>
        <w:rPr>
          <w:highlight w:val="yellow"/>
        </w:rPr>
        <w:t>[YEAR]</w:t>
      </w:r>
      <w:r>
        <w:rPr/>
        <w:t xml:space="preserve"> from the previous year and </w:t>
      </w:r>
      <w:commentRangeStart w:id="8"/>
      <w:commentRangeStart w:id="9"/>
      <w:r>
        <w:rPr>
          <w:highlight w:val="yellow"/>
        </w:rPr>
        <w:t>[TREND2]</w:t>
      </w:r>
      <w:r>
        <w:rPr>
          <w:highlight w:val="yellow"/>
        </w:rPr>
      </w:r>
      <w:commentRangeEnd w:id="9"/>
      <w:r>
        <w:commentReference w:id="9"/>
      </w:r>
      <w:r>
        <w:rPr>
          <w:highlight w:val="yellow"/>
        </w:rPr>
      </w:r>
      <w:commentRangeEnd w:id="8"/>
      <w:r>
        <w:commentReference w:id="8"/>
      </w:r>
      <w:r>
        <w:rPr/>
        <w:t xml:space="preserve"> since 2022 whereby there is </w:t>
      </w:r>
      <w:commentRangeStart w:id="10"/>
      <w:r>
        <w:rPr>
          <w:highlight w:val="yellow"/>
        </w:rPr>
        <w:t>[TREND1]</w:t>
      </w:r>
      <w:r>
        <w:rPr>
          <w:highlight w:val="yellow"/>
        </w:rPr>
      </w:r>
      <w:commentRangeEnd w:id="10"/>
      <w:r>
        <w:commentReference w:id="10"/>
      </w:r>
      <w:r>
        <w:rPr/>
        <w:t xml:space="preserve"> in mandatory policies in </w:t>
      </w:r>
      <w:r>
        <w:rPr>
          <w:highlight w:val="yellow"/>
        </w:rPr>
        <w:t>[YEAR]</w:t>
      </w:r>
      <w:r>
        <w:rPr/>
        <w:t xml:space="preserve"> from the previous year and </w:t>
      </w:r>
      <w:commentRangeStart w:id="11"/>
      <w:commentRangeStart w:id="12"/>
      <w:r>
        <w:rPr>
          <w:highlight w:val="yellow"/>
        </w:rPr>
        <w:t>[TREND2]</w:t>
      </w:r>
      <w:r>
        <w:rPr>
          <w:highlight w:val="yellow"/>
        </w:rPr>
      </w:r>
      <w:commentRangeEnd w:id="12"/>
      <w:r>
        <w:commentReference w:id="12"/>
      </w:r>
      <w:r>
        <w:rPr>
          <w:highlight w:val="yellow"/>
        </w:rPr>
      </w:r>
      <w:commentRangeEnd w:id="11"/>
      <w:r>
        <w:commentReference w:id="11"/>
      </w:r>
      <w:r>
        <w:rPr/>
        <w:t xml:space="preserve"> since 2022 as shown in Figure 14.</w:t>
      </w:r>
    </w:p>
    <w:p>
      <w:pPr>
        <w:pStyle w:val="normal1"/>
        <w:widowControl w:val="false"/>
        <w:spacing w:lineRule="auto" w:line="240"/>
        <w:rPr/>
      </w:pPr>
      <w:r>
        <w:rPr/>
      </w:r>
    </w:p>
    <w:p>
      <w:pPr>
        <w:pStyle w:val="normal1"/>
        <w:jc w:val="center"/>
        <w:rPr>
          <w:i/>
          <w:i/>
        </w:rPr>
      </w:pPr>
      <w:commentRangeStart w:id="13"/>
      <w:r>
        <w:rPr>
          <w:highlight w:val="yellow"/>
        </w:rPr>
        <w:t>[FIGURE 14]</w:t>
      </w:r>
      <w:commentRangeEnd w:id="13"/>
      <w:r>
        <w:commentReference w:id="13"/>
      </w:r>
      <w:r>
        <w:rPr>
          <w:highlight w:val="yellow"/>
        </w:rPr>
      </w:r>
    </w:p>
    <w:p>
      <w:pPr>
        <w:pStyle w:val="normal1"/>
        <w:jc w:val="center"/>
        <w:rPr/>
      </w:pPr>
      <w:r>
        <w:rPr/>
      </w:r>
    </w:p>
    <w:p>
      <w:pPr>
        <w:pStyle w:val="normal1"/>
        <w:jc w:val="center"/>
        <w:rPr/>
      </w:pPr>
      <w:r>
        <w:rPr>
          <w:i/>
        </w:rPr>
        <w:t>Figure 14: Trend in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 xml:space="preserve">There is </w:t>
      </w:r>
      <w:r>
        <w:rPr>
          <w:highlight w:val="yellow"/>
        </w:rPr>
        <w:t>[TREND1]</w:t>
      </w:r>
      <w:r>
        <w:rPr/>
        <w:t xml:space="preserve"> in specific policies on immediate open access to publications in EU countries in </w:t>
      </w:r>
      <w:r>
        <w:rPr>
          <w:highlight w:val="yellow"/>
        </w:rPr>
        <w:t>[YEAR]</w:t>
      </w:r>
      <w:r>
        <w:rPr/>
        <w:t xml:space="preserve"> from the previous year and </w:t>
      </w:r>
      <w:r>
        <w:rPr>
          <w:highlight w:val="yellow"/>
        </w:rPr>
        <w:t>[TREND2]</w:t>
      </w:r>
      <w:r>
        <w:rPr/>
        <w:t xml:space="preserve"> since 2022 whereby there is </w:t>
      </w:r>
      <w:r>
        <w:rPr>
          <w:highlight w:val="yellow"/>
        </w:rPr>
        <w:t>[TREND1]</w:t>
      </w:r>
      <w:r>
        <w:rPr/>
        <w:t xml:space="preserve"> in mandatory policies in </w:t>
      </w:r>
      <w:r>
        <w:rPr>
          <w:highlight w:val="yellow"/>
        </w:rPr>
        <w:t>[YEAR]</w:t>
      </w:r>
      <w:r>
        <w:rPr/>
        <w:t xml:space="preserve"> from the previous year and </w:t>
      </w:r>
      <w:r>
        <w:rPr>
          <w:highlight w:val="yellow"/>
        </w:rPr>
        <w:t>[TREND2]</w:t>
      </w:r>
      <w:r>
        <w:rPr/>
        <w:t xml:space="preserve"> since 2022 as shown in Figure 15.</w:t>
      </w:r>
    </w:p>
    <w:p>
      <w:pPr>
        <w:pStyle w:val="normal1"/>
        <w:widowControl w:val="false"/>
        <w:spacing w:lineRule="auto" w:line="240"/>
        <w:rPr/>
      </w:pPr>
      <w:r>
        <w:rPr/>
      </w:r>
    </w:p>
    <w:p>
      <w:pPr>
        <w:pStyle w:val="normal1"/>
        <w:jc w:val="center"/>
        <w:rPr>
          <w:i/>
          <w:i/>
        </w:rPr>
      </w:pPr>
      <w:r>
        <w:rPr>
          <w:highlight w:val="yellow"/>
        </w:rPr>
        <w:t>[FIGURE 15]</w:t>
      </w:r>
    </w:p>
    <w:p>
      <w:pPr>
        <w:pStyle w:val="normal1"/>
        <w:jc w:val="center"/>
        <w:rPr/>
      </w:pPr>
      <w:r>
        <w:rPr/>
      </w:r>
    </w:p>
    <w:p>
      <w:pPr>
        <w:pStyle w:val="normal1"/>
        <w:jc w:val="center"/>
        <w:rPr/>
      </w:pPr>
      <w:r>
        <w:rPr>
          <w:i/>
        </w:rPr>
        <w:t>Figure 15: Trend in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 xml:space="preserve">There is </w:t>
      </w:r>
      <w:r>
        <w:rPr>
          <w:highlight w:val="yellow"/>
        </w:rPr>
        <w:t>[TREND1]</w:t>
      </w:r>
      <w:r>
        <w:rPr/>
        <w:t xml:space="preserve"> in specific policies on retention of IPR on publications in EU countries in </w:t>
      </w:r>
      <w:r>
        <w:rPr>
          <w:highlight w:val="yellow"/>
        </w:rPr>
        <w:t>[YEAR]</w:t>
      </w:r>
      <w:r>
        <w:rPr/>
        <w:t xml:space="preserve"> from the previous year and </w:t>
      </w:r>
      <w:r>
        <w:rPr>
          <w:highlight w:val="yellow"/>
        </w:rPr>
        <w:t>[TREND2]</w:t>
      </w:r>
      <w:r>
        <w:rPr/>
        <w:t xml:space="preserve"> since 2022 whereby there is </w:t>
      </w:r>
      <w:r>
        <w:rPr>
          <w:highlight w:val="yellow"/>
        </w:rPr>
        <w:t>[TREND1]</w:t>
      </w:r>
      <w:r>
        <w:rPr/>
        <w:t xml:space="preserve"> in mandatory policies in </w:t>
      </w:r>
      <w:r>
        <w:rPr>
          <w:highlight w:val="yellow"/>
        </w:rPr>
        <w:t>[YEAR]</w:t>
      </w:r>
      <w:r>
        <w:rPr/>
        <w:t xml:space="preserve"> from the previous year and </w:t>
      </w:r>
      <w:r>
        <w:rPr>
          <w:highlight w:val="yellow"/>
        </w:rPr>
        <w:t>[TREND2]</w:t>
      </w:r>
      <w:r>
        <w:rPr/>
        <w:t xml:space="preserve"> since 2022 as shown in Figure 16.</w:t>
      </w:r>
    </w:p>
    <w:p>
      <w:pPr>
        <w:pStyle w:val="normal1"/>
        <w:widowControl w:val="false"/>
        <w:spacing w:lineRule="auto" w:line="240"/>
        <w:rPr/>
      </w:pPr>
      <w:r>
        <w:rPr/>
      </w:r>
    </w:p>
    <w:p>
      <w:pPr>
        <w:pStyle w:val="normal1"/>
        <w:jc w:val="center"/>
        <w:rPr>
          <w:i/>
          <w:i/>
        </w:rPr>
      </w:pPr>
      <w:r>
        <w:rPr>
          <w:highlight w:val="yellow"/>
        </w:rPr>
        <w:t>[FIGURE 16]</w:t>
      </w:r>
    </w:p>
    <w:p>
      <w:pPr>
        <w:pStyle w:val="normal1"/>
        <w:jc w:val="center"/>
        <w:rPr/>
      </w:pPr>
      <w:r>
        <w:rPr/>
      </w:r>
    </w:p>
    <w:p>
      <w:pPr>
        <w:pStyle w:val="normal1"/>
        <w:jc w:val="center"/>
        <w:rPr/>
      </w:pPr>
      <w:r>
        <w:rPr>
          <w:i/>
        </w:rPr>
        <w:t>Figure 16: Trend in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 xml:space="preserve">There is </w:t>
      </w:r>
      <w:r>
        <w:rPr>
          <w:highlight w:val="yellow"/>
        </w:rPr>
        <w:t>[TREND1]</w:t>
      </w:r>
      <w:r>
        <w:rPr/>
        <w:t xml:space="preserve"> in specific policies on open licensing of publications in EU countries in </w:t>
      </w:r>
      <w:r>
        <w:rPr>
          <w:highlight w:val="yellow"/>
        </w:rPr>
        <w:t>[YEAR]</w:t>
      </w:r>
      <w:r>
        <w:rPr/>
        <w:t xml:space="preserve"> from the previous year and </w:t>
      </w:r>
      <w:r>
        <w:rPr>
          <w:highlight w:val="yellow"/>
        </w:rPr>
        <w:t>[TREND2]</w:t>
      </w:r>
      <w:r>
        <w:rPr/>
        <w:t xml:space="preserve"> since 2022 whereby there is </w:t>
      </w:r>
      <w:r>
        <w:rPr>
          <w:highlight w:val="yellow"/>
        </w:rPr>
        <w:t>[TREND1]</w:t>
      </w:r>
      <w:r>
        <w:rPr/>
        <w:t xml:space="preserve"> in mandatory policies in </w:t>
      </w:r>
      <w:r>
        <w:rPr>
          <w:highlight w:val="yellow"/>
        </w:rPr>
        <w:t>[YEAR]</w:t>
      </w:r>
      <w:r>
        <w:rPr/>
        <w:t xml:space="preserve"> from the previous year and </w:t>
      </w:r>
      <w:r>
        <w:rPr>
          <w:highlight w:val="yellow"/>
        </w:rPr>
        <w:t>[TREND2]</w:t>
      </w:r>
      <w:r>
        <w:rPr/>
        <w:t xml:space="preserve"> since 2022 as shown in Figure 17.</w:t>
      </w:r>
    </w:p>
    <w:p>
      <w:pPr>
        <w:pStyle w:val="normal1"/>
        <w:widowControl w:val="false"/>
        <w:spacing w:lineRule="auto" w:line="240"/>
        <w:rPr/>
      </w:pPr>
      <w:r>
        <w:rPr/>
      </w:r>
    </w:p>
    <w:p>
      <w:pPr>
        <w:pStyle w:val="normal1"/>
        <w:jc w:val="center"/>
        <w:rPr>
          <w:i/>
          <w:i/>
        </w:rPr>
      </w:pPr>
      <w:r>
        <w:rPr>
          <w:highlight w:val="yellow"/>
        </w:rPr>
        <w:t>[FIGURE 17]</w:t>
      </w:r>
    </w:p>
    <w:p>
      <w:pPr>
        <w:pStyle w:val="normal1"/>
        <w:jc w:val="center"/>
        <w:rPr/>
      </w:pPr>
      <w:r>
        <w:rPr/>
      </w:r>
    </w:p>
    <w:p>
      <w:pPr>
        <w:pStyle w:val="normal1"/>
        <w:jc w:val="center"/>
        <w:rPr/>
      </w:pPr>
      <w:r>
        <w:rPr>
          <w:i/>
        </w:rPr>
        <w:t>Figure 17: Trend in EU Countries with a Specific Policy on Open Licensing of Publications</w:t>
      </w:r>
    </w:p>
    <w:p>
      <w:pPr>
        <w:pStyle w:val="normal1"/>
        <w:widowControl w:val="false"/>
        <w:spacing w:lineRule="auto" w:line="240"/>
        <w:rPr/>
      </w:pPr>
      <w:r>
        <w:rPr/>
      </w:r>
    </w:p>
    <w:p>
      <w:pPr>
        <w:pStyle w:val="normal1"/>
        <w:widowControl w:val="false"/>
        <w:spacing w:lineRule="auto" w:line="240"/>
        <w:rPr/>
      </w:pPr>
      <w:r>
        <w:rPr/>
        <w:t xml:space="preserve">There is lastly </w:t>
      </w:r>
      <w:r>
        <w:rPr>
          <w:highlight w:val="yellow"/>
        </w:rPr>
        <w:t>[TREND1]</w:t>
      </w:r>
      <w:r>
        <w:rPr/>
        <w:t xml:space="preserve"> in financial strategies on open access to publications in EU countries in </w:t>
      </w:r>
      <w:r>
        <w:rPr>
          <w:highlight w:val="yellow"/>
        </w:rPr>
        <w:t>[YEAR]</w:t>
      </w:r>
      <w:r>
        <w:rPr/>
        <w:t xml:space="preserve"> from the previous year and </w:t>
      </w:r>
      <w:r>
        <w:rPr>
          <w:highlight w:val="yellow"/>
        </w:rPr>
        <w:t>[TREND2]</w:t>
      </w:r>
      <w:r>
        <w:rPr/>
        <w:t xml:space="preserve"> since 2022 as shown in Figure 18.</w:t>
      </w:r>
    </w:p>
    <w:p>
      <w:pPr>
        <w:pStyle w:val="normal1"/>
        <w:widowControl w:val="false"/>
        <w:spacing w:lineRule="auto" w:line="240"/>
        <w:rPr/>
      </w:pPr>
      <w:r>
        <w:rPr/>
      </w:r>
    </w:p>
    <w:p>
      <w:pPr>
        <w:pStyle w:val="normal1"/>
        <w:jc w:val="center"/>
        <w:rPr>
          <w:i/>
          <w:i/>
        </w:rPr>
      </w:pPr>
      <w:commentRangeStart w:id="14"/>
      <w:r>
        <w:rPr>
          <w:highlight w:val="yellow"/>
        </w:rPr>
        <w:t>[FIGURE 18]</w:t>
      </w:r>
      <w:commentRangeEnd w:id="14"/>
      <w:r>
        <w:commentReference w:id="14"/>
      </w:r>
      <w:r>
        <w:rPr>
          <w:highlight w:val="yellow"/>
        </w:rPr>
      </w:r>
    </w:p>
    <w:p>
      <w:pPr>
        <w:pStyle w:val="normal1"/>
        <w:jc w:val="center"/>
        <w:rPr/>
      </w:pPr>
      <w:r>
        <w:rPr/>
      </w:r>
    </w:p>
    <w:p>
      <w:pPr>
        <w:pStyle w:val="normal1"/>
        <w:jc w:val="center"/>
        <w:rPr/>
      </w:pPr>
      <w:r>
        <w:rPr>
          <w:i/>
        </w:rPr>
        <w:t>Figure 18: Trend in EU Countries with a Financial Strategy on Open Access to Publications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Yearly Trends in Practices on Publications</w:t>
      </w:r>
    </w:p>
    <w:p>
      <w:pPr>
        <w:pStyle w:val="normal1"/>
        <w:widowControl w:val="false"/>
        <w:spacing w:lineRule="auto" w:line="240"/>
        <w:rPr/>
      </w:pPr>
      <w:r>
        <w:rPr/>
      </w:r>
    </w:p>
    <w:p>
      <w:pPr>
        <w:pStyle w:val="normal1"/>
        <w:widowControl w:val="false"/>
        <w:spacing w:lineRule="auto" w:line="240"/>
        <w:rPr/>
      </w:pPr>
      <w:r>
        <w:rPr/>
        <w:t xml:space="preserve">There is </w:t>
      </w:r>
      <w:r>
        <w:rPr>
          <w:highlight w:val="yellow"/>
        </w:rPr>
        <w:t>[TREND1]</w:t>
      </w:r>
      <w:r>
        <w:rPr/>
        <w:t xml:space="preserve"> in national monitoring on open access to publications in EU countries in </w:t>
      </w:r>
      <w:r>
        <w:rPr>
          <w:highlight w:val="yellow"/>
        </w:rPr>
        <w:t>[YEAR]</w:t>
      </w:r>
      <w:r>
        <w:rPr/>
        <w:t xml:space="preserve"> from the previous year and </w:t>
      </w:r>
      <w:r>
        <w:rPr>
          <w:highlight w:val="yellow"/>
        </w:rPr>
        <w:t>[TREND2]</w:t>
      </w:r>
      <w:r>
        <w:rPr/>
        <w:t xml:space="preserve"> since 2022 as shown in Figure 19.</w:t>
      </w:r>
    </w:p>
    <w:p>
      <w:pPr>
        <w:pStyle w:val="normal1"/>
        <w:widowControl w:val="false"/>
        <w:spacing w:lineRule="auto" w:line="240"/>
        <w:rPr/>
      </w:pPr>
      <w:r>
        <w:rPr/>
      </w:r>
    </w:p>
    <w:p>
      <w:pPr>
        <w:pStyle w:val="normal1"/>
        <w:jc w:val="center"/>
        <w:rPr>
          <w:i/>
          <w:i/>
        </w:rPr>
      </w:pPr>
      <w:r>
        <w:rPr>
          <w:highlight w:val="yellow"/>
        </w:rPr>
        <w:t>[FIGURE 19]</w:t>
      </w:r>
    </w:p>
    <w:p>
      <w:pPr>
        <w:pStyle w:val="normal1"/>
        <w:jc w:val="center"/>
        <w:rPr/>
      </w:pPr>
      <w:r>
        <w:rPr/>
      </w:r>
    </w:p>
    <w:p>
      <w:pPr>
        <w:pStyle w:val="normal1"/>
        <w:jc w:val="center"/>
        <w:rPr/>
      </w:pPr>
      <w:r>
        <w:rPr>
          <w:i/>
        </w:rPr>
        <w:t>Figure 19: Trend in EU Countries with a National Monitoring on Open Access to Publications</w:t>
      </w:r>
    </w:p>
    <w:p>
      <w:pPr>
        <w:pStyle w:val="normal1"/>
        <w:widowControl w:val="false"/>
        <w:spacing w:lineRule="auto" w:line="240"/>
        <w:rPr/>
      </w:pPr>
      <w:r>
        <w:rPr/>
      </w:r>
    </w:p>
    <w:p>
      <w:pPr>
        <w:pStyle w:val="normal1"/>
        <w:widowControl w:val="false"/>
        <w:spacing w:lineRule="auto" w:line="240"/>
        <w:rPr/>
      </w:pPr>
      <w:r>
        <w:rPr/>
        <w:t xml:space="preserve">There is finally </w:t>
      </w:r>
      <w:r>
        <w:rPr>
          <w:highlight w:val="yellow"/>
        </w:rPr>
        <w:t>[TREND1]</w:t>
      </w:r>
      <w:r>
        <w:rPr/>
        <w:t xml:space="preserve"> in </w:t>
      </w:r>
      <w:commentRangeStart w:id="15"/>
      <w:r>
        <w:rPr/>
        <w:t>national investments in open access to publications per 1000 FTE researchers in EU countries</w:t>
      </w:r>
      <w:r>
        <w:rPr/>
      </w:r>
      <w:commentRangeEnd w:id="15"/>
      <w:r>
        <w:commentReference w:id="15"/>
      </w:r>
      <w:r>
        <w:rPr/>
        <w:t xml:space="preserve"> in </w:t>
      </w:r>
      <w:r>
        <w:rPr>
          <w:highlight w:val="yellow"/>
        </w:rPr>
        <w:t>[YEAR]</w:t>
      </w:r>
      <w:r>
        <w:rPr/>
        <w:t xml:space="preserve"> from the previous year and </w:t>
      </w:r>
      <w:r>
        <w:rPr>
          <w:highlight w:val="yellow"/>
        </w:rPr>
        <w:t>[TREND2]</w:t>
      </w:r>
      <w:r>
        <w:rPr/>
        <w:t xml:space="preserve"> since 2022 as shown in Figure 20.</w:t>
      </w:r>
    </w:p>
    <w:p>
      <w:pPr>
        <w:pStyle w:val="normal1"/>
        <w:jc w:val="center"/>
        <w:rPr>
          <w:i/>
          <w:i/>
        </w:rPr>
      </w:pPr>
      <w:commentRangeStart w:id="16"/>
      <w:r>
        <w:rPr>
          <w:highlight w:val="yellow"/>
        </w:rPr>
        <w:t>[FIGURE 20]</w:t>
      </w:r>
      <w:commentRangeEnd w:id="16"/>
      <w:r>
        <w:commentReference w:id="16"/>
      </w:r>
      <w:r>
        <w:rPr>
          <w:highlight w:val="yellow"/>
        </w:rPr>
      </w:r>
    </w:p>
    <w:p>
      <w:pPr>
        <w:pStyle w:val="normal1"/>
        <w:jc w:val="center"/>
        <w:rPr/>
      </w:pPr>
      <w:r>
        <w:rPr/>
      </w:r>
    </w:p>
    <w:p>
      <w:pPr>
        <w:pStyle w:val="normal1"/>
        <w:jc w:val="center"/>
        <w:rPr/>
      </w:pPr>
      <w:r>
        <w:rPr>
          <w:i/>
        </w:rPr>
        <w:t>Figure 20: Trend in EU Countries with National Investments in Open Access to Publications per 1000 FTE Researchers</w:t>
      </w:r>
    </w:p>
    <w:p>
      <w:pPr>
        <w:pStyle w:val="normal1"/>
        <w:widowControl w:val="false"/>
        <w:spacing w:lineRule="auto" w:line="240"/>
        <w:rPr/>
      </w:pPr>
      <w:r>
        <w:rPr/>
      </w:r>
    </w:p>
    <w:p>
      <w:pPr>
        <w:pStyle w:val="normal1"/>
        <w:jc w:val="center"/>
        <w:rPr>
          <w:shd w:fill="FF9900" w:val="clear"/>
        </w:rPr>
      </w:pPr>
      <w:r>
        <w:rPr>
          <w:shd w:fill="FF9900" w:val="clear"/>
        </w:rPr>
        <w:t>========== GARETH STOPPED HERE ==========</w:t>
      </w:r>
    </w:p>
    <w:p>
      <w:pPr>
        <w:pStyle w:val="normal1"/>
        <w:widowControl w:val="false"/>
        <w:spacing w:lineRule="auto" w:line="240"/>
        <w:ind w:hanging="0" w:left="0"/>
        <w:rPr/>
      </w:pPr>
      <w:r>
        <w:rPr/>
      </w:r>
    </w:p>
    <w:p>
      <w:pPr>
        <w:pStyle w:val="normal1"/>
        <w:widowControl w:val="false"/>
        <w:numPr>
          <w:ilvl w:val="0"/>
          <w:numId w:val="1"/>
        </w:numPr>
        <w:spacing w:lineRule="auto" w:line="240"/>
        <w:ind w:hanging="360" w:left="720"/>
        <w:rPr/>
      </w:pPr>
      <w:r>
        <w:rPr/>
        <w:t>Data</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Policies on Data</w:t>
      </w:r>
    </w:p>
    <w:p>
      <w:pPr>
        <w:pStyle w:val="normal1"/>
        <w:widowControl w:val="false"/>
        <w:numPr>
          <w:ilvl w:val="2"/>
          <w:numId w:val="1"/>
        </w:numPr>
        <w:spacing w:lineRule="auto" w:line="240"/>
        <w:ind w:hanging="360" w:left="2160"/>
        <w:rPr/>
      </w:pPr>
      <w:r>
        <w:rPr/>
        <w:t>Financial Strategies on Data</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Data</w:t>
      </w:r>
    </w:p>
    <w:p>
      <w:pPr>
        <w:pStyle w:val="normal1"/>
        <w:widowControl w:val="false"/>
        <w:numPr>
          <w:ilvl w:val="2"/>
          <w:numId w:val="1"/>
        </w:numPr>
        <w:spacing w:lineRule="auto" w:line="240"/>
        <w:ind w:hanging="360" w:left="2160"/>
        <w:rPr/>
      </w:pPr>
      <w:r>
        <w:rPr/>
        <w:t>National Investments in Data</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Data</w:t>
      </w:r>
    </w:p>
    <w:p>
      <w:pPr>
        <w:pStyle w:val="normal1"/>
        <w:widowControl w:val="false"/>
        <w:numPr>
          <w:ilvl w:val="2"/>
          <w:numId w:val="1"/>
        </w:numPr>
        <w:spacing w:lineRule="auto" w:line="240"/>
        <w:ind w:hanging="360" w:left="2160"/>
        <w:rPr/>
      </w:pPr>
      <w:r>
        <w:rPr/>
        <w:t>Yearly Trends in Practices on Data</w:t>
      </w:r>
    </w:p>
    <w:p>
      <w:pPr>
        <w:pStyle w:val="normal1"/>
        <w:widowControl w:val="false"/>
        <w:numPr>
          <w:ilvl w:val="0"/>
          <w:numId w:val="1"/>
        </w:numPr>
        <w:spacing w:lineRule="auto" w:line="240"/>
        <w:ind w:hanging="360" w:left="720"/>
        <w:rPr/>
      </w:pPr>
      <w:r>
        <w:rPr/>
        <w:t>Software</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Software</w:t>
      </w:r>
    </w:p>
    <w:p>
      <w:pPr>
        <w:pStyle w:val="normal1"/>
        <w:widowControl w:val="false"/>
        <w:numPr>
          <w:ilvl w:val="2"/>
          <w:numId w:val="1"/>
        </w:numPr>
        <w:spacing w:lineRule="auto" w:line="240"/>
        <w:ind w:hanging="360" w:left="2160"/>
        <w:rPr/>
      </w:pPr>
      <w:r>
        <w:rPr/>
        <w:t>Financial Strategy on Software</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Software</w:t>
      </w:r>
    </w:p>
    <w:p>
      <w:pPr>
        <w:pStyle w:val="normal1"/>
        <w:widowControl w:val="false"/>
        <w:numPr>
          <w:ilvl w:val="2"/>
          <w:numId w:val="1"/>
        </w:numPr>
        <w:spacing w:lineRule="auto" w:line="240"/>
        <w:ind w:hanging="360" w:left="2160"/>
        <w:rPr/>
      </w:pPr>
      <w:r>
        <w:rPr/>
        <w:t>National Investments in Software</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Software</w:t>
      </w:r>
    </w:p>
    <w:p>
      <w:pPr>
        <w:pStyle w:val="normal1"/>
        <w:widowControl w:val="false"/>
        <w:numPr>
          <w:ilvl w:val="2"/>
          <w:numId w:val="1"/>
        </w:numPr>
        <w:spacing w:lineRule="auto" w:line="240"/>
        <w:ind w:hanging="360" w:left="2160"/>
        <w:rPr/>
      </w:pPr>
      <w:r>
        <w:rPr/>
        <w:t>Yearly Trends in Practices on Software</w:t>
      </w:r>
    </w:p>
    <w:p>
      <w:pPr>
        <w:pStyle w:val="normal1"/>
        <w:widowControl w:val="false"/>
        <w:numPr>
          <w:ilvl w:val="0"/>
          <w:numId w:val="1"/>
        </w:numPr>
        <w:spacing w:lineRule="auto" w:line="240"/>
        <w:ind w:hanging="360" w:left="720"/>
        <w:rPr/>
      </w:pPr>
      <w:r>
        <w:rPr/>
        <w:t>Services</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Services</w:t>
      </w:r>
    </w:p>
    <w:p>
      <w:pPr>
        <w:pStyle w:val="normal1"/>
        <w:widowControl w:val="false"/>
        <w:numPr>
          <w:ilvl w:val="2"/>
          <w:numId w:val="1"/>
        </w:numPr>
        <w:spacing w:lineRule="auto" w:line="240"/>
        <w:ind w:hanging="360" w:left="2160"/>
        <w:rPr/>
      </w:pPr>
      <w:r>
        <w:rPr/>
        <w:t>Financial Strategy on Services</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Services</w:t>
      </w:r>
    </w:p>
    <w:p>
      <w:pPr>
        <w:pStyle w:val="normal1"/>
        <w:widowControl w:val="false"/>
        <w:numPr>
          <w:ilvl w:val="2"/>
          <w:numId w:val="1"/>
        </w:numPr>
        <w:spacing w:lineRule="auto" w:line="240"/>
        <w:ind w:hanging="360" w:left="2160"/>
        <w:rPr/>
      </w:pPr>
      <w:r>
        <w:rPr/>
        <w:t>National Investments in Services</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Services</w:t>
      </w:r>
    </w:p>
    <w:p>
      <w:pPr>
        <w:sectPr>
          <w:footerReference w:type="even" r:id="rId2"/>
          <w:footerReference w:type="default" r:id="rId3"/>
          <w:footerReference w:type="first" r:id="rId4"/>
          <w:type w:val="nextPage"/>
          <w:pgSz w:w="11906" w:h="16838"/>
          <w:pgMar w:left="1133" w:right="1133" w:gutter="0" w:header="0" w:top="1133" w:footer="720" w:bottom="1133"/>
          <w:pgNumType w:start="1" w:fmt="decimal"/>
          <w:formProt w:val="false"/>
          <w:textDirection w:val="lrTb"/>
          <w:docGrid w:type="default" w:linePitch="100" w:charSpace="4096"/>
        </w:sectPr>
        <w:pStyle w:val="normal1"/>
        <w:widowControl w:val="false"/>
        <w:numPr>
          <w:ilvl w:val="2"/>
          <w:numId w:val="1"/>
        </w:numPr>
        <w:spacing w:lineRule="auto" w:line="240"/>
        <w:ind w:hanging="360" w:left="2160"/>
        <w:rPr/>
      </w:pPr>
      <w:r>
        <w:rPr/>
        <w:t>Yearly Trends in Practices on Services</w:t>
      </w:r>
    </w:p>
    <w:p>
      <w:pPr>
        <w:pStyle w:val="normal1"/>
        <w:widowControl w:val="false"/>
        <w:numPr>
          <w:ilvl w:val="0"/>
          <w:numId w:val="1"/>
        </w:numPr>
        <w:spacing w:lineRule="auto" w:line="240"/>
        <w:ind w:hanging="360" w:left="720"/>
        <w:rPr/>
      </w:pPr>
      <w:r>
        <w:rPr/>
        <w:t>Infrastructure</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Policies on Infrastructure</w:t>
      </w:r>
    </w:p>
    <w:p>
      <w:pPr>
        <w:pStyle w:val="normal1"/>
        <w:widowControl w:val="false"/>
        <w:numPr>
          <w:ilvl w:val="2"/>
          <w:numId w:val="1"/>
        </w:numPr>
        <w:spacing w:lineRule="auto" w:line="240"/>
        <w:ind w:hanging="360" w:left="2160"/>
        <w:rPr/>
      </w:pPr>
      <w:r>
        <w:rPr/>
        <w:t>Financial Strategies on Infrastructure</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Infrastructure</w:t>
      </w:r>
    </w:p>
    <w:p>
      <w:pPr>
        <w:pStyle w:val="normal1"/>
        <w:widowControl w:val="false"/>
        <w:numPr>
          <w:ilvl w:val="2"/>
          <w:numId w:val="1"/>
        </w:numPr>
        <w:spacing w:lineRule="auto" w:line="240"/>
        <w:ind w:hanging="360" w:left="2160"/>
        <w:rPr/>
      </w:pPr>
      <w:r>
        <w:rPr/>
        <w:t>National Investments in Infrastructure</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Infrastructure</w:t>
      </w:r>
    </w:p>
    <w:p>
      <w:pPr>
        <w:pStyle w:val="normal1"/>
        <w:widowControl w:val="false"/>
        <w:numPr>
          <w:ilvl w:val="2"/>
          <w:numId w:val="1"/>
        </w:numPr>
        <w:spacing w:lineRule="auto" w:line="240"/>
        <w:ind w:hanging="360" w:left="2160"/>
        <w:rPr/>
      </w:pPr>
      <w:r>
        <w:rPr/>
        <w:t>Yearly Trends in Practices on Infrastructure</w:t>
      </w:r>
    </w:p>
    <w:p>
      <w:pPr>
        <w:pStyle w:val="normal1"/>
        <w:widowControl w:val="false"/>
        <w:numPr>
          <w:ilvl w:val="0"/>
          <w:numId w:val="1"/>
        </w:numPr>
        <w:spacing w:lineRule="auto" w:line="240"/>
        <w:ind w:hanging="360" w:left="720"/>
        <w:rPr/>
      </w:pPr>
      <w:r>
        <w:rPr/>
        <w:t>Skills/training</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Skills/training</w:t>
      </w:r>
    </w:p>
    <w:p>
      <w:pPr>
        <w:pStyle w:val="normal1"/>
        <w:widowControl w:val="false"/>
        <w:numPr>
          <w:ilvl w:val="2"/>
          <w:numId w:val="1"/>
        </w:numPr>
        <w:spacing w:lineRule="auto" w:line="240"/>
        <w:ind w:hanging="360" w:left="2160"/>
        <w:rPr/>
      </w:pPr>
      <w:r>
        <w:rPr/>
        <w:t>Financial Strategy on Skills/training</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Skills/training</w:t>
      </w:r>
    </w:p>
    <w:p>
      <w:pPr>
        <w:pStyle w:val="normal1"/>
        <w:widowControl w:val="false"/>
        <w:numPr>
          <w:ilvl w:val="2"/>
          <w:numId w:val="1"/>
        </w:numPr>
        <w:spacing w:lineRule="auto" w:line="240"/>
        <w:ind w:hanging="360" w:left="2160"/>
        <w:rPr/>
      </w:pPr>
      <w:r>
        <w:rPr/>
        <w:t>National Investments in Skills/training</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Skills/training</w:t>
      </w:r>
    </w:p>
    <w:p>
      <w:pPr>
        <w:pStyle w:val="normal1"/>
        <w:widowControl w:val="false"/>
        <w:numPr>
          <w:ilvl w:val="2"/>
          <w:numId w:val="1"/>
        </w:numPr>
        <w:spacing w:lineRule="auto" w:line="240"/>
        <w:ind w:hanging="360" w:left="2160"/>
        <w:rPr/>
      </w:pPr>
      <w:r>
        <w:rPr/>
        <w:t>Yearly Trends in Practices on Skills/training</w:t>
      </w:r>
    </w:p>
    <w:p>
      <w:pPr>
        <w:pStyle w:val="normal1"/>
        <w:widowControl w:val="false"/>
        <w:numPr>
          <w:ilvl w:val="0"/>
          <w:numId w:val="1"/>
        </w:numPr>
        <w:spacing w:lineRule="auto" w:line="240"/>
        <w:ind w:hanging="360" w:left="720"/>
        <w:rPr/>
      </w:pPr>
      <w:r>
        <w:rPr/>
        <w:t>Assessment</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Assessment</w:t>
      </w:r>
    </w:p>
    <w:p>
      <w:pPr>
        <w:pStyle w:val="normal1"/>
        <w:widowControl w:val="false"/>
        <w:numPr>
          <w:ilvl w:val="2"/>
          <w:numId w:val="1"/>
        </w:numPr>
        <w:spacing w:lineRule="auto" w:line="240"/>
        <w:ind w:hanging="360" w:left="2160"/>
        <w:rPr/>
      </w:pPr>
      <w:r>
        <w:rPr/>
        <w:t>Financial Strategy on Assessment</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Assessment</w:t>
      </w:r>
    </w:p>
    <w:p>
      <w:pPr>
        <w:pStyle w:val="normal1"/>
        <w:widowControl w:val="false"/>
        <w:numPr>
          <w:ilvl w:val="2"/>
          <w:numId w:val="1"/>
        </w:numPr>
        <w:spacing w:lineRule="auto" w:line="240"/>
        <w:ind w:hanging="360" w:left="2160"/>
        <w:rPr/>
      </w:pPr>
      <w:r>
        <w:rPr/>
        <w:t>National Investments in Assessment</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Assessment</w:t>
      </w:r>
    </w:p>
    <w:p>
      <w:pPr>
        <w:pStyle w:val="normal1"/>
        <w:widowControl w:val="false"/>
        <w:numPr>
          <w:ilvl w:val="2"/>
          <w:numId w:val="1"/>
        </w:numPr>
        <w:spacing w:lineRule="auto" w:line="240"/>
        <w:ind w:hanging="360" w:left="2160"/>
        <w:rPr/>
      </w:pPr>
      <w:r>
        <w:rPr/>
        <w:t>Yearly Trends in Practices on Assessment</w:t>
      </w:r>
    </w:p>
    <w:p>
      <w:pPr>
        <w:pStyle w:val="normal1"/>
        <w:widowControl w:val="false"/>
        <w:numPr>
          <w:ilvl w:val="0"/>
          <w:numId w:val="1"/>
        </w:numPr>
        <w:spacing w:lineRule="auto" w:line="240"/>
        <w:ind w:hanging="360" w:left="720"/>
        <w:rPr/>
      </w:pPr>
      <w:r>
        <w:rPr/>
        <w:t>Engagement</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Engagement</w:t>
      </w:r>
    </w:p>
    <w:p>
      <w:pPr>
        <w:pStyle w:val="normal1"/>
        <w:widowControl w:val="false"/>
        <w:numPr>
          <w:ilvl w:val="2"/>
          <w:numId w:val="1"/>
        </w:numPr>
        <w:spacing w:lineRule="auto" w:line="240"/>
        <w:ind w:hanging="360" w:left="2160"/>
        <w:rPr/>
      </w:pPr>
      <w:r>
        <w:rPr/>
        <w:t>Financial Strategy on Engagement</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Engagement</w:t>
      </w:r>
    </w:p>
    <w:p>
      <w:pPr>
        <w:pStyle w:val="normal1"/>
        <w:widowControl w:val="false"/>
        <w:numPr>
          <w:ilvl w:val="2"/>
          <w:numId w:val="1"/>
        </w:numPr>
        <w:spacing w:lineRule="auto" w:line="240"/>
        <w:ind w:hanging="360" w:left="2160"/>
        <w:rPr/>
      </w:pPr>
      <w:r>
        <w:rPr/>
        <w:t>National Investments in Engagement</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Engagement</w:t>
      </w:r>
    </w:p>
    <w:p>
      <w:pPr>
        <w:pStyle w:val="normal1"/>
        <w:widowControl w:val="false"/>
        <w:numPr>
          <w:ilvl w:val="2"/>
          <w:numId w:val="1"/>
        </w:numPr>
        <w:spacing w:lineRule="auto" w:line="240"/>
        <w:ind w:hanging="360" w:left="2160"/>
        <w:rPr/>
      </w:pPr>
      <w:r>
        <w:rPr/>
        <w:t>Yearly Trends in Practices on Engagement</w:t>
      </w:r>
    </w:p>
    <w:p>
      <w:pPr>
        <w:pStyle w:val="normal1"/>
        <w:widowControl w:val="false"/>
        <w:numPr>
          <w:ilvl w:val="0"/>
          <w:numId w:val="1"/>
        </w:numPr>
        <w:spacing w:lineRule="auto" w:line="240"/>
        <w:ind w:hanging="360" w:left="720"/>
        <w:rPr/>
      </w:pPr>
      <w:r>
        <w:rPr/>
        <w:t>Total Investments in EOSC and Open Science</w:t>
      </w:r>
    </w:p>
    <w:p>
      <w:pPr>
        <w:pStyle w:val="normal1"/>
        <w:widowControl w:val="false"/>
        <w:numPr>
          <w:ilvl w:val="1"/>
          <w:numId w:val="1"/>
        </w:numPr>
        <w:spacing w:lineRule="auto" w:line="240"/>
        <w:ind w:hanging="360" w:left="1440"/>
        <w:rPr/>
      </w:pPr>
      <w:r>
        <w:rPr/>
        <w:t>Total Investments in Millions of Euros</w:t>
      </w:r>
    </w:p>
    <w:p>
      <w:pPr>
        <w:pStyle w:val="normal1"/>
        <w:widowControl w:val="false"/>
        <w:numPr>
          <w:ilvl w:val="1"/>
          <w:numId w:val="1"/>
        </w:numPr>
        <w:spacing w:lineRule="auto" w:line="240"/>
        <w:ind w:hanging="360" w:left="1440"/>
        <w:rPr/>
      </w:pPr>
      <w:r>
        <w:rPr/>
        <w:t>Total Investments per 1000 FTE Researchers</w:t>
      </w:r>
    </w:p>
    <w:p>
      <w:pPr>
        <w:pStyle w:val="normal1"/>
        <w:widowControl w:val="false"/>
        <w:spacing w:lineRule="auto" w:line="240"/>
        <w:rPr/>
      </w:pPr>
      <w:r>
        <w:rPr/>
        <w:t>References</w:t>
      </w:r>
    </w:p>
    <w:sectPr>
      <w:footerReference w:type="even" r:id="rId5"/>
      <w:footerReference w:type="default" r:id="rId6"/>
      <w:footerReference w:type="first" r:id="rId7"/>
      <w:type w:val="nextPage"/>
      <w:pgSz w:w="11906" w:h="16838"/>
      <w:pgMar w:left="1133" w:right="1133" w:gutter="0" w:header="0" w:top="1133" w:footer="720" w:bottom="1133"/>
      <w:pgNumType w:fmt="decimal"/>
      <w:formProt w:val="false"/>
      <w:textDirection w:val="lrTb"/>
      <w:docGrid w:type="default" w:linePitch="10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Gareth O'Neill" w:date="2025-09-22T07:28:28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To be generated every year</w:t>
      </w:r>
    </w:p>
  </w:comment>
  <w:comment w:id="1" w:author="Gareth O'Neill" w:date="2025-09-22T10:13:50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Table 2 in report 2023 as example: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2" w:author="Gareth O'Neill" w:date="2025-09-22T10:13:57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Table 3 in report 2023 as example: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3" w:author="Gareth O'Neill" w:date="2025-09-22T10:14:16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Figure 1 in report 2023 as example: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4" w:author="Gareth O'Neill" w:date="2025-09-22T09:51:50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For the maps we only show EU countries</w:t>
      </w:r>
    </w:p>
  </w:comment>
  <w:comment w:id="5" w:author="Gareth O'Neill" w:date="2025-09-22T10:14:23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Figure 2 in report 2023 as example: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6" w:author="Gareth O'Neill" w:date="2025-09-22T10:15:29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Figure 19 in report 2023 as example: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7" w:author="Gareth O'Neill" w:date="2025-09-24T08:59:40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9" w:author="Gareth O'Neill" w:date="2025-09-24T08:59:40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8" w:author="Gareth O'Neill" w:date="2025-09-24T08:59:41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10" w:author="Gareth O'Neill" w:date="2025-09-24T08:59:40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12" w:author="Gareth O'Neill" w:date="2025-09-24T08:59:40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11" w:author="Gareth O'Neill" w:date="2025-09-24T08:59:41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13" w:author="Gareth O'Neill" w:date="2025-09-24T13:43:07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Figure 159 in report 2023 as example: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14" w:author="Gareth O'Neill" w:date="2025-09-24T13:43:08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Figure 160 in report 2023 as example:</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15" w:author="Gareth O'Neill" w:date="2025-09-26T09:15:59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Here we are looking globally at the total investments per 1000 FTE researchers of the countries responding positively to having national investments (so excluding countries which did not respond or responded zero to national investments)</w:t>
      </w:r>
    </w:p>
    <w:p>
      <w:pPr>
        <w:overflowPunct w:val="true"/>
        <w:spacing w:lineRule="auto" w:line="240"/>
        <w:rPr/>
      </w:pPr>
      <w:r>
        <w:rPr>
          <w:rFonts w:ascii="Liberation Serif" w:hAnsi="Liberation Serif" w:eastAsia="DejaVu Sans" w:cs="Noto Sans Arabic"/>
          <w:sz w:val="24"/>
          <w:szCs w:val="24"/>
          <w:lang w:val="en-US" w:eastAsia="en-US" w:bidi="en-US"/>
        </w:rPr>
      </w:r>
    </w:p>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This means that you need to sum up the total investments for the positively responding countries then divide by the total number of FTE researchers in those countries and finally multiply by 1000</w:t>
      </w:r>
    </w:p>
  </w:comment>
  <w:comment w:id="16" w:author="Gareth O'Neill" w:date="2025-09-24T13:43:09Z" w:initials="">
    <w:p>
      <w:pPr>
        <w:overflowPunct w:val="tru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This image should show only the figure for each year of the total amount of reported investments in open access to publications per 1000 FTE researchers only for those countries which reported investments</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 w:name="Open San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6</w:t>
    </w:r>
    <w:r>
      <w:rPr/>
      <w:fldChar w:fldCharType="end"/>
    </w:r>
    <w:r>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6</w:t>
    </w:r>
    <w:r>
      <w:rPr/>
      <w:fldChar w:fldCharType="end"/>
    </w:r>
    <w:r>
      <w:rPr/>
      <w:t xml:space="preserve"> of </w:t>
    </w:r>
    <w:r>
      <w:rPr/>
      <w:fldChar w:fldCharType="begin"/>
    </w:r>
    <w:r>
      <w:rPr/>
      <w:instrText xml:space="preserve"> NUMPAGES </w:instrText>
    </w:r>
    <w:r>
      <w:rPr/>
      <w:fldChar w:fldCharType="separate"/>
    </w:r>
    <w:r>
      <w:rPr/>
      <w:t>7</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7</w:t>
    </w:r>
    <w:r>
      <w:rPr/>
      <w:fldChar w:fldCharType="end"/>
    </w:r>
    <w:r>
      <w:rPr/>
      <w:t xml:space="preserve"> of </w:t>
    </w:r>
    <w:r>
      <w:rPr/>
      <w:fldChar w:fldCharType="begin"/>
    </w:r>
    <w:r>
      <w:rPr/>
      <w:instrText xml:space="preserve"> NUMPAGES </w:instrText>
    </w:r>
    <w:r>
      <w:rPr/>
      <w:fldChar w:fldCharType="separate"/>
    </w:r>
    <w:r>
      <w:rPr/>
      <w:t>7</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nl-NL"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nl-NL"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nl-NL"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216</TotalTime>
  <Application>LibreOffice/24.2.7.2$Linux_X86_64 LibreOffice_project/420$Build-2</Application>
  <AppVersion>15.0000</AppVersion>
  <Pages>7</Pages>
  <Words>2051</Words>
  <Characters>11294</Characters>
  <CharactersWithSpaces>13082</CharactersWithSpaces>
  <Paragraphs>183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2025-09-28T17:54:51Z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