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3"/>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start="720"/>
        <w:rPr>
          <w:rFonts w:ascii="Arial;sans-serif" w:hAnsi="Arial;sans-serif"/>
          <w:b w:val="false"/>
          <w:i w:val="false"/>
          <w:caps w:val="false"/>
          <w:smallCaps w:val="false"/>
          <w:strike w:val="false"/>
          <w:dstrike w:val="false"/>
          <w:color w:val="000000"/>
          <w:sz w:val="22"/>
          <w:u w:val="none"/>
          <w:effect w:val="none"/>
          <w:shd w:fill="auto" w:val="clear"/>
        </w:rPr>
      </w:pPr>
      <w:r>
        <w:rPr/>
      </w:r>
    </w:p>
    <w:p>
      <w:pPr>
        <w:pStyle w:val="BodyText"/>
        <w:numPr>
          <w:ilvl w:val="0"/>
          <w:numId w:val="3"/>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3"/>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3"/>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3"/>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3"/>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3"/>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3"/>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3"/>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904"/>
        <w:gridCol w:w="2578"/>
        <w:gridCol w:w="2577"/>
        <w:gridCol w:w="2569"/>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8"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w:t>
            </w:r>
            <w:r>
              <w:rPr>
                <w:rFonts w:eastAsia="Open Sans" w:cs="Open Sans" w:ascii="Open Sans" w:hAnsi="Open Sans"/>
                <w:kern w:val="0"/>
                <w:sz w:val="20"/>
                <w:szCs w:val="20"/>
                <w:lang w:val="nl-NL" w:eastAsia="zh-CN" w:bidi="hi-IN"/>
              </w:rPr>
              <w:t>r</w:t>
            </w:r>
            <w:r>
              <w:rPr>
                <w:rFonts w:eastAsia="Open Sans" w:cs="Open Sans" w:ascii="Open Sans" w:hAnsi="Open Sans"/>
                <w:kern w:val="0"/>
                <w:sz w:val="20"/>
                <w:szCs w:val="20"/>
                <w:lang w:val="nl-NL" w:eastAsia="zh-CN" w:bidi="hi-IN"/>
              </w:rPr>
              <w:t>y Use Cases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8"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b/>
          <w:bCs/>
        </w:rPr>
        <w:t>Publicatio</w:t>
      </w:r>
      <w:r>
        <w:rPr>
          <w:b/>
          <w:bCs/>
        </w:rPr>
        <w:t>n</w:t>
      </w:r>
    </w:p>
    <w:p>
      <w:pPr>
        <w:pStyle w:val="normal1"/>
        <w:rPr>
          <w:b/>
          <w:bCs/>
        </w:rPr>
      </w:pPr>
      <w:r>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w:t>
      </w:r>
      <w:r>
        <w:rPr>
          <w:i/>
        </w:rPr>
        <w:t xml:space="preserve"> i</w:t>
      </w:r>
      <w:r>
        <w:rPr>
          <w:i/>
        </w:rPr>
        <w:t>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w:t>
      </w:r>
      <w:r>
        <w:rPr/>
        <w:t xml:space="preserve"> &gt;</w:t>
      </w:r>
      <w:r>
        <w:rPr/>
        <w:t xml:space="preserve">1000 €K </w:t>
      </w:r>
      <w:r>
        <w:rPr/>
        <w:t>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1" w:name="__DdeLink__2403_2503287465"/>
      <w:r>
        <w:rPr>
          <w:i/>
        </w:rPr>
        <w:t>Number of EU Countries with National Investments in Open Access to Publications per 1000 FTE Researchers</w:t>
      </w:r>
      <w:bookmarkEnd w:id="1"/>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xml:space="preserve">} </w:t>
      </w:r>
      <w:r>
        <w:rPr/>
        <w:t>s</w:t>
      </w:r>
      <w:r>
        <w:rPr/>
        <w:t>ince Survey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2" w:name="__DdeLink__4078_473164209"/>
      <w:r>
        <w:rPr>
          <w:i/>
          <w:iCs/>
        </w:rPr>
        <w:t>national policy on data management</w:t>
      </w:r>
      <w:bookmarkEnd w:id="2"/>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3" w:name="_Hlk213851171"/>
      <w:r>
        <w:rPr/>
        <w:t>{</w:t>
      </w:r>
      <w:r>
        <w:rPr>
          <w:highlight w:val="yellow"/>
        </w:rPr>
        <w:t>Year}</w:t>
      </w:r>
      <w:r>
        <w:rPr/>
        <w:t xml:space="preserve"> </w:t>
      </w:r>
      <w:bookmarkEnd w:id="3"/>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xml:space="preserve">} </w:t>
      </w:r>
      <w:r>
        <w:rPr/>
        <w:t>a</w:t>
      </w:r>
      <w:r>
        <w:rPr/>
        <w:t>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w:t>
      </w:r>
      <w:r>
        <w:rPr>
          <w:i/>
          <w:iCs/>
        </w:rPr>
        <w:t xml:space="preserve"> i</w:t>
      </w:r>
      <w:r>
        <w:rPr>
          <w:i/>
          <w:iCs/>
        </w:rPr>
        <w:t>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w:t>
      </w:r>
      <w:r>
        <w:rPr/>
        <w:t xml:space="preserve"> &gt;</w:t>
      </w:r>
      <w:r>
        <w:rPr/>
        <w:t>1</w:t>
      </w:r>
      <w:r>
        <w:rPr/>
        <w:t>000 €K per 1000 FTE researchers as shown in Figure 39.</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w:t>
      </w:r>
      <w:r>
        <w:rPr>
          <w:i/>
          <w:iCs/>
        </w:rPr>
        <w:t xml:space="preserve"> i</w:t>
      </w:r>
      <w:r>
        <w:rPr>
          <w:i/>
          <w:iCs/>
        </w:rPr>
        <w:t>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w:t>
      </w:r>
      <w:r>
        <w:rPr/>
        <w:t xml:space="preserve"> &gt;</w:t>
      </w:r>
      <w:r>
        <w:rPr/>
        <w:t>1</w:t>
      </w:r>
      <w:r>
        <w:rPr/>
        <w:t>000 €K per 1000 FTE researchers as shown in Figure 40.</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 xml:space="preserve">lYear} </w:t>
      </w:r>
      <w:r>
        <w:rPr>
          <w:i/>
          <w:iCs/>
        </w:rPr>
        <w:t>i</w:t>
      </w:r>
      <w:r>
        <w:rPr>
          <w:i/>
          <w:iCs/>
        </w:rPr>
        <w:t>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w:t>
      </w:r>
      <w:r>
        <w:rPr/>
        <w:t xml:space="preserve"> &gt;</w:t>
      </w:r>
      <w:r>
        <w:rPr/>
        <w:t>1</w:t>
      </w:r>
      <w:r>
        <w:rPr/>
        <w:t>000 €K per 1000 FTE researchers as shown in Figure 41.</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shd w:fill="FFFF00" w:val="clear"/>
        </w:rPr>
        <w:t>Question10[3]</w:t>
      </w:r>
      <w:r>
        <w:rPr/>
        <w:t xml:space="preserve">} </w:t>
      </w:r>
      <w:r>
        <w:rPr/>
        <w:t>s</w:t>
      </w:r>
      <w:r>
        <w:rPr/>
        <w:t>ince Survey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shd w:fill="FFFF00" w:val="clear"/>
        </w:rPr>
        <w:t>Question14[3]</w:t>
      </w:r>
      <w:r>
        <w:rPr/>
        <w:t xml:space="preserve">} </w:t>
      </w:r>
      <w:r>
        <w:rPr/>
        <w:t>s</w:t>
      </w:r>
      <w:r>
        <w:rPr/>
        <w:t>ince Survey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w:t>
      </w:r>
      <w:r>
        <w:rPr>
          <w:shd w:fill="auto" w:val="clear"/>
        </w:rPr>
        <w:t xml:space="preserve"> f</w:t>
      </w:r>
      <w:r>
        <w:rPr>
          <w:shd w:fill="auto" w:val="clear"/>
        </w:rPr>
        <w:t>rom the previous year</w:t>
      </w:r>
      <w:r>
        <w:rPr/>
        <w:t xml:space="preserve"> and {</w:t>
      </w:r>
      <w:r>
        <w:rPr>
          <w:shd w:fill="FFFF00" w:val="clear"/>
        </w:rPr>
        <w:t>Question18[3]</w:t>
      </w:r>
      <w:r>
        <w:rPr/>
        <w:t xml:space="preserve">} </w:t>
      </w:r>
      <w:r>
        <w:rPr/>
        <w:t>s</w:t>
      </w:r>
      <w:r>
        <w:rPr/>
        <w:t>ince Survey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xml:space="preserve">} </w:t>
      </w:r>
      <w:r>
        <w:rPr/>
        <w:t>s</w:t>
      </w:r>
      <w:r>
        <w:rPr/>
        <w:t>ince Survey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xml:space="preserve">} </w:t>
      </w:r>
      <w:r>
        <w:rPr/>
        <w:t>s</w:t>
      </w:r>
      <w:r>
        <w:rPr/>
        <w:t>ince Survey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xml:space="preserve">} </w:t>
      </w:r>
      <w:r>
        <w:rPr/>
        <w:t>s</w:t>
      </w:r>
      <w:r>
        <w:rPr/>
        <w:t>ince Survey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xml:space="preserve">} </w:t>
      </w:r>
      <w:r>
        <w:rPr/>
        <w:t>s</w:t>
      </w:r>
      <w:r>
        <w:rPr/>
        <w:t>ince Survey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xml:space="preserve">} </w:t>
      </w:r>
      <w:r>
        <w:rPr/>
        <w:t>s</w:t>
      </w:r>
      <w:r>
        <w:rPr/>
        <w:t>ince Survey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xml:space="preserve">} </w:t>
      </w:r>
      <w:r>
        <w:rPr/>
        <w:t>s</w:t>
      </w:r>
      <w:r>
        <w:rPr/>
        <w:t>ince Survey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w:t>
      </w:r>
      <w:r>
        <w:rPr>
          <w:shd w:fill="FFFF00" w:val="clear"/>
        </w:rPr>
        <w:t>_trend</w:t>
      </w:r>
      <w:r>
        <w:rPr>
          <w:shd w:fill="FFFF00" w:val="clear"/>
        </w:rPr>
        <w:t>[0]</w:t>
      </w:r>
      <w:r>
        <w:rPr/>
        <w:t xml:space="preserve">} </w:t>
      </w:r>
      <w:r>
        <w:rPr/>
        <w:t>i</w:t>
      </w:r>
      <w:r>
        <w:rPr/>
        <w:t>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w:t>
      </w:r>
      <w:r>
        <w:rPr>
          <w:shd w:fill="FFFF00" w:val="clear"/>
        </w:rPr>
        <w:t>_trend</w:t>
      </w:r>
      <w:r>
        <w:rPr>
          <w:shd w:fill="FFFF00" w:val="clear"/>
        </w:rPr>
        <w:t>[1]</w:t>
      </w:r>
      <w:r>
        <w:rPr/>
        <w:t xml:space="preserve">} </w:t>
      </w:r>
      <w:r>
        <w:rPr/>
        <w:t>s</w:t>
      </w:r>
      <w:r>
        <w:rPr/>
        <w:t>ince Survey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w:t>
      </w:r>
      <w:r>
        <w:rPr>
          <w:shd w:fill="FFFF00" w:val="clear"/>
        </w:rPr>
        <w:t>_trend</w:t>
      </w:r>
      <w:r>
        <w:rPr>
          <w:shd w:fill="FFFF00" w:val="clear"/>
        </w:rPr>
        <w:t>[0]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w:t>
      </w:r>
      <w:r>
        <w:rPr>
          <w:shd w:fill="FFFF00" w:val="clear"/>
        </w:rPr>
        <w:t>_trend</w:t>
      </w:r>
      <w:r>
        <w:rPr>
          <w:shd w:fill="FFFF00" w:val="clear"/>
        </w:rPr>
        <w:t>[1]</w:t>
      </w:r>
      <w:r>
        <w:rPr/>
        <w:t xml:space="preserve">} </w:t>
      </w:r>
      <w:r>
        <w:rPr/>
        <w:t>s</w:t>
      </w:r>
      <w:r>
        <w:rPr/>
        <w:t>ince Survey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xml:space="preserve">} </w:t>
      </w:r>
      <w:r>
        <w:rPr/>
        <w:t>s</w:t>
      </w:r>
      <w:r>
        <w:rPr/>
        <w:t>ince Survey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 xml:space="preserve">lYear} </w:t>
      </w:r>
      <w:r>
        <w:rPr>
          <w:i/>
          <w:iCs/>
        </w:rPr>
        <w:t>i</w:t>
      </w:r>
      <w:r>
        <w:rPr>
          <w:i/>
          <w:iCs/>
        </w:rPr>
        <w:t>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w:t>
      </w:r>
      <w:r>
        <w:rPr/>
        <w:t xml:space="preserve"> &gt;</w:t>
      </w:r>
      <w:r>
        <w:rPr/>
        <w:t>1</w:t>
      </w:r>
      <w:r>
        <w:rPr/>
        <w:t>000 €K per 1000 FTE researchers as shown in Figure 58.</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w:t>
      </w:r>
      <w:r>
        <w:rPr>
          <w:shd w:fill="FFFF00" w:val="clear"/>
        </w:rPr>
        <w:t>2</w:t>
      </w:r>
      <w:r>
        <w:rPr>
          <w:shd w:fill="FFFF00" w:val="clear"/>
        </w:rPr>
        <w:t>]</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shd w:fill="FFFF00" w:val="clear"/>
        </w:rPr>
        <w:t>Question22</w:t>
      </w:r>
      <w:r>
        <w:rPr>
          <w:shd w:fill="FFFF00" w:val="clear"/>
        </w:rPr>
        <w:t>[3]</w:t>
      </w:r>
      <w:r>
        <w:rPr/>
        <w:t>}</w:t>
      </w:r>
      <w:r>
        <w:rPr/>
        <w:t xml:space="preserve"> s</w:t>
      </w:r>
      <w:r>
        <w:rPr/>
        <w:t>ince Survey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xml:space="preserve">} </w:t>
      </w:r>
      <w:r>
        <w:rPr/>
        <w:t>s</w:t>
      </w:r>
      <w:r>
        <w:rPr/>
        <w:t>ince Survey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xml:space="preserve">} </w:t>
      </w:r>
      <w:r>
        <w:rPr/>
        <w:t>s</w:t>
      </w:r>
      <w:r>
        <w:rPr/>
        <w:t>ince Survey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xml:space="preserve">} </w:t>
      </w:r>
      <w:r>
        <w:rPr/>
        <w:t>since</w:t>
      </w:r>
      <w:r>
        <w:rPr/>
        <w:t xml:space="preserve"> Survey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Services</w:t>
      </w:r>
    </w:p>
    <w:p>
      <w:pPr>
        <w:pStyle w:val="normal2"/>
        <w:widowControl w:val="false"/>
        <w:spacing w:lineRule="auto" w:line="240"/>
        <w:rPr/>
      </w:pPr>
      <w:r>
        <w:rPr/>
      </w:r>
    </w:p>
    <w:p>
      <w:pPr>
        <w:pStyle w:val="normal2"/>
        <w:widowControl w:val="false"/>
        <w:spacing w:lineRule="auto" w:line="240"/>
        <w:rPr/>
      </w:pPr>
      <w:r>
        <w:rPr/>
        <w:t>The services category consists of one main topic: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Services</w:t>
      </w:r>
    </w:p>
    <w:p>
      <w:pPr>
        <w:pStyle w:val="normal2"/>
        <w:widowControl w:val="false"/>
        <w:spacing w:lineRule="auto" w:line="240"/>
        <w:rPr/>
      </w:pPr>
      <w:r>
        <w:rPr/>
      </w:r>
    </w:p>
    <w:p>
      <w:pPr>
        <w:pStyle w:val="normal2"/>
        <w:widowControl w:val="false"/>
        <w:spacing w:lineRule="auto" w:line="240"/>
        <w:rPr/>
      </w:pPr>
      <w:r>
        <w:rPr/>
        <w:t>The first main policy question on offering services through EOSC in Survey {</w:t>
      </w:r>
      <w:r>
        <w:rPr>
          <w:highlight w:val="yellow"/>
        </w:rPr>
        <w:t>Year}</w:t>
      </w:r>
      <w:r>
        <w:rPr/>
        <w:t xml:space="preserve"> is </w:t>
      </w:r>
      <w:r>
        <w:rPr>
          <w:i/>
          <w:iCs/>
        </w:rPr>
        <w:t>Does your country have a national policy on offering services through EOSC?</w:t>
      </w:r>
      <w:r>
        <w:rPr/>
        <w:t xml:space="preserve"> (Q21) followed by </w:t>
      </w:r>
      <w:r>
        <w:rPr>
          <w:i/>
          <w:iCs/>
        </w:rPr>
        <w:t>Is this policy mandatory?</w:t>
      </w:r>
      <w:r>
        <w:rPr/>
        <w:t xml:space="preserve"> (Q21.1). 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 {</w:t>
      </w:r>
      <w:r>
        <w:rPr>
          <w:shd w:fill="FFFF00" w:val="clear"/>
        </w:rPr>
        <w:t>Question26</w:t>
      </w:r>
      <w:r>
        <w:rPr/>
        <w:t>} of responding EU countries have a national policy on offering services through EOSC, whereby {</w:t>
      </w:r>
      <w:r>
        <w:rPr>
          <w:shd w:fill="FFFF00" w:val="clear"/>
        </w:rPr>
        <w:t>Question26.1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{%chartImage47}</w:t>
      </w:r>
    </w:p>
    <w:p>
      <w:pPr>
        <w:pStyle w:val="normal2"/>
        <w:jc w:val="center"/>
        <w:rPr/>
      </w:pPr>
      <w:r>
        <w:rPr/>
      </w:r>
    </w:p>
    <w:p>
      <w:pPr>
        <w:pStyle w:val="normal2"/>
        <w:jc w:val="center"/>
        <w:rPr>
          <w:i/>
          <w:i/>
          <w:iCs/>
        </w:rPr>
      </w:pPr>
      <w:r>
        <w:rPr>
          <w:i/>
          <w:iCs/>
        </w:rPr>
        <w:t>Figure 63: Map of EU Countries with a National Policy on Offering Services through EOSC</w:t>
      </w:r>
    </w:p>
    <w:p>
      <w:pPr>
        <w:pStyle w:val="normal2"/>
        <w:widowControl w:val="false"/>
        <w:spacing w:lineRule="auto" w:line="240"/>
        <w:rPr/>
      </w:pPr>
      <w:r>
        <w:rPr/>
      </w:r>
    </w:p>
    <w:p>
      <w:pPr>
        <w:pStyle w:val="normal1"/>
        <w:jc w:val="center"/>
        <w:rPr>
          <w:i/>
          <w:i/>
        </w:rPr>
      </w:pPr>
      <w:r>
        <w:rPr>
          <w:i/>
          <w:highlight w:val="yellow"/>
        </w:rPr>
        <w:t>{%pieChartImage_46_0}</w:t>
      </w:r>
    </w:p>
    <w:p>
      <w:pPr>
        <w:pStyle w:val="normal1"/>
        <w:jc w:val="center"/>
        <w:rPr>
          <w:i/>
          <w:i/>
        </w:rPr>
      </w:pPr>
      <w:r>
        <w:rPr>
          <w:i/>
          <w:highlight w:val="yellow"/>
        </w:rPr>
        <w:t>{%pieChartImage_46_1}</w:t>
      </w:r>
    </w:p>
    <w:p>
      <w:pPr>
        <w:pStyle w:val="normal2"/>
        <w:jc w:val="center"/>
        <w:rPr/>
      </w:pPr>
      <w:r>
        <w:rPr/>
      </w:r>
    </w:p>
    <w:p>
      <w:pPr>
        <w:pStyle w:val="normal2"/>
        <w:jc w:val="center"/>
        <w:rPr/>
      </w:pPr>
      <w:r>
        <w:rPr>
          <w:i/>
          <w:iCs/>
        </w:rPr>
        <w:t>Figure 64: Share of EU Countries with a National Policy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Services</w:t>
      </w:r>
    </w:p>
    <w:p>
      <w:pPr>
        <w:pStyle w:val="normal2"/>
        <w:widowControl w:val="false"/>
        <w:spacing w:lineRule="auto" w:line="240"/>
        <w:rPr/>
      </w:pPr>
      <w:r>
        <w:rPr/>
      </w:r>
    </w:p>
    <w:p>
      <w:pPr>
        <w:pStyle w:val="normal2"/>
        <w:widowControl w:val="false"/>
        <w:spacing w:lineRule="auto" w:line="240"/>
        <w:rPr/>
      </w:pPr>
      <w:r>
        <w:rPr/>
        <w:t>The second main policy question on offering services through EOSC in Survey {</w:t>
      </w:r>
      <w:r>
        <w:rPr>
          <w:highlight w:val="yellow"/>
        </w:rPr>
        <w:t>Year}</w:t>
      </w:r>
      <w:r>
        <w:rPr/>
        <w:t xml:space="preserve"> is </w:t>
      </w:r>
      <w:r>
        <w:rPr>
          <w:i/>
          <w:iCs/>
        </w:rPr>
        <w:t>Does your country have a financial strategy on offering services through EOSC?</w:t>
      </w:r>
      <w:r>
        <w:rPr/>
        <w:t xml:space="preserve"> (Q22). {</w:t>
      </w:r>
      <w:r>
        <w:rPr>
          <w:shd w:fill="FFFF00" w:val="clear"/>
        </w:rPr>
        <w:t>Question27</w:t>
      </w:r>
      <w:r>
        <w:rPr/>
        <w:t>} of responding EU countries have a financial strategy on offering services through EOSC as shown in Figures 65 and 66.</w:t>
      </w:r>
    </w:p>
    <w:p>
      <w:pPr>
        <w:pStyle w:val="normal2"/>
        <w:widowControl w:val="false"/>
        <w:spacing w:lineRule="auto" w:line="240"/>
        <w:rPr/>
      </w:pPr>
      <w:r>
        <w:rPr/>
      </w:r>
    </w:p>
    <w:p>
      <w:pPr>
        <w:pStyle w:val="normal1"/>
        <w:jc w:val="center"/>
        <w:rPr>
          <w:i/>
          <w:i/>
        </w:rPr>
      </w:pPr>
      <w:r>
        <w:rPr>
          <w:i/>
          <w:highlight w:val="yellow"/>
        </w:rPr>
        <w:t>{%chartImage48}</w:t>
      </w:r>
    </w:p>
    <w:p>
      <w:pPr>
        <w:pStyle w:val="normal2"/>
        <w:jc w:val="center"/>
        <w:rPr/>
      </w:pPr>
      <w:r>
        <w:rPr/>
      </w:r>
    </w:p>
    <w:p>
      <w:pPr>
        <w:pStyle w:val="normal2"/>
        <w:jc w:val="center"/>
        <w:rPr/>
      </w:pPr>
      <w:r>
        <w:rPr>
          <w:i/>
          <w:iCs/>
        </w:rPr>
        <w:t>Figure 65: Map of EU Countries with a Financial Strategy on Offering Services through EOSC</w:t>
      </w:r>
    </w:p>
    <w:p>
      <w:pPr>
        <w:pStyle w:val="normal2"/>
        <w:widowControl w:val="false"/>
        <w:spacing w:lineRule="auto" w:line="240"/>
        <w:rPr/>
      </w:pPr>
      <w:r>
        <w:rPr/>
      </w:r>
    </w:p>
    <w:p>
      <w:pPr>
        <w:pStyle w:val="normal1"/>
        <w:jc w:val="center"/>
        <w:rPr>
          <w:i/>
          <w:i/>
        </w:rPr>
      </w:pPr>
      <w:r>
        <w:rPr>
          <w:i/>
          <w:highlight w:val="yellow"/>
        </w:rPr>
        <w:t>{%pieChartImage_47_0}</w:t>
      </w:r>
    </w:p>
    <w:p>
      <w:pPr>
        <w:pStyle w:val="normal2"/>
        <w:jc w:val="center"/>
        <w:rPr/>
      </w:pPr>
      <w:r>
        <w:rPr/>
      </w:r>
    </w:p>
    <w:p>
      <w:pPr>
        <w:pStyle w:val="normal2"/>
        <w:jc w:val="center"/>
        <w:rPr/>
      </w:pPr>
      <w:r>
        <w:rPr>
          <w:i/>
          <w:iCs/>
        </w:rPr>
        <w:t>Figure 66: Share of EU Countries with a Financial Strategy on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Services</w:t>
      </w:r>
    </w:p>
    <w:p>
      <w:pPr>
        <w:pStyle w:val="normal2"/>
        <w:widowControl w:val="false"/>
        <w:spacing w:lineRule="auto" w:line="240"/>
        <w:rPr/>
      </w:pPr>
      <w:r>
        <w:rPr/>
      </w:r>
    </w:p>
    <w:p>
      <w:pPr>
        <w:pStyle w:val="normal2"/>
        <w:widowControl w:val="false"/>
        <w:spacing w:lineRule="auto" w:line="240"/>
        <w:rPr/>
      </w:pPr>
      <w:r>
        <w:rPr/>
        <w:t>The first main practice question on offering services through EOSC in Survey {</w:t>
      </w:r>
      <w:r>
        <w:rPr>
          <w:highlight w:val="yellow"/>
        </w:rPr>
        <w:t>Year}</w:t>
      </w:r>
      <w:r>
        <w:rPr/>
        <w:t xml:space="preserve"> is </w:t>
      </w:r>
      <w:r>
        <w:rPr>
          <w:i/>
          <w:iCs/>
        </w:rPr>
        <w:t>Does your country have a national monitoring on offering services through EOSC?</w:t>
      </w:r>
      <w:r>
        <w:rPr/>
        <w:t xml:space="preserve"> (Q69). {</w:t>
      </w:r>
      <w:r>
        <w:rPr>
          <w:shd w:fill="FFFF00" w:val="clear"/>
        </w:rPr>
        <w:t>Question74</w:t>
      </w:r>
      <w:r>
        <w:rPr/>
        <w:t>} of responding EU countries have a national monitoring on offering services through EOSC as shown in Figures 67 and 68.</w:t>
      </w:r>
    </w:p>
    <w:p>
      <w:pPr>
        <w:pStyle w:val="normal2"/>
        <w:widowControl w:val="false"/>
        <w:spacing w:lineRule="auto" w:line="240"/>
        <w:rPr/>
      </w:pPr>
      <w:r>
        <w:rPr/>
      </w:r>
    </w:p>
    <w:p>
      <w:pPr>
        <w:pStyle w:val="normal1"/>
        <w:jc w:val="center"/>
        <w:rPr>
          <w:i/>
          <w:i/>
        </w:rPr>
      </w:pPr>
      <w:r>
        <w:rPr>
          <w:i/>
          <w:highlight w:val="yellow"/>
        </w:rPr>
        <w:t>{%chartImage49}</w:t>
      </w:r>
    </w:p>
    <w:p>
      <w:pPr>
        <w:pStyle w:val="normal2"/>
        <w:jc w:val="center"/>
        <w:rPr/>
      </w:pPr>
      <w:r>
        <w:rPr/>
      </w:r>
    </w:p>
    <w:p>
      <w:pPr>
        <w:pStyle w:val="normal2"/>
        <w:jc w:val="center"/>
        <w:rPr/>
      </w:pPr>
      <w:r>
        <w:rPr>
          <w:i/>
          <w:iCs/>
        </w:rPr>
        <w:t>Figure 67: Map of EU Countries with a National Monitoring on Offering Services through EOSC</w:t>
      </w:r>
    </w:p>
    <w:p>
      <w:pPr>
        <w:pStyle w:val="normal2"/>
        <w:widowControl w:val="false"/>
        <w:spacing w:lineRule="auto" w:line="240"/>
        <w:rPr/>
      </w:pPr>
      <w:r>
        <w:rPr/>
      </w:r>
    </w:p>
    <w:p>
      <w:pPr>
        <w:pStyle w:val="normal1"/>
        <w:jc w:val="center"/>
        <w:rPr>
          <w:i/>
          <w:i/>
        </w:rPr>
      </w:pPr>
      <w:r>
        <w:rPr>
          <w:i/>
          <w:highlight w:val="yellow"/>
        </w:rPr>
        <w:t>{%pieChartImage_48_0}</w:t>
      </w:r>
    </w:p>
    <w:p>
      <w:pPr>
        <w:pStyle w:val="normal2"/>
        <w:jc w:val="center"/>
        <w:rPr/>
      </w:pPr>
      <w:r>
        <w:rPr/>
      </w:r>
    </w:p>
    <w:p>
      <w:pPr>
        <w:pStyle w:val="normal2"/>
        <w:jc w:val="center"/>
        <w:rPr/>
      </w:pPr>
      <w:r>
        <w:rPr>
          <w:i/>
          <w:iCs/>
        </w:rPr>
        <w:t>Figure 68: Share of EU Countries with a National Monitoring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Services</w:t>
      </w:r>
    </w:p>
    <w:p>
      <w:pPr>
        <w:pStyle w:val="normal2"/>
        <w:widowControl w:val="false"/>
        <w:spacing w:lineRule="auto" w:line="240"/>
        <w:rPr/>
      </w:pPr>
      <w:r>
        <w:rPr/>
      </w:r>
    </w:p>
    <w:p>
      <w:pPr>
        <w:pStyle w:val="normal2"/>
        <w:widowControl w:val="false"/>
        <w:spacing w:lineRule="auto" w:line="240"/>
        <w:rPr/>
      </w:pPr>
      <w:r>
        <w:rPr/>
        <w:t>The second main practice question on offering services through EOSC in Survey {</w:t>
      </w:r>
      <w:r>
        <w:rPr>
          <w:highlight w:val="yellow"/>
        </w:rPr>
        <w:t>Year}</w:t>
      </w:r>
      <w:r>
        <w:rPr/>
        <w:t xml:space="preserve"> is </w:t>
      </w:r>
      <w:r>
        <w:rPr>
          <w:i/>
          <w:iCs/>
        </w:rPr>
        <w:t xml:space="preserve">How much did your country financially invest in offering services through EOSC in </w:t>
      </w:r>
      <w:r>
        <w:rPr/>
        <w:t>{</w:t>
      </w:r>
      <w:r>
        <w:rPr>
          <w:highlight w:val="yellow"/>
        </w:rPr>
        <w:t>Fisca</w:t>
      </w:r>
      <w:r>
        <w:rPr>
          <w:i/>
          <w:iCs/>
        </w:rPr>
        <w:t xml:space="preserve">lYear} </w:t>
      </w:r>
      <w:r>
        <w:rPr>
          <w:i/>
          <w:iCs/>
        </w:rPr>
        <w:t>i</w:t>
      </w:r>
      <w:r>
        <w:rPr>
          <w:i/>
          <w:iCs/>
        </w:rPr>
        <w:t>n millions of Euros?</w:t>
      </w:r>
      <w:r>
        <w:rPr/>
        <w:t xml:space="preserve"> (Q71). {</w:t>
      </w:r>
      <w:r>
        <w:rPr>
          <w:shd w:fill="FFFF00" w:val="clear"/>
        </w:rPr>
        <w:t>Question76[0]</w:t>
      </w:r>
      <w:r>
        <w:rPr/>
        <w:t>} of responding EU countries are not investing or have not stated the number of investments in offering services through EOSC. {</w:t>
      </w:r>
      <w:r>
        <w:rPr>
          <w:shd w:fill="FFFF00" w:val="clear"/>
        </w:rPr>
        <w:t>Question76[1]</w:t>
      </w:r>
      <w:r>
        <w:rPr/>
        <w:t xml:space="preserve">} </w:t>
      </w:r>
      <w:r>
        <w:rPr/>
        <w:t>o</w:t>
      </w:r>
      <w:r>
        <w:rPr/>
        <w:t>f EU countries invested &gt;0 to 50 €K, {</w:t>
      </w:r>
      <w:r>
        <w:rPr>
          <w:shd w:fill="FFFF00" w:val="clear"/>
        </w:rPr>
        <w:t>Question76[2]</w:t>
      </w:r>
      <w:r>
        <w:rPr/>
        <w:t>} &gt;50 to 100 €K {</w:t>
      </w:r>
      <w:r>
        <w:rPr>
          <w:shd w:fill="FFFF00" w:val="clear"/>
        </w:rPr>
        <w:t>Question76[3]</w:t>
      </w:r>
      <w:r>
        <w:rPr/>
        <w:t>} &gt;100 to 250 €K, {</w:t>
      </w:r>
      <w:r>
        <w:rPr>
          <w:shd w:fill="FFFF00" w:val="clear"/>
        </w:rPr>
        <w:t>Question76[4]</w:t>
      </w:r>
      <w:r>
        <w:rPr/>
        <w:t>} &gt;250 to 500 €K, {</w:t>
      </w:r>
      <w:r>
        <w:rPr>
          <w:shd w:fill="FFFF00" w:val="clear"/>
        </w:rPr>
        <w:t>Question76[5]</w:t>
      </w:r>
      <w:r>
        <w:rPr/>
        <w:t>} &gt;500 to 1000 €K, and {</w:t>
      </w:r>
      <w:r>
        <w:rPr>
          <w:shd w:fill="FFFF00" w:val="clear"/>
        </w:rPr>
        <w:t>Question76[6]</w:t>
      </w:r>
      <w:r>
        <w:rPr>
          <w:shd w:fill="auto" w:val="clear"/>
        </w:rPr>
        <w:t>}</w:t>
      </w:r>
      <w:r>
        <w:rPr/>
        <w:t xml:space="preserve"> &gt;</w:t>
      </w:r>
      <w:r>
        <w:rPr/>
        <w:t>1</w:t>
      </w:r>
      <w:r>
        <w:rPr/>
        <w:t>000 €K per 1000 FTE researchers as shown in Figure 69.</w:t>
      </w:r>
    </w:p>
    <w:p>
      <w:pPr>
        <w:pStyle w:val="normal2"/>
        <w:widowControl w:val="false"/>
        <w:spacing w:lineRule="auto" w:line="240"/>
        <w:rPr/>
      </w:pPr>
      <w:r>
        <w:rPr/>
      </w:r>
    </w:p>
    <w:p>
      <w:pPr>
        <w:pStyle w:val="normal1"/>
        <w:jc w:val="center"/>
        <w:rPr>
          <w:i/>
          <w:i/>
        </w:rPr>
      </w:pPr>
      <w:r>
        <w:rPr>
          <w:i/>
          <w:highlight w:val="yellow"/>
        </w:rPr>
        <w:t>{%chartImage50}</w:t>
      </w:r>
    </w:p>
    <w:p>
      <w:pPr>
        <w:pStyle w:val="normal2"/>
        <w:jc w:val="center"/>
        <w:rPr/>
      </w:pPr>
      <w:r>
        <w:rPr/>
      </w:r>
    </w:p>
    <w:p>
      <w:pPr>
        <w:pStyle w:val="normal2"/>
        <w:jc w:val="center"/>
        <w:rPr/>
      </w:pPr>
      <w:r>
        <w:rPr>
          <w:i/>
          <w:iCs/>
        </w:rPr>
        <w:t>Figure 69: Number of EU Countries with National Investments in Offering Services through EOSC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Question26[0]}</w:t>
      </w:r>
      <w:r>
        <w:rPr/>
        <w:t xml:space="preserve"> in national policies on offering services through EOSC in EU countr</w:t>
      </w:r>
      <w:r>
        <w:rPr>
          <w:shd w:fill="auto" w:val="clear"/>
        </w:rPr>
        <w:t>ies in Survey {</w:t>
      </w:r>
      <w:r>
        <w:rPr>
          <w:highlight w:val="yellow"/>
        </w:rPr>
        <w:t>Year}</w:t>
      </w:r>
      <w:r>
        <w:rPr/>
        <w:t xml:space="preserve"> from the previous year and {</w:t>
      </w:r>
      <w:r>
        <w:rPr>
          <w:highlight w:val="yellow"/>
        </w:rPr>
        <w:t>Question26[1]}</w:t>
      </w:r>
      <w:r>
        <w:rPr/>
        <w:t xml:space="preserve"> since Survey 2022, whereby there is {</w:t>
      </w:r>
      <w:r>
        <w:rPr>
          <w:highlight w:val="yellow"/>
        </w:rPr>
        <w:t>Question26[2]}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Question26[3]}</w:t>
      </w:r>
      <w:r>
        <w:rPr/>
        <w:t xml:space="preserve"> since Survey 2022 as shown in Figure 70.</w:t>
      </w:r>
    </w:p>
    <w:p>
      <w:pPr>
        <w:pStyle w:val="normal2"/>
        <w:widowControl w:val="false"/>
        <w:spacing w:lineRule="auto" w:line="240"/>
        <w:rPr/>
      </w:pPr>
      <w:r>
        <w:rPr/>
      </w:r>
    </w:p>
    <w:p>
      <w:pPr>
        <w:pStyle w:val="normal1"/>
        <w:jc w:val="center"/>
        <w:rPr>
          <w:i/>
          <w:i/>
        </w:rPr>
      </w:pPr>
      <w:r>
        <w:rPr>
          <w:i/>
          <w:highlight w:val="yellow"/>
        </w:rPr>
        <w:t>{%chartImage51}</w:t>
      </w:r>
    </w:p>
    <w:p>
      <w:pPr>
        <w:pStyle w:val="normal2"/>
        <w:jc w:val="center"/>
        <w:rPr/>
      </w:pPr>
      <w:r>
        <w:rPr/>
      </w:r>
    </w:p>
    <w:p>
      <w:pPr>
        <w:pStyle w:val="normal2"/>
        <w:jc w:val="center"/>
        <w:rPr/>
      </w:pPr>
      <w:r>
        <w:rPr>
          <w:i/>
          <w:iCs/>
        </w:rPr>
        <w:t>Figure 70: Progress in EU Countries with a National Policy on Offering Services through EOSC</w:t>
      </w:r>
    </w:p>
    <w:p>
      <w:pPr>
        <w:pStyle w:val="normal2"/>
        <w:rPr/>
      </w:pPr>
      <w:r>
        <w:rPr/>
      </w:r>
    </w:p>
    <w:p>
      <w:pPr>
        <w:pStyle w:val="normal2"/>
        <w:widowControl w:val="false"/>
        <w:spacing w:lineRule="auto" w:line="240"/>
        <w:rPr/>
      </w:pPr>
      <w:r>
        <w:rPr/>
        <w:t>There is {</w:t>
      </w:r>
      <w:r>
        <w:rPr>
          <w:highlight w:val="yellow"/>
        </w:rPr>
        <w:t>Question27[0]}</w:t>
      </w:r>
      <w:r>
        <w:rPr/>
        <w:t xml:space="preserve"> in financial strategies on offering services through EOSC in EU countr</w:t>
      </w:r>
      <w:r>
        <w:rPr>
          <w:shd w:fill="auto" w:val="clear"/>
        </w:rPr>
        <w:t>ies in Survey {</w:t>
      </w:r>
      <w:r>
        <w:rPr>
          <w:highlight w:val="yellow"/>
        </w:rPr>
        <w:t>Year}</w:t>
      </w:r>
      <w:r>
        <w:rPr/>
        <w:t xml:space="preserve"> from the previous year and {</w:t>
      </w:r>
      <w:r>
        <w:rPr>
          <w:highlight w:val="yellow"/>
        </w:rPr>
        <w:t>Question27[1]}</w:t>
      </w:r>
      <w:r>
        <w:rPr/>
        <w:t xml:space="preserve"> since Survey 2022 as shown in Figure 71.</w:t>
      </w:r>
    </w:p>
    <w:p>
      <w:pPr>
        <w:pStyle w:val="normal2"/>
        <w:widowControl w:val="false"/>
        <w:spacing w:lineRule="auto" w:line="240"/>
        <w:rPr/>
      </w:pPr>
      <w:r>
        <w:rPr/>
      </w:r>
    </w:p>
    <w:p>
      <w:pPr>
        <w:pStyle w:val="normal1"/>
        <w:jc w:val="center"/>
        <w:rPr>
          <w:i/>
          <w:i/>
        </w:rPr>
      </w:pPr>
      <w:r>
        <w:rPr>
          <w:i/>
          <w:highlight w:val="yellow"/>
        </w:rPr>
        <w:t>{%chartImage52}</w:t>
      </w:r>
    </w:p>
    <w:p>
      <w:pPr>
        <w:pStyle w:val="normal2"/>
        <w:jc w:val="center"/>
        <w:rPr/>
      </w:pPr>
      <w:r>
        <w:rPr/>
      </w:r>
    </w:p>
    <w:p>
      <w:pPr>
        <w:pStyle w:val="normal2"/>
        <w:jc w:val="center"/>
        <w:rPr/>
      </w:pPr>
      <w:r>
        <w:rPr>
          <w:i/>
          <w:iCs/>
        </w:rPr>
        <w:t>Figure 71: Progress in EU Countries with a Financial Strategy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Question74[0]</w:t>
      </w:r>
      <w:r>
        <w:rPr/>
        <w:t>} in national monitoring on offering services through EOSC in EU countr</w:t>
      </w:r>
      <w:r>
        <w:rPr>
          <w:shd w:fill="auto" w:val="clear"/>
        </w:rPr>
        <w:t>ies in Survey {</w:t>
      </w:r>
      <w:r>
        <w:rPr>
          <w:highlight w:val="yellow"/>
        </w:rPr>
        <w:t>Year}</w:t>
      </w:r>
      <w:r>
        <w:rPr/>
        <w:t xml:space="preserve"> from the previous year and {</w:t>
      </w:r>
      <w:r>
        <w:rPr>
          <w:highlight w:val="yellow"/>
        </w:rPr>
        <w:t>Question74[1]</w:t>
      </w:r>
      <w:r>
        <w:rPr/>
        <w:t xml:space="preserve">} </w:t>
      </w:r>
      <w:r>
        <w:rPr/>
        <w:t>s</w:t>
      </w:r>
      <w:r>
        <w:rPr/>
        <w:t>ince Survey 2022 as shown in Figure 72.</w:t>
      </w:r>
    </w:p>
    <w:p>
      <w:pPr>
        <w:pStyle w:val="normal2"/>
        <w:widowControl w:val="false"/>
        <w:spacing w:lineRule="auto" w:line="240"/>
        <w:rPr/>
      </w:pPr>
      <w:r>
        <w:rPr/>
      </w:r>
    </w:p>
    <w:p>
      <w:pPr>
        <w:pStyle w:val="normal1"/>
        <w:jc w:val="center"/>
        <w:rPr>
          <w:i/>
          <w:i/>
        </w:rPr>
      </w:pPr>
      <w:r>
        <w:rPr>
          <w:i/>
          <w:highlight w:val="yellow"/>
        </w:rPr>
        <w:t>{%chartImage53}</w:t>
      </w:r>
    </w:p>
    <w:p>
      <w:pPr>
        <w:pStyle w:val="normal2"/>
        <w:jc w:val="center"/>
        <w:rPr/>
      </w:pPr>
      <w:r>
        <w:rPr/>
      </w:r>
    </w:p>
    <w:p>
      <w:pPr>
        <w:pStyle w:val="normal2"/>
        <w:jc w:val="center"/>
        <w:rPr>
          <w:i/>
          <w:i/>
          <w:iCs/>
        </w:rPr>
      </w:pPr>
      <w:r>
        <w:rPr>
          <w:i/>
          <w:iCs/>
        </w:rPr>
        <w:t>Figure 72: Progress in EU Countries with a National Monitoring on Offering Services through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Question76_trend[0]</w:t>
      </w:r>
      <w:r>
        <w:rPr/>
        <w:t>} in national investments in offering services through EOSC per 1000 FTE researchers in EU countr</w:t>
      </w:r>
      <w:r>
        <w:rPr>
          <w:shd w:fill="auto" w:val="clear"/>
        </w:rPr>
        <w:t>ies in Survey {</w:t>
      </w:r>
      <w:r>
        <w:rPr>
          <w:highlight w:val="yellow"/>
        </w:rPr>
        <w:t>Year}</w:t>
      </w:r>
      <w:r>
        <w:rPr/>
        <w:t xml:space="preserve"> from the previous year and an {</w:t>
      </w:r>
      <w:r>
        <w:rPr>
          <w:highlight w:val="yellow"/>
        </w:rPr>
        <w:t>Question76_trend[1]</w:t>
      </w:r>
      <w:r>
        <w:rPr/>
        <w:t xml:space="preserve">} </w:t>
      </w:r>
      <w:r>
        <w:rPr/>
        <w:t>s</w:t>
      </w:r>
      <w:r>
        <w:rPr/>
        <w:t>ince Survey 2022 as shown in Figure 73.</w:t>
      </w:r>
    </w:p>
    <w:p>
      <w:pPr>
        <w:pStyle w:val="normal2"/>
        <w:widowControl w:val="false"/>
        <w:spacing w:lineRule="auto" w:line="240"/>
        <w:rPr/>
      </w:pPr>
      <w:r>
        <w:rPr/>
      </w:r>
    </w:p>
    <w:p>
      <w:pPr>
        <w:pStyle w:val="normal1"/>
        <w:jc w:val="center"/>
        <w:rPr>
          <w:i/>
          <w:i/>
        </w:rPr>
      </w:pPr>
      <w:r>
        <w:rPr>
          <w:i/>
          <w:highlight w:val="yellow"/>
        </w:rPr>
        <w:t>{%chartImage54}</w:t>
      </w:r>
    </w:p>
    <w:p>
      <w:pPr>
        <w:pStyle w:val="normal2"/>
        <w:jc w:val="center"/>
        <w:rPr/>
      </w:pPr>
      <w:r>
        <w:rPr/>
      </w:r>
    </w:p>
    <w:p>
      <w:pPr>
        <w:pStyle w:val="normal2"/>
        <w:jc w:val="center"/>
        <w:rPr/>
      </w:pPr>
      <w:r>
        <w:rPr>
          <w:i/>
          <w:iCs/>
        </w:rPr>
        <w:t>Figure 73: Trend in EU Countries with National Investments in Offering Services through EOSC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connecting repositories to EOSC in Survey {</w:t>
      </w:r>
      <w:r>
        <w:rPr>
          <w:highlight w:val="yellow"/>
        </w:rPr>
        <w:t>Year}</w:t>
      </w:r>
      <w:r>
        <w:rPr/>
        <w:t xml:space="preserve"> is </w:t>
      </w:r>
      <w:r>
        <w:rPr>
          <w:i/>
          <w:iCs/>
        </w:rPr>
        <w:t>Does your country have a national policy on connecting repositories to EOSC?</w:t>
      </w:r>
      <w:r>
        <w:rPr/>
        <w:t xml:space="preserve"> (Q25) followed by </w:t>
      </w:r>
      <w:r>
        <w:rPr>
          <w:i/>
          <w:iCs/>
        </w:rPr>
        <w:t>Is this policy mandatory?</w:t>
      </w:r>
      <w:r>
        <w:rPr/>
        <w:t xml:space="preserve"> (Q25.1). Connecting repositories to EOSC hereby refers to ensuring that repositories make their research outputs discoverable through EOSC. It remains to be seen how responses to this or a similar question may change in future surveys because of the uptake of the EOSC Federation. {</w:t>
      </w:r>
      <w:r>
        <w:rPr>
          <w:shd w:fill="FFFF00" w:val="clear"/>
        </w:rPr>
        <w:t>Question30</w:t>
      </w:r>
      <w:r>
        <w:rPr/>
        <w:t>} of responding EU countries have a national policy on connecting repositories to EOSC, whereby {</w:t>
      </w:r>
      <w:r>
        <w:rPr>
          <w:shd w:fill="FFFF00" w:val="clear"/>
        </w:rPr>
        <w:t>Question30.1</w:t>
      </w:r>
      <w:r>
        <w:rPr/>
        <w:t>} are mandatory as shown in Figures 74 and 75.</w:t>
      </w:r>
    </w:p>
    <w:p>
      <w:pPr>
        <w:pStyle w:val="normal2"/>
        <w:widowControl w:val="false"/>
        <w:spacing w:lineRule="auto" w:line="240"/>
        <w:rPr/>
      </w:pPr>
      <w:r>
        <w:rPr/>
      </w:r>
    </w:p>
    <w:p>
      <w:pPr>
        <w:pStyle w:val="normal1"/>
        <w:jc w:val="center"/>
        <w:rPr>
          <w:i/>
          <w:i/>
        </w:rPr>
      </w:pPr>
      <w:r>
        <w:rPr>
          <w:i/>
          <w:highlight w:val="yellow"/>
        </w:rPr>
        <w:t>{%chartImage55}</w:t>
      </w:r>
    </w:p>
    <w:p>
      <w:pPr>
        <w:pStyle w:val="normal2"/>
        <w:jc w:val="center"/>
        <w:rPr/>
      </w:pPr>
      <w:r>
        <w:rPr/>
      </w:r>
    </w:p>
    <w:p>
      <w:pPr>
        <w:pStyle w:val="normal2"/>
        <w:jc w:val="center"/>
        <w:rPr>
          <w:i/>
          <w:i/>
          <w:iCs/>
        </w:rPr>
      </w:pPr>
      <w:r>
        <w:rPr>
          <w:i/>
          <w:iCs/>
        </w:rPr>
        <w:t>Figure 74: Map of EU Countries with a National Policy on Connecting Repositories to EOSC</w:t>
      </w:r>
    </w:p>
    <w:p>
      <w:pPr>
        <w:pStyle w:val="normal2"/>
        <w:widowControl w:val="false"/>
        <w:spacing w:lineRule="auto" w:line="240"/>
        <w:rPr/>
      </w:pPr>
      <w:r>
        <w:rPr/>
      </w:r>
    </w:p>
    <w:p>
      <w:pPr>
        <w:pStyle w:val="normal1"/>
        <w:jc w:val="center"/>
        <w:rPr>
          <w:i/>
          <w:i/>
        </w:rPr>
      </w:pPr>
      <w:r>
        <w:rPr>
          <w:i/>
          <w:highlight w:val="yellow"/>
        </w:rPr>
        <w:t>{%pieChartImage_54_0}</w:t>
      </w:r>
    </w:p>
    <w:p>
      <w:pPr>
        <w:pStyle w:val="normal1"/>
        <w:jc w:val="center"/>
        <w:rPr>
          <w:i/>
          <w:i/>
        </w:rPr>
      </w:pPr>
      <w:r>
        <w:rPr>
          <w:i/>
          <w:highlight w:val="yellow"/>
        </w:rPr>
        <w:t>{%pieChartImage_54_1}</w:t>
      </w:r>
    </w:p>
    <w:p>
      <w:pPr>
        <w:pStyle w:val="normal2"/>
        <w:jc w:val="center"/>
        <w:rPr/>
      </w:pPr>
      <w:r>
        <w:rPr/>
      </w:r>
    </w:p>
    <w:p>
      <w:pPr>
        <w:pStyle w:val="normal2"/>
        <w:jc w:val="center"/>
        <w:rPr/>
      </w:pPr>
      <w:r>
        <w:rPr>
          <w:i/>
          <w:iCs/>
        </w:rPr>
        <w:t>Figure 75: Share of EU Countries with a National Policy on Connecting Repositories to EOSC</w:t>
      </w:r>
    </w:p>
    <w:p>
      <w:pPr>
        <w:pStyle w:val="normal2"/>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76 and 77.</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76: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77: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78 and 79.</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78: Map of EU Countries with a National Policy on Long-</w:t>
      </w:r>
      <w:r>
        <w:rPr>
          <w:i/>
          <w:iCs/>
        </w:rPr>
        <w:t>T</w:t>
      </w:r>
      <w:r>
        <w:rPr>
          <w:i/>
          <w:iCs/>
        </w:rPr>
        <w: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79: Share of EU Countries with a National Policy on Long-</w:t>
      </w:r>
      <w:r>
        <w:rPr>
          <w:i/>
          <w:iCs/>
        </w:rPr>
        <w:t>T</w:t>
      </w:r>
      <w:r>
        <w:rPr>
          <w:i/>
          <w:iCs/>
        </w:rPr>
        <w: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shd w:fill="FFFF00" w:val="clear"/>
        </w:rPr>
        <w:t>Question31</w:t>
      </w:r>
      <w:r>
        <w:rPr/>
        <w:t>} of responding EU countries have a financial strategy on connecting repositories to EOSC as shown in Figures 80 and 81.</w:t>
      </w:r>
    </w:p>
    <w:p>
      <w:pPr>
        <w:pStyle w:val="normal2"/>
        <w:widowControl w:val="false"/>
        <w:spacing w:lineRule="auto" w:line="240"/>
        <w:rPr/>
      </w:pPr>
      <w:r>
        <w:rPr/>
      </w:r>
    </w:p>
    <w:p>
      <w:pPr>
        <w:pStyle w:val="normal1"/>
        <w:jc w:val="center"/>
        <w:rPr>
          <w:i/>
          <w:i/>
        </w:rPr>
      </w:pPr>
      <w:r>
        <w:rPr>
          <w:i/>
          <w:highlight w:val="yellow"/>
        </w:rPr>
        <w:t>{%chartImage58}</w:t>
      </w:r>
    </w:p>
    <w:p>
      <w:pPr>
        <w:pStyle w:val="normal2"/>
        <w:jc w:val="center"/>
        <w:rPr/>
      </w:pPr>
      <w:r>
        <w:rPr/>
      </w:r>
    </w:p>
    <w:p>
      <w:pPr>
        <w:pStyle w:val="normal2"/>
        <w:jc w:val="center"/>
        <w:rPr/>
      </w:pPr>
      <w:r>
        <w:rPr>
          <w:i/>
          <w:iCs/>
        </w:rPr>
        <w:t>Figure 80: Map of EU Countries with a Financial Strategy on Connecting Repositories to EOSC</w:t>
      </w:r>
    </w:p>
    <w:p>
      <w:pPr>
        <w:pStyle w:val="normal2"/>
        <w:widowControl w:val="false"/>
        <w:spacing w:lineRule="auto" w:line="240"/>
        <w:rPr/>
      </w:pPr>
      <w:r>
        <w:rPr/>
      </w:r>
    </w:p>
    <w:p>
      <w:pPr>
        <w:pStyle w:val="normal1"/>
        <w:jc w:val="center"/>
        <w:rPr>
          <w:i/>
          <w:i/>
        </w:rPr>
      </w:pPr>
      <w:r>
        <w:rPr>
          <w:i/>
          <w:highlight w:val="yellow"/>
        </w:rPr>
        <w:t>{%pieChartImage_57_0}</w:t>
      </w:r>
    </w:p>
    <w:p>
      <w:pPr>
        <w:pStyle w:val="normal2"/>
        <w:jc w:val="center"/>
        <w:rPr/>
      </w:pPr>
      <w:r>
        <w:rPr/>
      </w:r>
    </w:p>
    <w:p>
      <w:pPr>
        <w:pStyle w:val="normal2"/>
        <w:jc w:val="center"/>
        <w:rPr/>
      </w:pPr>
      <w:r>
        <w:rPr>
          <w:i/>
          <w:iCs/>
        </w:rPr>
        <w:t>Figure 81: Share of EU Countries with a Financial Strategy on Connecting Repositories to EOSC</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82 and 83.</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82: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83: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84 and 85.</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84: Map of EU Countries with a Financial Strategy on Long-</w:t>
      </w:r>
      <w:r>
        <w:rPr>
          <w:i/>
          <w:iCs/>
        </w:rPr>
        <w:t>T</w:t>
      </w:r>
      <w:r>
        <w:rPr>
          <w:i/>
          <w:iCs/>
        </w:rPr>
        <w: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85: Share of EU Countries with a Financial Strategy on Long-</w:t>
      </w:r>
      <w:r>
        <w:rPr>
          <w:i/>
          <w:iCs/>
        </w:rPr>
        <w:t>T</w:t>
      </w:r>
      <w:r>
        <w:rPr>
          <w:i/>
          <w:iCs/>
        </w:rPr>
        <w: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connecting repositories to EOSC in Survey {</w:t>
      </w:r>
      <w:r>
        <w:rPr>
          <w:highlight w:val="yellow"/>
        </w:rPr>
        <w:t>Year}</w:t>
      </w:r>
      <w:r>
        <w:rPr/>
        <w:t xml:space="preserve"> is </w:t>
      </w:r>
      <w:r>
        <w:rPr>
          <w:i/>
          <w:iCs/>
        </w:rPr>
        <w:t>Does your country have a national monitoring on connecting repositories to EOSC?</w:t>
      </w:r>
      <w:r>
        <w:rPr/>
        <w:t xml:space="preserve"> (Q73). {</w:t>
      </w:r>
      <w:r>
        <w:rPr>
          <w:shd w:fill="FFFF00" w:val="clear"/>
        </w:rPr>
        <w:t>Question78</w:t>
      </w:r>
      <w:r>
        <w:rPr/>
        <w:t>} of responding EU countries have a national monitoring on connecting repositories to EOSC as shown in Figures 86 and 87.</w:t>
      </w:r>
    </w:p>
    <w:p>
      <w:pPr>
        <w:pStyle w:val="normal2"/>
        <w:widowControl w:val="false"/>
        <w:spacing w:lineRule="auto" w:line="240"/>
        <w:rPr/>
      </w:pPr>
      <w:r>
        <w:rPr/>
      </w:r>
    </w:p>
    <w:p>
      <w:pPr>
        <w:pStyle w:val="normal1"/>
        <w:jc w:val="center"/>
        <w:rPr>
          <w:i/>
          <w:i/>
        </w:rPr>
      </w:pPr>
      <w:r>
        <w:rPr>
          <w:i/>
          <w:highlight w:val="yellow"/>
        </w:rPr>
        <w:t>{%chartImage61}</w:t>
      </w:r>
    </w:p>
    <w:p>
      <w:pPr>
        <w:pStyle w:val="normal2"/>
        <w:jc w:val="center"/>
        <w:rPr/>
      </w:pPr>
      <w:r>
        <w:rPr/>
      </w:r>
    </w:p>
    <w:p>
      <w:pPr>
        <w:pStyle w:val="normal2"/>
        <w:jc w:val="center"/>
        <w:rPr/>
      </w:pPr>
      <w:r>
        <w:rPr>
          <w:i/>
          <w:iCs/>
        </w:rPr>
        <w:t>Figure 86: Map of EU Countries with a National Monitoring on Connecting Repositories to EOSC</w:t>
      </w:r>
    </w:p>
    <w:p>
      <w:pPr>
        <w:pStyle w:val="normal2"/>
        <w:widowControl w:val="false"/>
        <w:spacing w:lineRule="auto" w:line="240"/>
        <w:rPr/>
      </w:pPr>
      <w:r>
        <w:rPr/>
      </w:r>
    </w:p>
    <w:p>
      <w:pPr>
        <w:pStyle w:val="normal1"/>
        <w:jc w:val="center"/>
        <w:rPr>
          <w:i/>
          <w:i/>
        </w:rPr>
      </w:pPr>
      <w:r>
        <w:rPr>
          <w:i/>
          <w:highlight w:val="yellow"/>
        </w:rPr>
        <w:t>{%pieChartImage_60_0}</w:t>
      </w:r>
    </w:p>
    <w:p>
      <w:pPr>
        <w:pStyle w:val="normal2"/>
        <w:jc w:val="center"/>
        <w:rPr/>
      </w:pPr>
      <w:r>
        <w:rPr/>
      </w:r>
    </w:p>
    <w:p>
      <w:pPr>
        <w:pStyle w:val="normal2"/>
        <w:jc w:val="center"/>
        <w:rPr/>
      </w:pPr>
      <w:r>
        <w:rPr>
          <w:i/>
          <w:iCs/>
        </w:rPr>
        <w:t>Figure 87: Share of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88 and 89.</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88: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89: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90 and 91.</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90: Map of EU Countries with a National Monitoring on Long-</w:t>
      </w:r>
      <w:r>
        <w:rPr>
          <w:i/>
          <w:iCs/>
        </w:rPr>
        <w:t>T</w:t>
      </w:r>
      <w:r>
        <w:rPr>
          <w:i/>
          <w:iCs/>
        </w:rPr>
        <w: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91: Share of EU Countries with a National Monitoring on Long-</w:t>
      </w:r>
      <w:r>
        <w:rPr>
          <w:i/>
          <w:iCs/>
        </w:rPr>
        <w:t>T</w:t>
      </w:r>
      <w:r>
        <w:rPr>
          <w:i/>
          <w:iCs/>
        </w:rPr>
        <w: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t>{</w:t>
      </w:r>
      <w:r>
        <w:rPr>
          <w:highlight w:val="yellow"/>
        </w:rPr>
        <w:t>Fisca</w:t>
      </w:r>
      <w:r>
        <w:rPr>
          <w:i/>
          <w:iCs/>
        </w:rPr>
        <w:t xml:space="preserve">lYear} </w:t>
      </w:r>
      <w:r>
        <w:rPr>
          <w:i/>
          <w:iCs/>
        </w:rPr>
        <w:t>i</w:t>
      </w:r>
      <w:r>
        <w:rPr>
          <w:i/>
          <w:iCs/>
        </w:rPr>
        <w:t>n millions of Euros?</w:t>
      </w:r>
      <w:r>
        <w:rPr/>
        <w:t xml:space="preserve"> (Q75). {</w:t>
      </w:r>
      <w:r>
        <w:rPr>
          <w:highlight w:val="yellow"/>
        </w:rPr>
        <w:t>Question80[0]}</w:t>
      </w:r>
      <w:r>
        <w:rPr/>
        <w:t xml:space="preserve"> of responding EU countries are not investing or have not stated the number of investments in connecting repositories to EOSC. {</w:t>
      </w:r>
      <w:r>
        <w:rPr>
          <w:highlight w:val="yellow"/>
        </w:rPr>
        <w:t>Question80[1]}</w:t>
      </w:r>
      <w:r>
        <w:rPr/>
        <w:t xml:space="preserve"> of EU countries invested &gt;0 to 50 €K, {</w:t>
      </w:r>
      <w:r>
        <w:rPr>
          <w:highlight w:val="yellow"/>
        </w:rPr>
        <w:t>Question80[2]}</w:t>
      </w:r>
      <w:r>
        <w:rPr/>
        <w:t xml:space="preserve"> &gt;50 to 100 €K, {</w:t>
      </w:r>
      <w:r>
        <w:rPr>
          <w:highlight w:val="yellow"/>
        </w:rPr>
        <w:t>Question80[3]}</w:t>
      </w:r>
      <w:r>
        <w:rPr/>
        <w:t xml:space="preserve"> &gt;100 to 250 €K, {</w:t>
      </w:r>
      <w:r>
        <w:rPr>
          <w:highlight w:val="yellow"/>
        </w:rPr>
        <w:t>Question80[4]}</w:t>
      </w:r>
      <w:r>
        <w:rPr/>
        <w:t xml:space="preserve"> &gt;250 to 500 €K, {</w:t>
      </w:r>
      <w:r>
        <w:rPr>
          <w:highlight w:val="yellow"/>
        </w:rPr>
        <w:t>Question80[5]}</w:t>
      </w:r>
      <w:r>
        <w:rPr/>
        <w:t xml:space="preserve"> &gt;500 to 1000 €K, and {</w:t>
      </w:r>
      <w:r>
        <w:rPr>
          <w:highlight w:val="yellow"/>
        </w:rPr>
        <w:t>Question80[6]}</w:t>
      </w:r>
      <w:r>
        <w:rPr/>
        <w:t xml:space="preserve"> &gt;1000 €K per 1000 FTE researchers as shown in Figure 92.</w:t>
      </w:r>
    </w:p>
    <w:p>
      <w:pPr>
        <w:pStyle w:val="normal2"/>
        <w:widowControl w:val="false"/>
        <w:spacing w:lineRule="auto" w:line="240"/>
        <w:rPr/>
      </w:pPr>
      <w:r>
        <w:rPr/>
      </w:r>
    </w:p>
    <w:p>
      <w:pPr>
        <w:pStyle w:val="normal1"/>
        <w:jc w:val="center"/>
        <w:rPr>
          <w:i/>
          <w:i/>
        </w:rPr>
      </w:pPr>
      <w:r>
        <w:rPr>
          <w:i/>
          <w:highlight w:val="yellow"/>
        </w:rPr>
        <w:t>{%chartImage64}</w:t>
      </w:r>
    </w:p>
    <w:p>
      <w:pPr>
        <w:pStyle w:val="normal2"/>
        <w:jc w:val="center"/>
        <w:rPr/>
      </w:pPr>
      <w:r>
        <w:rPr/>
      </w:r>
    </w:p>
    <w:p>
      <w:pPr>
        <w:pStyle w:val="normal2"/>
        <w:jc w:val="center"/>
        <w:rPr/>
      </w:pPr>
      <w:r>
        <w:rPr>
          <w:i/>
          <w:iCs/>
        </w:rPr>
        <w:t>Figure 92: Number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 xml:space="preserve">lYear} </w:t>
      </w:r>
      <w:r>
        <w:rPr>
          <w:i/>
          <w:iCs/>
        </w:rPr>
        <w:t>i</w:t>
      </w:r>
      <w:r>
        <w:rPr>
          <w:i/>
          <w:iCs/>
        </w:rPr>
        <w:t>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w:t>
      </w:r>
      <w:r>
        <w:rPr/>
        <w:t>2</w:t>
      </w:r>
      <w:r>
        <w:rPr/>
        <w:t>50 to 500 €K, {</w:t>
      </w:r>
      <w:r>
        <w:rPr>
          <w:highlight w:val="yellow"/>
        </w:rPr>
        <w:t>Question84[5]}</w:t>
      </w:r>
      <w:r>
        <w:rPr/>
        <w:t xml:space="preserve"> &gt;500 to 1000 €K, and {</w:t>
      </w:r>
      <w:r>
        <w:rPr>
          <w:highlight w:val="yellow"/>
        </w:rPr>
        <w:t>Question84[6]}</w:t>
      </w:r>
      <w:r>
        <w:rPr/>
        <w:t xml:space="preserve"> &gt;1000 €K per 1000 FTE researchers as shown in Figure 93.</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9</w:t>
      </w:r>
      <w:r>
        <w:rPr>
          <w:i/>
          <w:iCs/>
        </w:rPr>
        <w:t>3</w:t>
      </w:r>
      <w:r>
        <w:rPr>
          <w:i/>
          <w:iCs/>
        </w:rPr>
        <w:t>: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 xml:space="preserve">lYear} </w:t>
      </w:r>
      <w:r>
        <w:rPr>
          <w:i/>
          <w:iCs/>
        </w:rPr>
        <w:t>i</w:t>
      </w:r>
      <w:r>
        <w:rPr>
          <w:i/>
          <w:iCs/>
        </w:rPr>
        <w:t>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94.</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94: Number of EU Countries with National Investments in Long-</w:t>
      </w:r>
      <w:r>
        <w:rPr>
          <w:i/>
          <w:iCs/>
        </w:rPr>
        <w:t>T</w:t>
      </w:r>
      <w:r>
        <w:rPr>
          <w:i/>
          <w:iCs/>
        </w:rPr>
        <w: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Question30[0]}</w:t>
      </w:r>
      <w:r>
        <w:rPr/>
        <w:t xml:space="preserve"> in national policies on connecting repositories to EOSC in EU countr</w:t>
      </w:r>
      <w:r>
        <w:rPr>
          <w:shd w:fill="auto" w:val="clear"/>
        </w:rPr>
        <w:t>ies in Survey {</w:t>
      </w:r>
      <w:r>
        <w:rPr>
          <w:highlight w:val="yellow"/>
        </w:rPr>
        <w:t>Year}</w:t>
      </w:r>
      <w:r>
        <w:rPr/>
        <w:t xml:space="preserve"> from the previous year and {</w:t>
      </w:r>
      <w:r>
        <w:rPr>
          <w:highlight w:val="yellow"/>
        </w:rPr>
        <w:t>Question30[1]}</w:t>
      </w:r>
      <w:r>
        <w:rPr/>
        <w:t xml:space="preserve"> since Survey 2022, whereby there is {</w:t>
      </w:r>
      <w:r>
        <w:rPr>
          <w:highlight w:val="yellow"/>
        </w:rPr>
        <w:t>Question30[2]}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highlight w:val="yellow"/>
        </w:rPr>
        <w:t>Question30[3]}</w:t>
      </w:r>
      <w:r>
        <w:rPr/>
        <w:t xml:space="preserve"> since Survey 2022 as shown in Figure 95.</w:t>
      </w:r>
    </w:p>
    <w:p>
      <w:pPr>
        <w:pStyle w:val="normal2"/>
        <w:widowControl w:val="false"/>
        <w:spacing w:lineRule="auto" w:line="240"/>
        <w:rPr/>
      </w:pPr>
      <w:r>
        <w:rPr/>
      </w:r>
    </w:p>
    <w:p>
      <w:pPr>
        <w:pStyle w:val="normal1"/>
        <w:jc w:val="center"/>
        <w:rPr>
          <w:i/>
          <w:i/>
        </w:rPr>
      </w:pPr>
      <w:r>
        <w:rPr>
          <w:i/>
          <w:highlight w:val="yellow"/>
        </w:rPr>
        <w:t>{%chartImage67}</w:t>
      </w:r>
    </w:p>
    <w:p>
      <w:pPr>
        <w:pStyle w:val="normal2"/>
        <w:jc w:val="center"/>
        <w:rPr/>
      </w:pPr>
      <w:r>
        <w:rPr/>
      </w:r>
    </w:p>
    <w:p>
      <w:pPr>
        <w:pStyle w:val="normal2"/>
        <w:jc w:val="center"/>
        <w:rPr/>
      </w:pPr>
      <w:r>
        <w:rPr>
          <w:i/>
          <w:iCs/>
        </w:rPr>
        <w:t>Figure 95: Progress in EU Countries with a National Policy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highlight w:val="yellow"/>
        </w:rPr>
        <w:t>Question34[3]}</w:t>
      </w:r>
      <w:r>
        <w:rPr/>
        <w:t xml:space="preserve"> since Survey 2022 as shown in Figure 96.</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96: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highlight w:val="yellow"/>
        </w:rPr>
        <w:t>Question38[3]}</w:t>
      </w:r>
      <w:r>
        <w:rPr/>
        <w:t xml:space="preserve"> since Survey 2022 as shown in Figure 97.</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97: Progress in EU Countries with a National Policy on Long-</w:t>
      </w:r>
      <w:r>
        <w:rPr>
          <w:i/>
          <w:iCs/>
        </w:rPr>
        <w:t>T</w:t>
      </w:r>
      <w:r>
        <w:rPr>
          <w:i/>
          <w:iCs/>
        </w:rPr>
        <w: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Question31[0]}</w:t>
      </w:r>
      <w:r>
        <w:rPr/>
        <w:t xml:space="preserve"> in financial strategies on connecting repositories to EOSC in {</w:t>
      </w:r>
      <w:r>
        <w:rPr>
          <w:highlight w:val="yellow"/>
        </w:rPr>
        <w:t>Year}</w:t>
      </w:r>
      <w:r>
        <w:rPr/>
        <w:t xml:space="preserve"> from the previous year and {</w:t>
      </w:r>
      <w:r>
        <w:rPr>
          <w:highlight w:val="yellow"/>
        </w:rPr>
        <w:t>Question31[1]}</w:t>
      </w:r>
      <w:r>
        <w:rPr/>
        <w:t xml:space="preserve"> since Survey 2022 as shown in Figure 98.</w:t>
      </w:r>
    </w:p>
    <w:p>
      <w:pPr>
        <w:pStyle w:val="normal2"/>
        <w:widowControl w:val="false"/>
        <w:spacing w:lineRule="auto" w:line="240"/>
        <w:rPr/>
      </w:pPr>
      <w:r>
        <w:rPr/>
      </w:r>
    </w:p>
    <w:p>
      <w:pPr>
        <w:pStyle w:val="normal1"/>
        <w:jc w:val="center"/>
        <w:rPr>
          <w:i/>
          <w:i/>
        </w:rPr>
      </w:pPr>
      <w:r>
        <w:rPr>
          <w:i/>
          <w:highlight w:val="yellow"/>
        </w:rPr>
        <w:t>{%chartImage70}</w:t>
      </w:r>
    </w:p>
    <w:p>
      <w:pPr>
        <w:pStyle w:val="normal2"/>
        <w:jc w:val="center"/>
        <w:rPr/>
      </w:pPr>
      <w:r>
        <w:rPr/>
      </w:r>
    </w:p>
    <w:p>
      <w:pPr>
        <w:pStyle w:val="normal2"/>
        <w:jc w:val="center"/>
        <w:rPr/>
      </w:pPr>
      <w:r>
        <w:rPr>
          <w:i/>
          <w:iCs/>
        </w:rPr>
        <w:t>Figure 98: Progress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99.</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99: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100.</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100: Progress in EU Countries with a Financial Strategy on Long-</w:t>
      </w:r>
      <w:r>
        <w:rPr>
          <w:i/>
          <w:iCs/>
        </w:rPr>
        <w:t>T</w:t>
      </w:r>
      <w:r>
        <w:rPr>
          <w:i/>
          <w:iCs/>
        </w:rPr>
        <w: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Question78[0]}</w:t>
      </w:r>
      <w:r>
        <w:rPr/>
        <w:t xml:space="preserve"> in national monitoring on connecting repositories to EOSC in EU countr</w:t>
      </w:r>
      <w:r>
        <w:rPr>
          <w:shd w:fill="auto" w:val="clear"/>
        </w:rPr>
        <w:t>ies in Survey {</w:t>
      </w:r>
      <w:r>
        <w:rPr>
          <w:highlight w:val="yellow"/>
        </w:rPr>
        <w:t>Year}</w:t>
      </w:r>
      <w:r>
        <w:rPr/>
        <w:t xml:space="preserve"> from the previous year and {</w:t>
      </w:r>
      <w:r>
        <w:rPr>
          <w:highlight w:val="yellow"/>
        </w:rPr>
        <w:t>Question78[1]}</w:t>
      </w:r>
      <w:r>
        <w:rPr/>
        <w:t xml:space="preserve"> since Survey 2022 as shown in Figure 101.</w:t>
      </w:r>
    </w:p>
    <w:p>
      <w:pPr>
        <w:pStyle w:val="normal2"/>
        <w:widowControl w:val="false"/>
        <w:spacing w:lineRule="auto" w:line="240"/>
        <w:rPr/>
      </w:pPr>
      <w:r>
        <w:rPr/>
      </w:r>
    </w:p>
    <w:p>
      <w:pPr>
        <w:pStyle w:val="normal1"/>
        <w:jc w:val="center"/>
        <w:rPr>
          <w:i/>
          <w:i/>
        </w:rPr>
      </w:pPr>
      <w:r>
        <w:rPr>
          <w:i/>
          <w:highlight w:val="yellow"/>
        </w:rPr>
        <w:t>{%chartImage73}</w:t>
      </w:r>
    </w:p>
    <w:p>
      <w:pPr>
        <w:pStyle w:val="normal2"/>
        <w:jc w:val="center"/>
        <w:rPr/>
      </w:pPr>
      <w:r>
        <w:rPr/>
      </w:r>
    </w:p>
    <w:p>
      <w:pPr>
        <w:pStyle w:val="normal2"/>
        <w:jc w:val="center"/>
        <w:rPr/>
      </w:pPr>
      <w:r>
        <w:rPr>
          <w:i/>
          <w:iCs/>
        </w:rPr>
        <w:t>Figure 101: Progress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102.</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102: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103.</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103: Progress in EU Countries with a National Monitoring on Long-</w:t>
      </w:r>
      <w:r>
        <w:rPr>
          <w:i/>
          <w:iCs/>
        </w:rPr>
        <w:t>T</w:t>
      </w:r>
      <w:r>
        <w:rPr>
          <w:i/>
          <w:iCs/>
        </w:rPr>
        <w: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Question80_trend[0]</w:t>
      </w:r>
      <w:r>
        <w:rPr/>
        <w:t>} in national investments in connecting repositories to EOSC per 1000 FTE researchers in EU countr</w:t>
      </w:r>
      <w:r>
        <w:rPr>
          <w:shd w:fill="auto" w:val="clear"/>
        </w:rPr>
        <w:t>ies in Survey {</w:t>
      </w:r>
      <w:r>
        <w:rPr>
          <w:highlight w:val="yellow"/>
        </w:rPr>
        <w:t>Year}</w:t>
      </w:r>
      <w:r>
        <w:rPr/>
        <w:t xml:space="preserve"> from the previous year and {</w:t>
      </w:r>
      <w:r>
        <w:rPr>
          <w:highlight w:val="yellow"/>
        </w:rPr>
        <w:t>Question80_trend[1]</w:t>
      </w:r>
      <w:r>
        <w:rPr/>
        <w:t xml:space="preserve">} </w:t>
      </w:r>
      <w:r>
        <w:rPr/>
        <w:t>s</w:t>
      </w:r>
      <w:r>
        <w:rPr/>
        <w:t>ince Survey 2022 as shown in Figure 104.</w:t>
      </w:r>
    </w:p>
    <w:p>
      <w:pPr>
        <w:pStyle w:val="normal2"/>
        <w:widowControl w:val="false"/>
        <w:spacing w:lineRule="auto" w:line="240"/>
        <w:rPr/>
      </w:pPr>
      <w:r>
        <w:rPr/>
      </w:r>
    </w:p>
    <w:p>
      <w:pPr>
        <w:pStyle w:val="normal1"/>
        <w:jc w:val="center"/>
        <w:rPr>
          <w:i/>
          <w:i/>
        </w:rPr>
      </w:pPr>
      <w:r>
        <w:rPr>
          <w:i/>
          <w:highlight w:val="yellow"/>
        </w:rPr>
        <w:t>{%chartImage76}</w:t>
      </w:r>
    </w:p>
    <w:p>
      <w:pPr>
        <w:pStyle w:val="normal2"/>
        <w:jc w:val="center"/>
        <w:rPr/>
      </w:pPr>
      <w:r>
        <w:rPr/>
      </w:r>
    </w:p>
    <w:p>
      <w:pPr>
        <w:pStyle w:val="normal2"/>
        <w:jc w:val="center"/>
        <w:rPr/>
      </w:pPr>
      <w:r>
        <w:rPr>
          <w:i/>
          <w:iCs/>
        </w:rPr>
        <w:t>Figure 104: Progress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xml:space="preserve">} </w:t>
      </w:r>
      <w:r>
        <w:rPr/>
        <w:t>since</w:t>
      </w:r>
      <w:r>
        <w:rPr/>
        <w:t xml:space="preserve"> Survey 2022 as shown in Figure 105.</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105: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xml:space="preserve">} </w:t>
      </w:r>
      <w:r>
        <w:rPr/>
        <w:t>s</w:t>
      </w:r>
      <w:r>
        <w:rPr/>
        <w:t>ince Survey 2022 as shown in Figure 106.</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106: Progress in EU Countries with National Investments in Long-</w:t>
      </w:r>
      <w:r>
        <w:rPr>
          <w:i/>
          <w:iCs/>
        </w:rPr>
        <w:t>T</w:t>
      </w:r>
      <w:r>
        <w:rPr>
          <w:i/>
          <w:iCs/>
        </w:rPr>
        <w: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w:t>
      </w:r>
      <w:r>
        <w:rPr>
          <w:b/>
          <w:bCs/>
        </w:rPr>
        <w:t>T</w:t>
      </w:r>
      <w:r>
        <w:rPr>
          <w:b/>
          <w:bCs/>
        </w:rPr>
        <w: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107 and 108.</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107: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108: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109 and 110.</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109: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110: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w:t>
      </w:r>
      <w:r>
        <w:rPr/>
        <w:t>T</w:t>
      </w:r>
      <w:r>
        <w:rPr/>
        <w: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111 and 112.</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111: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112: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 xml:space="preserve">lYear} </w:t>
      </w:r>
      <w:r>
        <w:rPr>
          <w:i/>
          <w:iCs/>
        </w:rPr>
        <w:t>i</w:t>
      </w:r>
      <w:r>
        <w:rPr>
          <w:i/>
          <w:iCs/>
        </w:rPr>
        <w:t>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113.</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113: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w:t>
      </w:r>
      <w:r>
        <w:rPr/>
        <w:t>T</w:t>
      </w:r>
      <w:r>
        <w:rPr/>
        <w: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highlight w:val="yellow"/>
        </w:rPr>
        <w:t>Question42[3]}</w:t>
      </w:r>
      <w:r>
        <w:rPr/>
        <w:t xml:space="preserve"> since Survey 2022 as shown in Figure 114.</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114: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115.</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115: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w:t>
      </w:r>
      <w:r>
        <w:rPr/>
        <w:t>T</w:t>
      </w:r>
      <w:r>
        <w:rPr/>
        <w: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xml:space="preserve">} </w:t>
      </w:r>
      <w:r>
        <w:rPr/>
        <w:t>s</w:t>
      </w:r>
      <w:r>
        <w:rPr/>
        <w:t>ince Survey 2022 as shown in Figure 116.</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116: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xml:space="preserve">} </w:t>
      </w:r>
      <w:r>
        <w:rPr/>
        <w:t>s</w:t>
      </w:r>
      <w:r>
        <w:rPr/>
        <w:t>ince Survey 2022 as shown in Figure 117.</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117: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118 and 119.</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118: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119: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120 and 121.</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120: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121: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122 and 123.</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122: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123: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w:t>
      </w:r>
      <w:r>
        <w:rPr>
          <w:i/>
          <w:iCs/>
        </w:rPr>
        <w:t xml:space="preserve">ear} </w:t>
      </w:r>
      <w:r>
        <w:rPr>
          <w:i/>
          <w:iCs/>
        </w:rPr>
        <w:t>i</w:t>
      </w:r>
      <w:r>
        <w:rPr>
          <w:i/>
          <w:iCs/>
        </w:rPr>
        <w:t>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124.</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124: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xml:space="preserve">} </w:t>
      </w:r>
      <w:r>
        <w:rPr>
          <w:shd w:fill="auto" w:val="clear"/>
        </w:rPr>
        <w:t>f</w:t>
      </w:r>
      <w:r>
        <w:rPr>
          <w:shd w:fill="auto" w:val="clear"/>
        </w:rPr>
        <w:t>rom the previous year</w:t>
      </w:r>
      <w:r>
        <w:rPr/>
        <w:t xml:space="preserve"> and {</w:t>
      </w:r>
      <w:r>
        <w:rPr>
          <w:highlight w:val="yellow"/>
        </w:rPr>
        <w:t>Question46[3]}</w:t>
      </w:r>
      <w:r>
        <w:rPr/>
        <w:t xml:space="preserve"> since Survey 2022 as shown in Figure 125.</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125: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126.</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126: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w:t>
      </w:r>
      <w:r>
        <w:rPr>
          <w:highlight w:val="yellow"/>
        </w:rPr>
        <w:t>1</w:t>
      </w:r>
      <w:r>
        <w:rPr>
          <w:highlight w:val="yellow"/>
        </w:rPr>
        <w:t>]}</w:t>
      </w:r>
      <w:r>
        <w:rPr/>
        <w:t xml:space="preserve"> since Survey 2022 as shown in Figure 127.</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127: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xml:space="preserve">} </w:t>
      </w:r>
      <w:r>
        <w:rPr/>
        <w:t>s</w:t>
      </w:r>
      <w:r>
        <w:rPr/>
        <w:t>ince Survey 2022 as shown in Figure 128.</w:t>
      </w:r>
    </w:p>
    <w:p>
      <w:pPr>
        <w:pStyle w:val="normal2"/>
        <w:widowControl w:val="false"/>
        <w:spacing w:lineRule="auto" w:line="240"/>
        <w:rPr/>
      </w:pPr>
      <w:r>
        <w:rPr/>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128: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2"/>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129 and 130.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129: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130: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131 and 132.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131: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132: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133 and 134.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133: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134: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highlight w:val="yellow"/>
        </w:rPr>
        <w:t>Fisca</w:t>
      </w:r>
      <w:r>
        <w:rPr>
          <w:i/>
          <w:iCs/>
          <w:lang w:eastAsia="en-GB" w:bidi="ar-SA"/>
        </w:rPr>
        <w:t xml:space="preserve">lYear} </w:t>
      </w:r>
      <w:r>
        <w:rPr>
          <w:i/>
          <w:iCs/>
          <w:lang w:eastAsia="en-GB" w:bidi="ar-SA"/>
        </w:rPr>
        <w:t>i</w:t>
      </w:r>
      <w:r>
        <w:rPr>
          <w:i/>
          <w:iCs/>
          <w:lang w:eastAsia="en-GB" w:bidi="ar-SA"/>
        </w:rPr>
        <w:t>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135.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135: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xml:space="preserve">} </w:t>
      </w:r>
      <w:r>
        <w:rPr>
          <w:shd w:fill="auto" w:val="clear"/>
          <w:lang w:eastAsia="en-GB" w:bidi="ar-SA"/>
        </w:rPr>
        <w:t>f</w:t>
      </w:r>
      <w:r>
        <w:rPr>
          <w:shd w:fill="auto" w:val="clear"/>
          <w:lang w:eastAsia="en-GB" w:bidi="ar-SA"/>
        </w:rPr>
        <w:t>rom the previous year</w:t>
      </w:r>
      <w:r>
        <w:rPr>
          <w:lang w:eastAsia="en-GB" w:bidi="ar-SA"/>
        </w:rPr>
        <w:t xml:space="preserve"> and </w:t>
      </w:r>
      <w:r>
        <w:rPr/>
        <w:t>{</w:t>
      </w:r>
      <w:r>
        <w:rPr>
          <w:highlight w:val="yellow"/>
        </w:rPr>
        <w:t>Question50[3]}</w:t>
      </w:r>
      <w:r>
        <w:rPr>
          <w:lang w:eastAsia="en-GB" w:bidi="ar-SA"/>
        </w:rPr>
        <w:t xml:space="preserve"> since Survey 2022 as shown in Figure 136.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136: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137.</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137: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2"/>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138.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138: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139.</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139: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2"/>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2022 in 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140.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140: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2"/>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2022 in millions of Euros?</w:t>
      </w:r>
      <w:r>
        <w:rPr>
          <w:lang w:eastAsia="en-GB" w:bidi="ar-SA"/>
        </w:rPr>
        <w:t xml:space="preserve"> (Q147) can be better compared across countries by being relativi</w:t>
      </w:r>
      <w:r>
        <w:rPr>
          <w:lang w:eastAsia="en-GB" w:bidi="ar-SA"/>
        </w:rPr>
        <w:t>s</w:t>
      </w:r>
      <w:r>
        <w:rPr>
          <w:lang w:eastAsia="en-GB" w:bidi="ar-SA"/>
        </w:rPr>
        <w:t xml:space="preserve">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141.</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141: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start"/>
        <w:rPr>
          <w:b/>
          <w:bCs/>
        </w:rPr>
      </w:pPr>
      <w:r>
        <w:rPr>
          <w:b/>
          <w:bCs/>
          <w:lang w:val="en-GB" w:eastAsia="en-GB" w:bidi="ar-SA"/>
        </w:rPr>
        <w:t>References</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[2] Website of the expert group on EOSC Steering Board under the European Commission hosted by the European Commission. Link: https://ec.europa.eu/transparency/ expert-groups-register/screen/expert-groups/consult?lang=en&amp;groupID=3756.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[3] EOSC Future and EOSC Steering Board (2021) Survey on National Contributions to EOSC 2021. Link: https://zenodo.org/record/7423953.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[4] EOSC Future and EOSC Steering Board (2023) Survey on National Contributions to EOSC 2022. Link: https://zenodo.org/record/7550798.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[5] Webpage of the EOSC Observatory Zenodo Community hosted by Zenodo. Link: https://zenodo.org/communities/eoscobservatory.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[6] Website of the EOSC Open Science Observatory hosted on the EOSC Portal website by the EOSC Future project. Link: https://eoscobservatory.eosc-portal.eu.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[7] Webpage of the EOSC Track project on CORDIS hosted by the European Commission. Link: https://cordis.europa.eu/project/id/101148217.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[8] O'Neill, Gareth (2025) Monitoring Framework for National Contributions to EOSC and Open Science (V2). Report of the EOSC Track project. Link: https://zenodo.org/record/7410760.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[9] EOSC Track and EOSC Steering Board (2025) Survey on National Contributions to EOSC 2024. Link: https://zenodo.org/records/17704636.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[10] O’Neill, Gareth and Stefania Martziou (2023) Data of Survey on National Contributions to EOSC 2024. Data set of the EOSC Track project. Link: https://zenodo.org/records/17704792.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[11] Webpage on the FAIR Principles hosted by the GO FAIR Foundation. Link: https://www.go-fair.org/fair-principles.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[12] Webpage of the EOSC-Exchange hosted by the EOSC Future project. Link: https://eoscfuture.eu/ker/eosc-exchange.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[13] Webpage of the EOSC-Core hosted by the EOSC Future project. Link: https:// eoscfuture.eu/ker/eosc-core. Accessed 09 February 2026.</w:t>
      </w:r>
    </w:p>
    <w:p>
      <w:pPr>
        <w:pStyle w:val="Normal"/>
        <w:suppressAutoHyphens w:val="false"/>
        <w:jc w:val="start"/>
        <w:rPr>
          <w:lang w:val="en-GB" w:eastAsia="en-GB" w:bidi="ar-SA"/>
        </w:rPr>
      </w:pPr>
      <w:r>
        <w:rPr>
          <w:lang w:val="en-GB" w:eastAsia="en-GB" w:bidi="ar-SA"/>
        </w:rPr>
      </w:r>
    </w:p>
    <w:p>
      <w:pPr>
        <w:pStyle w:val="Normal"/>
        <w:suppressAutoHyphens w:val="false"/>
        <w:jc w:val="start"/>
        <w:rPr/>
      </w:pPr>
      <w:r>
        <w:rPr/>
        <w:t>[14] Website of the EOSC EU Node hosted by the European Commission. Link: https://open-science-cloud.ec.europa.eu. Accessed 09 February 2026.</w:t>
      </w:r>
    </w:p>
    <w:sectPr>
      <w:footerReference w:type="even" r:id="rId3"/>
      <w:footerReference w:type="default" r:id="rId4"/>
      <w:footerReference w:type="first" r:id="rId5"/>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Arial">
    <w:altName w:val="sans-serif"/>
    <w:charset w:val="01" w:characterSet="utf-8"/>
    <w:family w:val="roman"/>
    <w:pitch w:val="variable"/>
  </w:font>
  <w:font w:name="Arial">
    <w:altName w:val="sans-serif"/>
    <w:charset w:val="01" w:characterSet="utf-8"/>
    <w:family w:val="auto"/>
    <w:pitch w:val="default"/>
  </w:font>
  <w:font w:name="Open Sans">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9"/>
      <w:numFmt w:val="decimal"/>
      <w:lvlText w:val="%1."/>
      <w:lvlJc w:val="end"/>
      <w:pPr>
        <w:tabs>
          <w:tab w:val="num" w:pos="0"/>
        </w:tabs>
        <w:ind w:start="720" w:hanging="360"/>
      </w:pPr>
      <w:rPr>
        <w:dstrike w:val="false"/>
        <w:strike w:val="false"/>
        <w:u w:val="none"/>
        <w:effect w:val="none"/>
      </w:rPr>
    </w:lvl>
    <w:lvl w:ilvl="1">
      <w:start w:val="1"/>
      <w:numFmt w:val="decimal"/>
      <w:lvlText w:val="%1.%2."/>
      <w:lvlJc w:val="end"/>
      <w:pPr>
        <w:tabs>
          <w:tab w:val="num" w:pos="0"/>
        </w:tabs>
        <w:ind w:start="1440" w:hanging="360"/>
      </w:pPr>
      <w:rPr>
        <w:dstrike w:val="false"/>
        <w:strike w:val="false"/>
        <w:u w:val="none"/>
        <w:effect w:val="none"/>
      </w:rPr>
    </w:lvl>
    <w:lvl w:ilvl="2">
      <w:start w:val="1"/>
      <w:numFmt w:val="decimal"/>
      <w:lvlText w:val="%1.%2.%3."/>
      <w:lvlJc w:val="end"/>
      <w:pPr>
        <w:tabs>
          <w:tab w:val="num" w:pos="0"/>
        </w:tabs>
        <w:ind w:start="2160" w:hanging="360"/>
      </w:pPr>
      <w:rPr>
        <w:dstrike w:val="false"/>
        <w:strike w:val="false"/>
        <w:u w:val="none"/>
        <w:effect w:val="none"/>
      </w:rPr>
    </w:lvl>
    <w:lvl w:ilvl="3">
      <w:start w:val="1"/>
      <w:numFmt w:val="decimal"/>
      <w:lvlText w:val="%1.%2.%3.%4."/>
      <w:lvlJc w:val="end"/>
      <w:pPr>
        <w:tabs>
          <w:tab w:val="num" w:pos="0"/>
        </w:tabs>
        <w:ind w:start="2880" w:hanging="360"/>
      </w:pPr>
      <w:rPr>
        <w:dstrike w:val="false"/>
        <w:strike w:val="false"/>
        <w:u w:val="none"/>
        <w:effect w:val="none"/>
      </w:rPr>
    </w:lvl>
    <w:lvl w:ilvl="4">
      <w:start w:val="1"/>
      <w:numFmt w:val="decimal"/>
      <w:lvlText w:val="%1.%2.%3.%4.%5."/>
      <w:lvlJc w:val="end"/>
      <w:pPr>
        <w:tabs>
          <w:tab w:val="num" w:pos="0"/>
        </w:tabs>
        <w:ind w:start="3600" w:hanging="360"/>
      </w:pPr>
      <w:rPr>
        <w:dstrike w:val="false"/>
        <w:strike w:val="false"/>
        <w:u w:val="none"/>
        <w:effect w:val="none"/>
      </w:rPr>
    </w:lvl>
    <w:lvl w:ilvl="5">
      <w:start w:val="1"/>
      <w:numFmt w:val="decimal"/>
      <w:lvlText w:val="%1.%2.%3.%4.%5.%6."/>
      <w:lvlJc w:val="end"/>
      <w:pPr>
        <w:tabs>
          <w:tab w:val="num" w:pos="0"/>
        </w:tabs>
        <w:ind w:start="4320" w:hanging="360"/>
      </w:pPr>
      <w:rPr>
        <w:dstrike w:val="false"/>
        <w:strike w:val="false"/>
        <w:u w:val="none"/>
        <w:effect w:val="none"/>
      </w:rPr>
    </w:lvl>
    <w:lvl w:ilvl="6">
      <w:start w:val="1"/>
      <w:numFmt w:val="decimal"/>
      <w:lvlText w:val="%1.%2.%3.%4.%5.%6.%7."/>
      <w:lvlJc w:val="end"/>
      <w:pPr>
        <w:tabs>
          <w:tab w:val="num" w:pos="0"/>
        </w:tabs>
        <w:ind w:start="5040" w:hanging="360"/>
      </w:pPr>
      <w:rPr>
        <w:dstrike w:val="false"/>
        <w:strike w:val="false"/>
        <w:u w:val="none"/>
        <w:effect w:val="none"/>
      </w:rPr>
    </w:lvl>
    <w:lvl w:ilvl="7">
      <w:start w:val="1"/>
      <w:numFmt w:val="decimal"/>
      <w:lvlText w:val="%1.%2.%3.%4.%5.%6.%7.%8."/>
      <w:lvlJc w:val="end"/>
      <w:pPr>
        <w:tabs>
          <w:tab w:val="num" w:pos="0"/>
        </w:tabs>
        <w:ind w:start="5760" w:hanging="360"/>
      </w:pPr>
      <w:rPr>
        <w:dstrike w:val="false"/>
        <w:strike w:val="false"/>
        <w:u w:val="none"/>
        <w:effect w:val="none"/>
      </w:rPr>
    </w:lvl>
    <w:lvl w:ilvl="8">
      <w:start w:val="1"/>
      <w:numFmt w:val="decimal"/>
      <w:lvlText w:val="%1.%2.%3.%4.%5.%6.%7.%8.%9."/>
      <w:lvlJc w:val="end"/>
      <w:pPr>
        <w:tabs>
          <w:tab w:val="num" w:pos="0"/>
        </w:tabs>
        <w:ind w:start="6480" w:hanging="360"/>
      </w:pPr>
      <w:rPr>
        <w:dstrike w:val="false"/>
        <w:strike w:val="false"/>
        <w:u w:val="none"/>
        <w:effect w:val="none"/>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isplayBackgroundShape/>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31007</TotalTime>
  <Application>LibreOffice/24.2.7.2$Linux_X86_64 LibreOffice_project/420$Build-2</Application>
  <AppVersion>15.0000</AppVersion>
  <Pages>29</Pages>
  <Words>9695</Words>
  <Characters>54815</Characters>
  <CharactersWithSpaces>63865</CharactersWithSpaces>
  <Paragraphs>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2026-02-05T21:41:24Z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