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6.xml" ContentType="application/vnd.openxmlformats-officedocument.wordprocessingml.footer+xml"/>
  <Override PartName="/word/theme/theme1.xml" ContentType="application/vnd.openxmlformats-officedocument.theme+xml"/>
  <Override PartName="/word/footer5.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EOSC Track | Survey Report 2024 | Text</w:t>
      </w:r>
    </w:p>
    <w:p>
      <w:pPr>
        <w:pStyle w:val="normal1"/>
        <w:jc w:val="left"/>
        <w:rPr/>
      </w:pPr>
      <w:r>
        <w:rPr/>
      </w:r>
    </w:p>
    <w:p>
      <w:pPr>
        <w:pStyle w:val="normal1"/>
        <w:rPr>
          <w:highlight w:val="cyan"/>
        </w:rPr>
      </w:pPr>
      <w:r>
        <w:rPr>
          <w:highlight w:val="cyan"/>
        </w:rPr>
        <w:t>Front Page</w:t>
      </w:r>
    </w:p>
    <w:p>
      <w:pPr>
        <w:pStyle w:val="normal1"/>
        <w:rPr/>
      </w:pPr>
      <w:r>
        <w:rPr/>
      </w:r>
    </w:p>
    <w:p>
      <w:pPr>
        <w:pStyle w:val="normal1"/>
        <w:rPr>
          <w:highlight w:val="cyan"/>
        </w:rPr>
      </w:pPr>
      <w:r>
        <w:rPr>
          <w:highlight w:val="cyan"/>
        </w:rPr>
        <w:t>Table of Contents</w:t>
      </w:r>
    </w:p>
    <w:p>
      <w:pPr>
        <w:pStyle w:val="normal1"/>
        <w:rPr/>
      </w:pPr>
      <w:r>
        <w:rPr/>
      </w:r>
    </w:p>
    <w:p>
      <w:pPr>
        <w:pStyle w:val="normal1"/>
        <w:rPr>
          <w:highlight w:val="cyan"/>
        </w:rPr>
      </w:pPr>
      <w:r>
        <w:rPr>
          <w:highlight w:val="cyan"/>
        </w:rPr>
        <w:t>List of Tables</w:t>
      </w:r>
    </w:p>
    <w:p>
      <w:pPr>
        <w:pStyle w:val="normal1"/>
        <w:rPr/>
      </w:pPr>
      <w:r>
        <w:rPr/>
      </w:r>
    </w:p>
    <w:p>
      <w:pPr>
        <w:pStyle w:val="normal1"/>
        <w:rPr>
          <w:highlight w:val="cyan"/>
        </w:rPr>
      </w:pPr>
      <w:r>
        <w:rPr>
          <w:highlight w:val="cyan"/>
        </w:rPr>
        <w:t>Executive Summary</w:t>
      </w:r>
    </w:p>
    <w:p>
      <w:pPr>
        <w:pStyle w:val="normal1"/>
        <w:rPr/>
      </w:pPr>
      <w:r>
        <w:rPr/>
      </w:r>
    </w:p>
    <w:p>
      <w:pPr>
        <w:pStyle w:val="normal1"/>
        <w:numPr>
          <w:ilvl w:val="0"/>
          <w:numId w:val="1"/>
        </w:numPr>
        <w:ind w:hanging="360" w:left="720"/>
        <w:rPr/>
      </w:pPr>
      <w:r>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1"/>
        <w:tblW w:w="9629" w:type="dxa"/>
        <w:jc w:val="left"/>
        <w:tblInd w:w="0" w:type="dxa"/>
        <w:tblLayout w:type="fixed"/>
        <w:tblCellMar>
          <w:top w:w="0" w:type="dxa"/>
          <w:left w:w="108" w:type="dxa"/>
          <w:bottom w:w="0" w:type="dxa"/>
          <w:right w:w="108" w:type="dxa"/>
        </w:tblCellMar>
        <w:tblLook w:val="0600"/>
      </w:tblPr>
      <w:tblGrid>
        <w:gridCol w:w="1904"/>
        <w:gridCol w:w="2577"/>
        <w:gridCol w:w="2578"/>
        <w:gridCol w:w="2569"/>
      </w:tblGrid>
      <w:tr>
        <w:trPr>
          <w:trHeight w:val="504" w:hRule="atLeast"/>
        </w:trPr>
        <w:tc>
          <w:tcPr>
            <w:tcW w:w="1904" w:type="dxa"/>
            <w:tcBorders/>
            <w:shd w:fill="auto"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77"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Policies</w:t>
            </w:r>
          </w:p>
        </w:tc>
        <w:tc>
          <w:tcPr>
            <w:tcW w:w="2578"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Practices</w:t>
            </w:r>
          </w:p>
        </w:tc>
        <w:tc>
          <w:tcPr>
            <w:tcW w:w="2569" w:type="dxa"/>
            <w:tcBorders/>
            <w:shd w:fill="31849B" w:val="clear"/>
            <w:vAlign w:val="bottom"/>
          </w:tcPr>
          <w:p>
            <w:pPr>
              <w:pStyle w:val="normal1"/>
              <w:spacing w:lineRule="auto" w:line="276" w:before="0" w:after="120"/>
              <w:jc w:val="center"/>
              <w:rPr>
                <w:rFonts w:ascii="Open Sans" w:hAnsi="Open Sans" w:eastAsia="Open Sans" w:cs="Open Sans"/>
                <w:b/>
                <w:color w:val="FFFFFF"/>
                <w:sz w:val="20"/>
                <w:szCs w:val="20"/>
              </w:rPr>
            </w:pPr>
            <w:r>
              <w:rPr>
                <w:rFonts w:eastAsia="Open Sans" w:cs="Open Sans" w:ascii="Open Sans" w:hAnsi="Open Sans"/>
                <w:b/>
                <w:color w:val="FFFFFF"/>
                <w:sz w:val="20"/>
                <w:szCs w:val="20"/>
              </w:rPr>
              <w:t>Impacts</w:t>
            </w:r>
          </w:p>
        </w:tc>
      </w:tr>
      <w:tr>
        <w:trPr>
          <w:trHeight w:val="390" w:hRule="atLeast"/>
        </w:trPr>
        <w:tc>
          <w:tcPr>
            <w:tcW w:w="1904" w:type="dxa"/>
            <w:vMerge w:val="restart"/>
            <w:tcBorders/>
            <w:shd w:fill="31849B" w:val="clear"/>
            <w:vAlign w:val="center"/>
          </w:tcPr>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Publications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Data</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Software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Services</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Infrastructure</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Skills/Training</w:t>
            </w:r>
          </w:p>
          <w:p>
            <w:pPr>
              <w:pStyle w:val="normal1"/>
              <w:spacing w:lineRule="auto" w:line="276" w:before="0" w:after="120"/>
              <w:rPr>
                <w:rFonts w:ascii="Open Sans" w:hAnsi="Open Sans" w:eastAsia="Open Sans" w:cs="Open Sans"/>
                <w:b/>
                <w:color w:val="FFFFFF"/>
                <w:sz w:val="20"/>
                <w:szCs w:val="20"/>
              </w:rPr>
            </w:pPr>
            <w:r>
              <w:rPr>
                <w:rFonts w:eastAsia="Open Sans" w:cs="Open Sans" w:ascii="Open Sans" w:hAnsi="Open Sans"/>
                <w:b/>
                <w:color w:val="FFFFFF"/>
                <w:sz w:val="20"/>
                <w:szCs w:val="20"/>
              </w:rPr>
              <w:t>Assessment</w:t>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a National Policy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Countries with National Monitoring</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Impact Stories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Countries with a Financial Strategy</w:t>
            </w:r>
          </w:p>
        </w:tc>
        <w:tc>
          <w:tcPr>
            <w:tcW w:w="2578"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County Use Cases</w:t>
            </w:r>
          </w:p>
        </w:tc>
        <w:tc>
          <w:tcPr>
            <w:tcW w:w="2569"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Output Outcomes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jc w:val="center"/>
              <w:rPr>
                <w:rFonts w:ascii="Open Sans" w:hAnsi="Open Sans" w:eastAsia="Open Sans" w:cs="Open Sans"/>
                <w:sz w:val="20"/>
                <w:szCs w:val="20"/>
              </w:rPr>
            </w:pPr>
            <w:r>
              <w:rPr>
                <w:rFonts w:eastAsia="Open Sans" w:cs="Open Sans" w:ascii="Open Sans" w:hAnsi="Open Sans"/>
                <w:sz w:val="20"/>
                <w:szCs w:val="20"/>
              </w:rPr>
              <w:t>Country RPOs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Investments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Correlation between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77"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RFOs with a Policy</w:t>
            </w:r>
          </w:p>
        </w:tc>
        <w:tc>
          <w:tcPr>
            <w:tcW w:w="2578"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Country Outputs</w:t>
            </w:r>
          </w:p>
        </w:tc>
        <w:tc>
          <w:tcPr>
            <w:tcW w:w="2569" w:type="dxa"/>
            <w:vMerge w:val="restart"/>
            <w:tcBorders/>
            <w:shd w:fill="B7DDE8" w:val="clear"/>
            <w:vAlign w:val="center"/>
          </w:tcPr>
          <w:p>
            <w:pPr>
              <w:pStyle w:val="normal1"/>
              <w:spacing w:lineRule="auto" w:line="276" w:before="0" w:after="120"/>
              <w:jc w:val="center"/>
              <w:rPr>
                <w:rFonts w:ascii="Open Sans" w:hAnsi="Open Sans" w:eastAsia="Open Sans" w:cs="Open Sans"/>
                <w:sz w:val="20"/>
                <w:szCs w:val="20"/>
              </w:rPr>
            </w:pPr>
            <w:r>
              <w:rPr>
                <w:rFonts w:eastAsia="Open Sans" w:cs="Open Sans" w:ascii="Open Sans" w:hAnsi="Open Sans"/>
                <w:sz w:val="20"/>
                <w:szCs w:val="20"/>
              </w:rPr>
              <w:t>Yearly Progress in Country Indicators</w:t>
            </w:r>
          </w:p>
        </w:tc>
      </w:tr>
      <w:tr>
        <w:trPr>
          <w:trHeight w:val="390" w:hRule="atLeast"/>
        </w:trPr>
        <w:tc>
          <w:tcPr>
            <w:tcW w:w="1904" w:type="dxa"/>
            <w:vMerge w:val="continue"/>
            <w:tcBorders/>
            <w:shd w:fill="31849B" w:val="clear"/>
            <w:vAlign w:val="center"/>
          </w:tcPr>
          <w:p>
            <w:pPr>
              <w:pStyle w:val="normal1"/>
              <w:spacing w:lineRule="auto" w:line="240" w:before="0" w:after="0"/>
              <w:ind w:hanging="0" w:left="0"/>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78"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fill="B7DDE8" w:val="clear"/>
            <w:vAlign w:val="center"/>
          </w:tcPr>
          <w:p>
            <w:pPr>
              <w:pStyle w:val="normal1"/>
              <w:widowControl w:val="false"/>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w:t>
      </w:r>
      <w:r>
        <w:rPr>
          <w:highlight w:val="yellow"/>
        </w:rPr>
        <w:t>[DATE]</w:t>
      </w:r>
      <w:r>
        <w:rPr/>
        <w:t xml:space="preserve"> and ran until </w:t>
      </w:r>
      <w:r>
        <w:rPr>
          <w:highlight w:val="yellow"/>
        </w:rPr>
        <w:t>[DATE]</w:t>
      </w:r>
      <w:r>
        <w:rPr/>
        <w:t xml:space="preserve"> whereby </w:t>
      </w:r>
      <w:r>
        <w:rPr>
          <w:highlight w:val="yellow"/>
        </w:rPr>
        <w:t>[#]</w:t>
      </w:r>
      <w:r>
        <w:rPr/>
        <w:t xml:space="preserve"> countries responded consisting of </w:t>
      </w:r>
      <w:r>
        <w:rPr>
          <w:highlight w:val="yellow"/>
        </w:rPr>
        <w:t>[#]</w:t>
      </w:r>
      <w:r>
        <w:rPr/>
        <w:t xml:space="preserve"> of the </w:t>
      </w:r>
      <w:r>
        <w:rPr>
          <w:highlight w:val="yellow"/>
        </w:rPr>
        <w:t>[#]</w:t>
      </w:r>
      <w:r>
        <w:rPr/>
        <w:t xml:space="preserve"> European Union (EU) countries and </w:t>
      </w:r>
      <w:r>
        <w:rPr>
          <w:highlight w:val="yellow"/>
        </w:rPr>
        <w:t>[#]</w:t>
      </w:r>
      <w:r>
        <w:rPr/>
        <w:t xml:space="preserve"> non-EU countries as shown in </w:t>
      </w:r>
      <w:commentRangeStart w:id="0"/>
      <w:r>
        <w:rPr/>
        <w:t>Tables 2 and 3</w:t>
      </w:r>
      <w:r>
        <w:rPr/>
      </w:r>
      <w:commentRangeEnd w:id="0"/>
      <w:r>
        <w:commentReference w:id="0"/>
      </w:r>
      <w:r>
        <w:rPr/>
        <w:t>. This report is based on the data collected from Survey {</w:t>
      </w:r>
      <w:r>
        <w:rPr>
          <w:highlight w:val="yellow"/>
        </w:rPr>
        <w:t>Year}</w:t>
      </w:r>
      <w:r>
        <w:rPr/>
        <w:t xml:space="preserve"> </w:t>
      </w:r>
      <w:r>
        <w:rPr>
          <w:highlight w:val="yellow"/>
        </w:rPr>
        <w:t>[10]</w:t>
      </w:r>
      <w:r>
        <w:rPr/>
        <w:t xml:space="preserve"> and focuses exclusively on the survey results for the </w:t>
      </w:r>
      <w:r>
        <w:rPr>
          <w:highlight w:val="yellow"/>
        </w:rPr>
        <w:t>[#]</w:t>
      </w:r>
      <w:r>
        <w:rP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commentRangeStart w:id="1"/>
      <w:r>
        <w:rPr>
          <w:highlight w:val="yellow"/>
        </w:rPr>
        <w:t>[TABLE 2]</w:t>
      </w:r>
      <w:commentRangeEnd w:id="1"/>
      <w:r>
        <w:commentReference w:id="1"/>
      </w:r>
      <w:r>
        <w:rPr>
          <w:highlight w:val="yellow"/>
        </w:rPr>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commentRangeStart w:id="2"/>
      <w:r>
        <w:rPr>
          <w:highlight w:val="yellow"/>
        </w:rPr>
        <w:t>[TABLE 3]</w:t>
      </w:r>
      <w:commentRangeEnd w:id="2"/>
      <w:r>
        <w:commentReference w:id="2"/>
      </w:r>
      <w:r>
        <w:rPr>
          <w:highlight w:val="yellow"/>
        </w:rPr>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ind w:hanging="0" w:left="0"/>
        <w:rPr/>
      </w:pPr>
      <w:r>
        <w:rPr/>
      </w:r>
    </w:p>
    <w:p>
      <w:pPr>
        <w:pStyle w:val="normal1"/>
        <w:numPr>
          <w:ilvl w:val="0"/>
          <w:numId w:val="1"/>
        </w:numPr>
        <w:ind w:hanging="360" w:left="720"/>
        <w:rPr/>
      </w:pPr>
      <w:r>
        <w:rPr/>
        <w:t>Publications​​</w:t>
      </w:r>
    </w:p>
    <w:p>
      <w:pPr>
        <w:pStyle w:val="normal1"/>
        <w:rPr/>
      </w:pPr>
      <w:r>
        <w:rPr/>
      </w:r>
    </w:p>
    <w:p>
      <w:pPr>
        <w:pStyle w:val="normal1"/>
        <w:widowControl w:val="false"/>
        <w:numPr>
          <w:ilvl w:val="1"/>
          <w:numId w:val="1"/>
        </w:numPr>
        <w:spacing w:lineRule="auto" w:line="240"/>
        <w:ind w:hanging="360" w:left="1440"/>
        <w:rPr/>
      </w:pPr>
      <w:r>
        <w:rPr/>
        <w:t>Policies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auto" w:val="clear"/>
        </w:rPr>
        <w:t>{</w:t>
      </w:r>
      <w:r>
        <w:rPr>
          <w:shd w:fill="FFFF00" w:val="clear"/>
        </w:rPr>
        <w:t>Question6</w:t>
      </w:r>
      <w:r>
        <w:rPr>
          <w:shd w:fill="auto" w:val="clear"/>
        </w:rPr>
        <w:t>}</w:t>
      </w:r>
      <w:r>
        <w:rPr/>
        <w:t xml:space="preserve"> of responding EU countries have a national policy on open access to publications whereby </w:t>
      </w:r>
      <w:r>
        <w:rPr>
          <w:shd w:fill="auto" w:val="clear"/>
        </w:rPr>
        <w:t>{</w:t>
      </w:r>
      <w:r>
        <w:rPr>
          <w:shd w:fill="FFFF00" w:val="clear"/>
        </w:rPr>
        <w:t>Question6.1</w:t>
      </w:r>
      <w:r>
        <w:rPr>
          <w:shd w:fill="auto" w:val="clear"/>
        </w:rPr>
        <w:t>}</w:t>
      </w:r>
      <w:r>
        <w:rPr/>
        <w:t xml:space="preserve">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auto" w:val="clear"/>
        </w:rPr>
        <w:t>{</w:t>
      </w:r>
      <w:r>
        <w:rPr>
          <w:shd w:fill="FFFF00" w:val="clear"/>
        </w:rPr>
        <w:t>Question6.3</w:t>
      </w:r>
      <w:r>
        <w:rPr>
          <w:shd w:fill="auto" w:val="clear"/>
        </w:rPr>
        <w:t>}</w:t>
      </w:r>
      <w:r>
        <w:rPr/>
        <w:t xml:space="preserve"> of responding EU countries have a specific policy on immediate open access to publications whereby </w:t>
      </w:r>
      <w:r>
        <w:rPr>
          <w:shd w:fill="auto" w:val="clear"/>
        </w:rPr>
        <w:t>{</w:t>
      </w:r>
      <w:r>
        <w:rPr>
          <w:shd w:fill="FFFF00" w:val="clear"/>
        </w:rPr>
        <w:t>Question6.3.1</w:t>
      </w:r>
      <w:r>
        <w:rPr>
          <w:shd w:fill="auto" w:val="clear"/>
        </w:rPr>
        <w:t>}</w:t>
      </w:r>
      <w:r>
        <w:rPr/>
        <w:t xml:space="preserve">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Is there a specific policy on retention of IPR on publications?</w:t>
      </w:r>
      <w:r>
        <w:rPr/>
        <w:t xml:space="preserve"> (Q1.4) followed by </w:t>
      </w:r>
      <w:r>
        <w:rPr>
          <w:i/>
        </w:rPr>
        <w:t>Is this policy mandatory?</w:t>
      </w:r>
      <w:r>
        <w:rPr/>
        <w:t xml:space="preserve"> (Q1.4.1). </w:t>
      </w:r>
      <w:r>
        <w:rPr>
          <w:shd w:fill="auto" w:val="clear"/>
        </w:rPr>
        <w:t>{</w:t>
      </w:r>
      <w:r>
        <w:rPr>
          <w:shd w:fill="FFFF00" w:val="clear"/>
        </w:rPr>
        <w:t>Question6.4</w:t>
      </w:r>
      <w:r>
        <w:rPr>
          <w:shd w:fill="auto" w:val="clear"/>
        </w:rPr>
        <w:t>}</w:t>
      </w:r>
      <w:r>
        <w:rPr/>
        <w:t xml:space="preserve"> of responding EU countries have a specific policy on retention of IPR on publications whereby </w:t>
      </w:r>
      <w:r>
        <w:rPr>
          <w:shd w:fill="auto" w:val="clear"/>
        </w:rPr>
        <w:t>{</w:t>
      </w:r>
      <w:r>
        <w:rPr>
          <w:shd w:fill="FFFF00" w:val="clear"/>
        </w:rPr>
        <w:t>Question6.4.1</w:t>
      </w:r>
      <w:r>
        <w:rPr>
          <w:shd w:fill="auto" w:val="clear"/>
        </w:rPr>
        <w:t>}</w:t>
      </w:r>
      <w:r>
        <w:rPr/>
        <w:t xml:space="preserve">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auto" w:val="clear"/>
        </w:rPr>
        <w:t>{</w:t>
      </w:r>
      <w:r>
        <w:rPr>
          <w:shd w:fill="FFFF00" w:val="clear"/>
        </w:rPr>
        <w:t>Question6.5</w:t>
      </w:r>
      <w:r>
        <w:rPr>
          <w:shd w:fill="auto" w:val="clear"/>
        </w:rPr>
        <w:t>}</w:t>
      </w:r>
      <w:r>
        <w:rPr/>
        <w:t xml:space="preserve"> of responding EU countries have a specific policy on open licensing of publications whereby </w:t>
      </w:r>
      <w:r>
        <w:rPr>
          <w:shd w:fill="auto" w:val="clear"/>
        </w:rPr>
        <w:t>{</w:t>
      </w:r>
      <w:r>
        <w:rPr>
          <w:shd w:fill="FFFF00" w:val="clear"/>
        </w:rPr>
        <w:t>Question6.5.1</w:t>
      </w:r>
      <w:r>
        <w:rPr>
          <w:shd w:fill="auto" w:val="clear"/>
        </w:rPr>
        <w:t>}</w:t>
      </w:r>
      <w:r>
        <w:rPr/>
        <w:t xml:space="preserve">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auto" w:val="clear"/>
        </w:rPr>
        <w:t>{</w:t>
      </w:r>
      <w:r>
        <w:rPr>
          <w:shd w:fill="FFFF00" w:val="clear"/>
        </w:rPr>
        <w:t>Question7</w:t>
      </w:r>
      <w:r>
        <w:rPr>
          <w:shd w:fill="auto" w:val="clear"/>
        </w:rPr>
        <w:t>}</w:t>
      </w:r>
      <w:r>
        <w:rPr/>
        <w:t xml:space="preserve">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Practices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Year}</w:t>
      </w:r>
      <w:r>
        <w:rPr>
          <w:i/>
        </w:rPr>
        <w:t xml:space="preserve"> in millions of Euros?</w:t>
      </w:r>
      <w:r>
        <w:rPr/>
        <w:t xml:space="preserve"> (Q51). {</w:t>
      </w:r>
      <w:r>
        <w:rPr>
          <w:highlight w:val="yellow"/>
        </w:rPr>
        <w:t>Question56[0]}</w:t>
      </w:r>
      <w:r>
        <w:rPr/>
        <w:t xml:space="preserve"> of responding EU countries are not investing or have not stated the amount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auto" w:val="clear"/>
        </w:rPr>
        <w:t>{</w:t>
      </w:r>
      <w:r>
        <w:rPr>
          <w:shd w:fill="FFFF00" w:val="clear"/>
        </w:rPr>
        <w:t>Question56[6]</w:t>
      </w:r>
      <w:r>
        <w:rPr>
          <w:shd w:fill="auto" w:val="clear"/>
        </w:rPr>
        <w:t>}</w:t>
      </w:r>
      <w:r>
        <w:rPr/>
        <w:t xml:space="preserve">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0" w:name="__DdeLink__2403_2503287465"/>
      <w:r>
        <w:rPr>
          <w:i/>
        </w:rPr>
        <w:t>Share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ind w:hanging="360" w:left="1440"/>
        <w:rPr/>
      </w:pPr>
      <w:r>
        <w:rPr/>
        <w:t>Impact</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highlight w:val="yellow"/>
        </w:rPr>
        <w:t>Year}</w:t>
      </w:r>
      <w:r>
        <w:rPr/>
        <w:t xml:space="preserve"> from the previous year and {</w:t>
      </w:r>
      <w:r>
        <w:rPr>
          <w:highlight w:val="yellow"/>
        </w:rPr>
        <w:t>Question6[1]}</w:t>
      </w:r>
      <w:r>
        <w:rPr/>
        <w:t xml:space="preserve"> since 2022 whereby there is {</w:t>
      </w:r>
      <w:r>
        <w:rPr>
          <w:highlight w:val="yellow"/>
        </w:rPr>
        <w:t>Question6[2]}</w:t>
      </w:r>
      <w:r>
        <w:rPr/>
        <w:t xml:space="preserve"> in mandatory policies in {</w:t>
      </w:r>
      <w:r>
        <w:rPr>
          <w:highlight w:val="yellow"/>
        </w:rPr>
        <w:t>Year}</w:t>
      </w:r>
      <w:r>
        <w:rPr/>
        <w:t xml:space="preserve"> from the previous year and {</w:t>
      </w:r>
      <w:r>
        <w:rPr>
          <w:highlight w:val="yellow"/>
        </w:rPr>
        <w:t>Question6[3]}</w:t>
      </w:r>
      <w:r>
        <w:rPr/>
        <w:t xml:space="preserve"> since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numPr>
          <w:ilvl w:val="0"/>
          <w:numId w:val="2"/>
        </w:numPr>
        <w:jc w:val="center"/>
        <w:rPr/>
      </w:pPr>
      <w:r>
        <w:rPr>
          <w:i/>
        </w:rPr>
        <w:t>Figure 14: Trend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in {</w:t>
      </w:r>
      <w:r>
        <w:rPr>
          <w:highlight w:val="yellow"/>
        </w:rPr>
        <w:t>Year}</w:t>
      </w:r>
      <w:r>
        <w:rPr/>
        <w:t xml:space="preserve"> from the previous year and {</w:t>
      </w:r>
      <w:r>
        <w:rPr>
          <w:highlight w:val="yellow"/>
        </w:rPr>
        <w:t>Question6.3[1]</w:t>
      </w:r>
      <w:r>
        <w:rPr/>
        <w:t>} since 2022 whereby there is  {</w:t>
      </w:r>
      <w:r>
        <w:rPr>
          <w:highlight w:val="yellow"/>
        </w:rPr>
        <w:t>Question6.3[2]</w:t>
      </w:r>
      <w:r>
        <w:rPr/>
        <w:t>} in mandatory policies in {</w:t>
      </w:r>
      <w:r>
        <w:rPr>
          <w:highlight w:val="yellow"/>
        </w:rPr>
        <w:t>Year}</w:t>
      </w:r>
      <w:r>
        <w:rPr/>
        <w:t xml:space="preserve"> from the previous year and {</w:t>
      </w:r>
      <w:r>
        <w:rPr>
          <w:highlight w:val="yellow"/>
        </w:rPr>
        <w:t>Question6.3[3]</w:t>
      </w:r>
      <w:r>
        <w:rPr/>
        <w:t>} since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Trend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in specific policies on retention of IPR on publications in EU countries in {</w:t>
      </w:r>
      <w:r>
        <w:rPr>
          <w:highlight w:val="yellow"/>
        </w:rPr>
        <w:t>Year}</w:t>
      </w:r>
      <w:r>
        <w:rPr/>
        <w:t xml:space="preserve"> from the previous year and {</w:t>
      </w:r>
      <w:r>
        <w:rPr>
          <w:highlight w:val="yellow"/>
        </w:rPr>
        <w:t>Question6.4[1]</w:t>
      </w:r>
      <w:r>
        <w:rPr/>
        <w:t>} since 2022 whereby there is {</w:t>
      </w:r>
      <w:r>
        <w:rPr>
          <w:highlight w:val="yellow"/>
        </w:rPr>
        <w:t>Question6.4[2]</w:t>
      </w:r>
      <w:r>
        <w:rPr/>
        <w:t>} in mandatory policies in {</w:t>
      </w:r>
      <w:r>
        <w:rPr>
          <w:highlight w:val="yellow"/>
        </w:rPr>
        <w:t>Year}</w:t>
      </w:r>
      <w:r>
        <w:rPr/>
        <w:t xml:space="preserve"> from the previous year and {</w:t>
      </w:r>
      <w:r>
        <w:rPr>
          <w:highlight w:val="yellow"/>
        </w:rPr>
        <w:t>Question6.4[3]</w:t>
      </w:r>
      <w:r>
        <w:rPr/>
        <w:t>}  since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Trend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in specific policies on open licensing of publications in EU countries in {</w:t>
      </w:r>
      <w:r>
        <w:rPr>
          <w:highlight w:val="yellow"/>
        </w:rPr>
        <w:t>Year}</w:t>
      </w:r>
      <w:r>
        <w:rPr/>
        <w:t xml:space="preserve"> from the previous year and {</w:t>
      </w:r>
      <w:r>
        <w:rPr>
          <w:highlight w:val="yellow"/>
        </w:rPr>
        <w:t>Question6.5[1]</w:t>
      </w:r>
      <w:r>
        <w:rPr/>
        <w:t>}  since 2022 whereby there is {</w:t>
      </w:r>
      <w:r>
        <w:rPr>
          <w:highlight w:val="yellow"/>
        </w:rPr>
        <w:t>Question6.5[2]</w:t>
      </w:r>
      <w:r>
        <w:rPr/>
        <w:t>} in mandatory policies in {</w:t>
      </w:r>
      <w:r>
        <w:rPr>
          <w:highlight w:val="yellow"/>
        </w:rPr>
        <w:t>Year}</w:t>
      </w:r>
      <w:r>
        <w:rPr/>
        <w:t xml:space="preserve"> from the previous year and {</w:t>
      </w:r>
      <w:r>
        <w:rPr>
          <w:highlight w:val="yellow"/>
        </w:rPr>
        <w:t>Question6.5[3]</w:t>
      </w:r>
      <w:r>
        <w:rPr/>
        <w:t>} since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Trend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lastly {</w:t>
      </w:r>
      <w:r>
        <w:rPr>
          <w:highlight w:val="yellow"/>
        </w:rPr>
        <w:t>Question7[0]</w:t>
      </w:r>
      <w:r>
        <w:rPr/>
        <w:t>} in financial strategies on open access to publications in EU countries in {</w:t>
      </w:r>
      <w:r>
        <w:rPr>
          <w:highlight w:val="yellow"/>
        </w:rPr>
        <w:t>Year}</w:t>
      </w:r>
      <w:r>
        <w:rPr/>
        <w:t xml:space="preserve"> from the previous year and {</w:t>
      </w:r>
      <w:r>
        <w:rPr>
          <w:highlight w:val="yellow"/>
        </w:rPr>
        <w:t>Question7[1]</w:t>
      </w:r>
      <w:r>
        <w:rPr/>
        <w:t>} since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Trend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ind w:hanging="360" w:left="2160"/>
        <w:rPr/>
      </w:pPr>
      <w:r>
        <w:rPr/>
        <w:t>Yearly Trends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countries in {</w:t>
      </w:r>
      <w:r>
        <w:rPr>
          <w:highlight w:val="yellow"/>
        </w:rPr>
        <w:t>Year}</w:t>
      </w:r>
      <w:r>
        <w:rPr/>
        <w:t xml:space="preserve"> from the previous year and {</w:t>
      </w:r>
      <w:r>
        <w:rPr>
          <w:highlight w:val="yellow"/>
        </w:rPr>
        <w:t>Question54[1]</w:t>
      </w:r>
      <w:r>
        <w:rPr/>
        <w:t>} since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Trend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finally {</w:t>
      </w:r>
      <w:r>
        <w:rPr>
          <w:highlight w:val="yellow"/>
        </w:rPr>
        <w:t>Question56_trend[0]</w:t>
      </w:r>
      <w:r>
        <w:rPr/>
        <w:t>} in national investments in open access to publications per 1000 FTE researchers in EU countries in {</w:t>
      </w:r>
      <w:r>
        <w:rPr>
          <w:highlight w:val="yellow"/>
        </w:rPr>
        <w:t>Year}</w:t>
      </w:r>
      <w:r>
        <w:rPr/>
        <w:t xml:space="preserve"> from the previous year and {</w:t>
      </w:r>
      <w:r>
        <w:rPr>
          <w:highlight w:val="yellow"/>
        </w:rPr>
        <w:t>Question56_trend[1]</w:t>
      </w:r>
      <w:r>
        <w:rPr/>
        <w:t>}</w:t>
      </w:r>
    </w:p>
    <w:p>
      <w:pPr>
        <w:pStyle w:val="normal1"/>
        <w:widowControl w:val="false"/>
        <w:spacing w:lineRule="auto" w:line="240"/>
        <w:rPr/>
      </w:pPr>
      <w:r>
        <w:rPr/>
        <w:t>since 2022 as shown in Figure 20.</w:t>
      </w:r>
    </w:p>
    <w:p>
      <w:pPr>
        <w:pStyle w:val="normal1"/>
        <w:jc w:val="center"/>
        <w:rPr>
          <w:i/>
          <w:i/>
        </w:rPr>
      </w:pPr>
      <w:r>
        <w:rPr>
          <w:i/>
          <w:highlight w:val="yellow"/>
        </w:rPr>
        <w:t>{%chartImage14}</w:t>
      </w:r>
    </w:p>
    <w:p>
      <w:pPr>
        <w:pStyle w:val="normal1"/>
        <w:jc w:val="center"/>
        <w:rPr/>
      </w:pPr>
      <w:r>
        <w:rPr/>
      </w:r>
    </w:p>
    <w:p>
      <w:pPr>
        <w:pStyle w:val="normal1"/>
        <w:jc w:val="center"/>
        <w:rPr/>
      </w:pPr>
      <w:r>
        <w:rPr>
          <w:i/>
        </w:rPr>
        <w:t>Figure 20: Trend in EU Countries with National Investments in Open Access to Publications per 1000 FTE Researchers</w:t>
      </w:r>
    </w:p>
    <w:p>
      <w:pPr>
        <w:pStyle w:val="normal1"/>
        <w:widowControl w:val="false"/>
        <w:spacing w:lineRule="auto" w:line="240"/>
        <w:rPr/>
      </w:pPr>
      <w:r>
        <w:rPr/>
      </w:r>
    </w:p>
    <w:p>
      <w:pPr>
        <w:pStyle w:val="normal1"/>
        <w:jc w:val="center"/>
        <w:rPr>
          <w:shd w:fill="FF9900" w:val="clear"/>
        </w:rPr>
      </w:pPr>
      <w:r>
        <w:rPr>
          <w:shd w:fill="FF9900" w:val="clear"/>
        </w:rPr>
        <w:t>========== GARETH STOPPED HERE ==========</w:t>
      </w:r>
    </w:p>
    <w:p>
      <w:pPr>
        <w:pStyle w:val="normal1"/>
        <w:widowControl w:val="false"/>
        <w:spacing w:lineRule="auto" w:line="240"/>
        <w:ind w:hanging="0" w:left="0"/>
        <w:rPr/>
      </w:pPr>
      <w:r>
        <w:rPr/>
      </w:r>
    </w:p>
    <w:p>
      <w:pPr>
        <w:pStyle w:val="normal1"/>
        <w:widowControl w:val="false"/>
        <w:numPr>
          <w:ilvl w:val="0"/>
          <w:numId w:val="1"/>
        </w:numPr>
        <w:spacing w:lineRule="auto" w:line="240"/>
        <w:ind w:hanging="360" w:left="720"/>
        <w:rPr/>
      </w:pPr>
      <w:r>
        <w:rPr/>
        <w:t>Data</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Data</w:t>
      </w:r>
    </w:p>
    <w:p>
      <w:pPr>
        <w:pStyle w:val="normal1"/>
        <w:widowControl w:val="false"/>
        <w:numPr>
          <w:ilvl w:val="2"/>
          <w:numId w:val="1"/>
        </w:numPr>
        <w:spacing w:lineRule="auto" w:line="240"/>
        <w:ind w:hanging="360" w:left="2160"/>
        <w:rPr/>
      </w:pPr>
      <w:r>
        <w:rPr/>
        <w:t>Financial Strategies on Data</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Data</w:t>
      </w:r>
    </w:p>
    <w:p>
      <w:pPr>
        <w:pStyle w:val="normal1"/>
        <w:widowControl w:val="false"/>
        <w:numPr>
          <w:ilvl w:val="2"/>
          <w:numId w:val="1"/>
        </w:numPr>
        <w:spacing w:lineRule="auto" w:line="240"/>
        <w:ind w:hanging="360" w:left="2160"/>
        <w:rPr/>
      </w:pPr>
      <w:r>
        <w:rPr/>
        <w:t>National Investments in Data</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Data</w:t>
      </w:r>
    </w:p>
    <w:p>
      <w:pPr>
        <w:pStyle w:val="normal1"/>
        <w:widowControl w:val="false"/>
        <w:numPr>
          <w:ilvl w:val="2"/>
          <w:numId w:val="1"/>
        </w:numPr>
        <w:spacing w:lineRule="auto" w:line="240"/>
        <w:ind w:hanging="360" w:left="2160"/>
        <w:rPr/>
      </w:pPr>
      <w:r>
        <w:rPr/>
        <w:t>Yearly Trends in Practices on Data</w:t>
      </w:r>
    </w:p>
    <w:p>
      <w:pPr>
        <w:pStyle w:val="normal1"/>
        <w:widowControl w:val="false"/>
        <w:numPr>
          <w:ilvl w:val="0"/>
          <w:numId w:val="1"/>
        </w:numPr>
        <w:spacing w:lineRule="auto" w:line="240"/>
        <w:ind w:hanging="360" w:left="720"/>
        <w:rPr/>
      </w:pPr>
      <w:r>
        <w:rPr/>
        <w:t>Software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Software</w:t>
      </w:r>
    </w:p>
    <w:p>
      <w:pPr>
        <w:pStyle w:val="normal1"/>
        <w:widowControl w:val="false"/>
        <w:numPr>
          <w:ilvl w:val="2"/>
          <w:numId w:val="1"/>
        </w:numPr>
        <w:spacing w:lineRule="auto" w:line="240"/>
        <w:ind w:hanging="360" w:left="2160"/>
        <w:rPr/>
      </w:pPr>
      <w:r>
        <w:rPr/>
        <w:t>Financial Strategy on Software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Software</w:t>
      </w:r>
    </w:p>
    <w:p>
      <w:pPr>
        <w:pStyle w:val="normal1"/>
        <w:widowControl w:val="false"/>
        <w:numPr>
          <w:ilvl w:val="2"/>
          <w:numId w:val="1"/>
        </w:numPr>
        <w:spacing w:lineRule="auto" w:line="240"/>
        <w:ind w:hanging="360" w:left="2160"/>
        <w:rPr/>
      </w:pPr>
      <w:r>
        <w:rPr/>
        <w:t>National Investments in Software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Software</w:t>
      </w:r>
    </w:p>
    <w:p>
      <w:pPr>
        <w:pStyle w:val="normal1"/>
        <w:widowControl w:val="false"/>
        <w:numPr>
          <w:ilvl w:val="2"/>
          <w:numId w:val="1"/>
        </w:numPr>
        <w:spacing w:lineRule="auto" w:line="240"/>
        <w:ind w:hanging="360" w:left="2160"/>
        <w:rPr/>
      </w:pPr>
      <w:r>
        <w:rPr/>
        <w:t>Yearly Trends in Practices on Software</w:t>
      </w:r>
    </w:p>
    <w:p>
      <w:pPr>
        <w:pStyle w:val="normal1"/>
        <w:widowControl w:val="false"/>
        <w:numPr>
          <w:ilvl w:val="0"/>
          <w:numId w:val="1"/>
        </w:numPr>
        <w:spacing w:lineRule="auto" w:line="240"/>
        <w:ind w:hanging="360" w:left="720"/>
        <w:rPr/>
      </w:pPr>
      <w:r>
        <w:rPr/>
        <w:t>Services</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Services</w:t>
      </w:r>
    </w:p>
    <w:p>
      <w:pPr>
        <w:pStyle w:val="normal1"/>
        <w:widowControl w:val="false"/>
        <w:numPr>
          <w:ilvl w:val="2"/>
          <w:numId w:val="1"/>
        </w:numPr>
        <w:spacing w:lineRule="auto" w:line="240"/>
        <w:ind w:hanging="360" w:left="2160"/>
        <w:rPr/>
      </w:pPr>
      <w:r>
        <w:rPr/>
        <w:t>Financial Strategy on Services</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Services</w:t>
      </w:r>
    </w:p>
    <w:p>
      <w:pPr>
        <w:pStyle w:val="normal1"/>
        <w:widowControl w:val="false"/>
        <w:numPr>
          <w:ilvl w:val="2"/>
          <w:numId w:val="1"/>
        </w:numPr>
        <w:spacing w:lineRule="auto" w:line="240"/>
        <w:ind w:hanging="360" w:left="2160"/>
        <w:rPr/>
      </w:pPr>
      <w:r>
        <w:rPr/>
        <w:t>National Investments in Services</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Services</w:t>
      </w:r>
    </w:p>
    <w:p>
      <w:pPr>
        <w:sectPr>
          <w:footerReference w:type="even" r:id="rId2"/>
          <w:footerReference w:type="default" r:id="rId3"/>
          <w:footerReference w:type="first" r:id="rId4"/>
          <w:type w:val="nextPage"/>
          <w:pgSz w:w="11906" w:h="16838"/>
          <w:pgMar w:left="1133" w:right="1133" w:gutter="0" w:header="0" w:top="1133" w:footer="720" w:bottom="1133"/>
          <w:pgNumType w:start="1" w:fmt="decimal"/>
          <w:formProt w:val="false"/>
          <w:textDirection w:val="lrTb"/>
          <w:docGrid w:type="default" w:linePitch="100" w:charSpace="4096"/>
        </w:sectPr>
        <w:pStyle w:val="normal1"/>
        <w:widowControl w:val="false"/>
        <w:numPr>
          <w:ilvl w:val="2"/>
          <w:numId w:val="1"/>
        </w:numPr>
        <w:spacing w:lineRule="auto" w:line="240"/>
        <w:ind w:hanging="360" w:left="2160"/>
        <w:rPr/>
      </w:pPr>
      <w:r>
        <w:rPr/>
        <w:t>Yearly Trends in Practices on Services</w:t>
      </w:r>
    </w:p>
    <w:p>
      <w:pPr>
        <w:pStyle w:val="normal1"/>
        <w:widowControl w:val="false"/>
        <w:numPr>
          <w:ilvl w:val="0"/>
          <w:numId w:val="1"/>
        </w:numPr>
        <w:spacing w:lineRule="auto" w:line="240"/>
        <w:ind w:hanging="360" w:left="720"/>
        <w:rPr/>
      </w:pPr>
      <w:r>
        <w:rPr/>
        <w:t>Infrastructure</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Policies on Infrastructure</w:t>
      </w:r>
    </w:p>
    <w:p>
      <w:pPr>
        <w:pStyle w:val="normal1"/>
        <w:widowControl w:val="false"/>
        <w:numPr>
          <w:ilvl w:val="2"/>
          <w:numId w:val="1"/>
        </w:numPr>
        <w:spacing w:lineRule="auto" w:line="240"/>
        <w:ind w:hanging="360" w:left="2160"/>
        <w:rPr/>
      </w:pPr>
      <w:r>
        <w:rPr/>
        <w:t>Financial Strategies on Infrastructure</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Infrastructure</w:t>
      </w:r>
    </w:p>
    <w:p>
      <w:pPr>
        <w:pStyle w:val="normal1"/>
        <w:widowControl w:val="false"/>
        <w:numPr>
          <w:ilvl w:val="2"/>
          <w:numId w:val="1"/>
        </w:numPr>
        <w:spacing w:lineRule="auto" w:line="240"/>
        <w:ind w:hanging="360" w:left="2160"/>
        <w:rPr/>
      </w:pPr>
      <w:r>
        <w:rPr/>
        <w:t>National Investments in Infrastructure</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Infrastructure</w:t>
      </w:r>
    </w:p>
    <w:p>
      <w:pPr>
        <w:pStyle w:val="normal1"/>
        <w:widowControl w:val="false"/>
        <w:numPr>
          <w:ilvl w:val="2"/>
          <w:numId w:val="1"/>
        </w:numPr>
        <w:spacing w:lineRule="auto" w:line="240"/>
        <w:ind w:hanging="360" w:left="2160"/>
        <w:rPr/>
      </w:pPr>
      <w:r>
        <w:rPr/>
        <w:t>Yearly Trends in Practices on Infrastructure</w:t>
      </w:r>
    </w:p>
    <w:p>
      <w:pPr>
        <w:pStyle w:val="normal1"/>
        <w:widowControl w:val="false"/>
        <w:numPr>
          <w:ilvl w:val="0"/>
          <w:numId w:val="1"/>
        </w:numPr>
        <w:spacing w:lineRule="auto" w:line="240"/>
        <w:ind w:hanging="360" w:left="720"/>
        <w:rPr/>
      </w:pPr>
      <w:r>
        <w:rPr/>
        <w:t>Skills/training</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Skills/training</w:t>
      </w:r>
    </w:p>
    <w:p>
      <w:pPr>
        <w:pStyle w:val="normal1"/>
        <w:widowControl w:val="false"/>
        <w:numPr>
          <w:ilvl w:val="2"/>
          <w:numId w:val="1"/>
        </w:numPr>
        <w:spacing w:lineRule="auto" w:line="240"/>
        <w:ind w:hanging="360" w:left="2160"/>
        <w:rPr/>
      </w:pPr>
      <w:r>
        <w:rPr/>
        <w:t>Financial Strategy on Skills/training</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Skills/training</w:t>
      </w:r>
    </w:p>
    <w:p>
      <w:pPr>
        <w:pStyle w:val="normal1"/>
        <w:widowControl w:val="false"/>
        <w:numPr>
          <w:ilvl w:val="2"/>
          <w:numId w:val="1"/>
        </w:numPr>
        <w:spacing w:lineRule="auto" w:line="240"/>
        <w:ind w:hanging="360" w:left="2160"/>
        <w:rPr/>
      </w:pPr>
      <w:r>
        <w:rPr/>
        <w:t>National Investments in Skills/training</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Skills/training</w:t>
      </w:r>
    </w:p>
    <w:p>
      <w:pPr>
        <w:pStyle w:val="normal1"/>
        <w:widowControl w:val="false"/>
        <w:numPr>
          <w:ilvl w:val="2"/>
          <w:numId w:val="1"/>
        </w:numPr>
        <w:spacing w:lineRule="auto" w:line="240"/>
        <w:ind w:hanging="360" w:left="2160"/>
        <w:rPr/>
      </w:pPr>
      <w:r>
        <w:rPr/>
        <w:t>Yearly Trends in Practices on Skills/training</w:t>
      </w:r>
    </w:p>
    <w:p>
      <w:pPr>
        <w:pStyle w:val="normal1"/>
        <w:widowControl w:val="false"/>
        <w:numPr>
          <w:ilvl w:val="0"/>
          <w:numId w:val="1"/>
        </w:numPr>
        <w:spacing w:lineRule="auto" w:line="240"/>
        <w:ind w:hanging="360" w:left="720"/>
        <w:rPr/>
      </w:pPr>
      <w:r>
        <w:rPr/>
        <w:t>Assessment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Assessment</w:t>
      </w:r>
    </w:p>
    <w:p>
      <w:pPr>
        <w:pStyle w:val="normal1"/>
        <w:widowControl w:val="false"/>
        <w:numPr>
          <w:ilvl w:val="2"/>
          <w:numId w:val="1"/>
        </w:numPr>
        <w:spacing w:lineRule="auto" w:line="240"/>
        <w:ind w:hanging="360" w:left="2160"/>
        <w:rPr/>
      </w:pPr>
      <w:r>
        <w:rPr/>
        <w:t>Financial Strategy on Assessment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Assessment</w:t>
      </w:r>
    </w:p>
    <w:p>
      <w:pPr>
        <w:pStyle w:val="normal1"/>
        <w:widowControl w:val="false"/>
        <w:numPr>
          <w:ilvl w:val="2"/>
          <w:numId w:val="1"/>
        </w:numPr>
        <w:spacing w:lineRule="auto" w:line="240"/>
        <w:ind w:hanging="360" w:left="2160"/>
        <w:rPr/>
      </w:pPr>
      <w:r>
        <w:rPr/>
        <w:t>National Investments in Assessment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Assessment</w:t>
      </w:r>
    </w:p>
    <w:p>
      <w:pPr>
        <w:pStyle w:val="normal1"/>
        <w:widowControl w:val="false"/>
        <w:numPr>
          <w:ilvl w:val="2"/>
          <w:numId w:val="1"/>
        </w:numPr>
        <w:spacing w:lineRule="auto" w:line="240"/>
        <w:ind w:hanging="360" w:left="2160"/>
        <w:rPr/>
      </w:pPr>
      <w:r>
        <w:rPr/>
        <w:t>Yearly Trends in Practices on Assessment</w:t>
      </w:r>
    </w:p>
    <w:p>
      <w:pPr>
        <w:pStyle w:val="normal1"/>
        <w:widowControl w:val="false"/>
        <w:numPr>
          <w:ilvl w:val="0"/>
          <w:numId w:val="1"/>
        </w:numPr>
        <w:spacing w:lineRule="auto" w:line="240"/>
        <w:ind w:hanging="360" w:left="720"/>
        <w:rPr/>
      </w:pPr>
      <w:r>
        <w:rPr/>
        <w:t>Engagement</w:t>
      </w:r>
    </w:p>
    <w:p>
      <w:pPr>
        <w:pStyle w:val="normal1"/>
        <w:widowControl w:val="false"/>
        <w:numPr>
          <w:ilvl w:val="1"/>
          <w:numId w:val="1"/>
        </w:numPr>
        <w:spacing w:lineRule="auto" w:line="240"/>
        <w:ind w:hanging="360" w:left="1440"/>
        <w:rPr/>
      </w:pPr>
      <w:r>
        <w:rPr/>
        <w:t>Policies</w:t>
      </w:r>
    </w:p>
    <w:p>
      <w:pPr>
        <w:pStyle w:val="normal1"/>
        <w:widowControl w:val="false"/>
        <w:numPr>
          <w:ilvl w:val="2"/>
          <w:numId w:val="1"/>
        </w:numPr>
        <w:spacing w:lineRule="auto" w:line="240"/>
        <w:ind w:hanging="360" w:left="2160"/>
        <w:rPr/>
      </w:pPr>
      <w:r>
        <w:rPr/>
        <w:t>National Policy on Engagement</w:t>
      </w:r>
    </w:p>
    <w:p>
      <w:pPr>
        <w:pStyle w:val="normal1"/>
        <w:widowControl w:val="false"/>
        <w:numPr>
          <w:ilvl w:val="2"/>
          <w:numId w:val="1"/>
        </w:numPr>
        <w:spacing w:lineRule="auto" w:line="240"/>
        <w:ind w:hanging="360" w:left="2160"/>
        <w:rPr/>
      </w:pPr>
      <w:r>
        <w:rPr/>
        <w:t>Financial Strategy on Engagement</w:t>
      </w:r>
    </w:p>
    <w:p>
      <w:pPr>
        <w:pStyle w:val="normal1"/>
        <w:widowControl w:val="false"/>
        <w:numPr>
          <w:ilvl w:val="1"/>
          <w:numId w:val="1"/>
        </w:numPr>
        <w:spacing w:lineRule="auto" w:line="240"/>
        <w:ind w:hanging="360" w:left="1440"/>
        <w:rPr/>
      </w:pPr>
      <w:r>
        <w:rPr/>
        <w:t>Practices</w:t>
      </w:r>
    </w:p>
    <w:p>
      <w:pPr>
        <w:pStyle w:val="normal1"/>
        <w:widowControl w:val="false"/>
        <w:numPr>
          <w:ilvl w:val="2"/>
          <w:numId w:val="1"/>
        </w:numPr>
        <w:spacing w:lineRule="auto" w:line="240"/>
        <w:ind w:hanging="360" w:left="2160"/>
        <w:rPr/>
      </w:pPr>
      <w:r>
        <w:rPr/>
        <w:t>National Monitoring on Engagement</w:t>
      </w:r>
    </w:p>
    <w:p>
      <w:pPr>
        <w:pStyle w:val="normal1"/>
        <w:widowControl w:val="false"/>
        <w:numPr>
          <w:ilvl w:val="2"/>
          <w:numId w:val="1"/>
        </w:numPr>
        <w:spacing w:lineRule="auto" w:line="240"/>
        <w:ind w:hanging="360" w:left="2160"/>
        <w:rPr/>
      </w:pPr>
      <w:r>
        <w:rPr/>
        <w:t>National Investments in Engagement</w:t>
      </w:r>
    </w:p>
    <w:p>
      <w:pPr>
        <w:pStyle w:val="normal1"/>
        <w:widowControl w:val="false"/>
        <w:numPr>
          <w:ilvl w:val="1"/>
          <w:numId w:val="1"/>
        </w:numPr>
        <w:spacing w:lineRule="auto" w:line="240"/>
        <w:ind w:hanging="360" w:left="1440"/>
        <w:rPr/>
      </w:pPr>
      <w:r>
        <w:rPr/>
        <w:t>Impact</w:t>
      </w:r>
    </w:p>
    <w:p>
      <w:pPr>
        <w:pStyle w:val="normal1"/>
        <w:widowControl w:val="false"/>
        <w:numPr>
          <w:ilvl w:val="2"/>
          <w:numId w:val="1"/>
        </w:numPr>
        <w:spacing w:lineRule="auto" w:line="240"/>
        <w:ind w:hanging="360" w:left="2160"/>
        <w:rPr/>
      </w:pPr>
      <w:r>
        <w:rPr/>
        <w:t>Yearly Trends in Policies on Engagement</w:t>
      </w:r>
    </w:p>
    <w:p>
      <w:pPr>
        <w:pStyle w:val="normal1"/>
        <w:widowControl w:val="false"/>
        <w:numPr>
          <w:ilvl w:val="2"/>
          <w:numId w:val="1"/>
        </w:numPr>
        <w:spacing w:lineRule="auto" w:line="240"/>
        <w:ind w:hanging="360" w:left="2160"/>
        <w:rPr/>
      </w:pPr>
      <w:r>
        <w:rPr/>
        <w:t>Yearly Trends in Practices on Engagement</w:t>
      </w:r>
    </w:p>
    <w:p>
      <w:pPr>
        <w:pStyle w:val="normal1"/>
        <w:widowControl w:val="false"/>
        <w:numPr>
          <w:ilvl w:val="0"/>
          <w:numId w:val="1"/>
        </w:numPr>
        <w:spacing w:lineRule="auto" w:line="240"/>
        <w:ind w:hanging="360" w:left="720"/>
        <w:rPr/>
      </w:pPr>
      <w:r>
        <w:rPr/>
        <w:t>Total Investments in EOSC and Open Science</w:t>
      </w:r>
    </w:p>
    <w:p>
      <w:pPr>
        <w:pStyle w:val="normal1"/>
        <w:widowControl w:val="false"/>
        <w:numPr>
          <w:ilvl w:val="1"/>
          <w:numId w:val="1"/>
        </w:numPr>
        <w:spacing w:lineRule="auto" w:line="240"/>
        <w:ind w:hanging="360" w:left="1440"/>
        <w:rPr/>
      </w:pPr>
      <w:r>
        <w:rPr/>
        <w:t>Total Investments in Millions of Euros</w:t>
      </w:r>
    </w:p>
    <w:p>
      <w:pPr>
        <w:pStyle w:val="normal1"/>
        <w:widowControl w:val="false"/>
        <w:numPr>
          <w:ilvl w:val="1"/>
          <w:numId w:val="1"/>
        </w:numPr>
        <w:spacing w:lineRule="auto" w:line="240"/>
        <w:ind w:hanging="360" w:left="1440"/>
        <w:rPr/>
      </w:pPr>
      <w:r>
        <w:rPr/>
        <w:t>Total Investments per 1000 FTE Researchers</w:t>
      </w:r>
    </w:p>
    <w:p>
      <w:pPr>
        <w:pStyle w:val="normal1"/>
        <w:widowControl w:val="false"/>
        <w:spacing w:lineRule="auto" w:line="240"/>
        <w:rPr/>
      </w:pPr>
      <w:r>
        <w:rPr/>
        <w:t>References</w:t>
      </w:r>
    </w:p>
    <w:sectPr>
      <w:footerReference w:type="even" r:id="rId5"/>
      <w:footerReference w:type="default" r:id="rId6"/>
      <w:footerReference w:type="first" r:id="rId7"/>
      <w:type w:val="nextPage"/>
      <w:pgSz w:w="11906" w:h="16838"/>
      <w:pgMar w:left="1133" w:right="1133" w:gutter="0" w:header="0" w:top="1133" w:footer="720" w:bottom="1133"/>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Gareth O'Neill" w:date="2025-09-22T07:28:28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To be generated every year</w:t>
      </w:r>
    </w:p>
  </w:comment>
  <w:comment w:id="1" w:author="Gareth O'Neill" w:date="2025-09-22T10:13:50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2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 w:id="2" w:author="Gareth O'Neill" w:date="2025-09-22T10:13:57Z" w:initials="">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See Table 3 in report 2023 as example:</w:t>
      </w:r>
    </w:p>
    <w:p>
      <w:pPr>
        <w:overflowPunct w:val="false"/>
        <w:spacing w:lineRule="auto" w:line="240"/>
        <w:rPr/>
      </w:pPr>
      <w:r>
        <w:rPr>
          <w:rFonts w:ascii="Liberation Serif" w:hAnsi="Liberation Serif" w:eastAsia="DejaVu Sans" w:cs="Noto Sans Arabic"/>
          <w:sz w:val="24"/>
          <w:szCs w:val="24"/>
          <w:lang w:val="en-US" w:eastAsia="en-US" w:bidi="en-US"/>
        </w:rPr>
      </w:r>
    </w:p>
    <w:p>
      <w:pPr>
        <w:overflowPunct w:val="false"/>
        <w:spacing w:lineRule="auto" w:line="240"/>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https://zenodo.org/records/15004417</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Open San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6</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7</w:t>
    </w:r>
    <w:r>
      <w:rPr/>
      <w:fldChar w:fldCharType="end"/>
    </w:r>
    <w:r>
      <w:rPr/>
      <w:t xml:space="preserve"> of </w:t>
    </w:r>
    <w:r>
      <w:rPr/>
      <w:fldChar w:fldCharType="begin"/>
    </w:r>
    <w:r>
      <w:rPr/>
      <w:instrText xml:space="preserve"> NUMPAGES </w:instrText>
    </w:r>
    <w:r>
      <w:rPr/>
      <w:fldChar w:fldCharType="separate"/>
    </w:r>
    <w:r>
      <w:rPr/>
      <w:t>7</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334</TotalTime>
  <Application>LibreOffice/24.2.7.2$Linux_X86_64 LibreOffice_project/420$Build-2</Application>
  <AppVersion>15.0000</AppVersion>
  <Pages>7</Pages>
  <Words>2045</Words>
  <Characters>11501</Characters>
  <CharactersWithSpaces>13284</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2025-10-06T14:06:02Z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