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eastAsia="Arial"/>
          <w:b/>
          <w:i w:val="0"/>
          <w:color w:val="1B3A5C"/>
          <w:sz w:val="40"/>
        </w:rPr>
        <w:t>유종선</w:t>
      </w:r>
      <w:r>
        <w:rPr>
          <w:rFonts w:ascii="Arial" w:hAnsi="Arial" w:eastAsia="Arial"/>
          <w:b/>
          <w:i w:val="0"/>
          <w:color w:val="2E75B6"/>
          <w:sz w:val="28"/>
        </w:rPr>
        <w:t xml:space="preserve">  CHONGSUN YU</w:t>
      </w:r>
    </w:p>
    <w:p>
      <w:pPr>
        <w:spacing w:before="0" w:after="120"/>
      </w:pPr>
      <w:r>
        <w:rPr>
          <w:rFonts w:ascii="Arial" w:hAnsi="Arial" w:eastAsia="Arial"/>
          <w:b w:val="0"/>
          <w:i w:val="0"/>
          <w:color w:val="666666"/>
          <w:sz w:val="20"/>
        </w:rPr>
        <w:t>+82-10-4167-0856</w:t>
      </w:r>
      <w:r>
        <w:rPr>
          <w:rFonts w:ascii="Arial" w:hAnsi="Arial" w:eastAsia="Arial"/>
          <w:b w:val="0"/>
          <w:i w:val="0"/>
          <w:color w:val="AAAAAA"/>
          <w:sz w:val="20"/>
        </w:rPr>
        <w:t xml:space="preserve">  |  </w:t>
      </w:r>
      <w:r>
        <w:rPr>
          <w:rFonts w:ascii="Arial" w:hAnsi="Arial" w:eastAsia="Arial"/>
          <w:b w:val="0"/>
          <w:i w:val="0"/>
          <w:color w:val="2E75B6"/>
          <w:sz w:val="20"/>
        </w:rPr>
        <w:t>madgegja@gmail.com</w:t>
      </w:r>
    </w:p>
    <w:p>
      <w:pPr>
        <w:spacing w:before="40" w:after="80"/>
        <w:pBdr>
          <w:bottom w:val="single" w:sz="4" w:space="1" w:color="2E75B6"/>
        </w:pBdr>
      </w:pPr>
    </w:p>
    <w:p>
      <w:pPr>
        <w:spacing w:before="80" w:after="80"/>
      </w:pPr>
      <w:r>
        <w:rPr>
          <w:rFonts w:ascii="Arial" w:hAnsi="Arial" w:eastAsia="Arial"/>
          <w:b/>
          <w:i w:val="0"/>
          <w:color w:val="1B3A5C"/>
          <w:sz w:val="26"/>
        </w:rPr>
        <w:t>PROFILE</w:t>
      </w:r>
    </w:p>
    <w:p>
      <w:pPr>
        <w:spacing w:before="0" w:after="80" w:line="300" w:lineRule="exact"/>
      </w:pPr>
      <w:r>
        <w:rPr>
          <w:rFonts w:ascii="Arial" w:hAnsi="Arial" w:eastAsia="Arial"/>
          <w:b w:val="0"/>
          <w:i w:val="0"/>
          <w:color w:val="333333"/>
          <w:sz w:val="20"/>
        </w:rPr>
        <w:t>결제·CS·IP 3개 핵심 파트를 동시에 총괄하는 글로벌 플랫폼 운영 리더입니다. NHN KCP에서 약 7년간 국내외 PG 운영·파트너십·FDS 도입을 경험하고, 태국 합작법인 Treepay에서 IT Director로 현지 PG 라이선스 취득부터 플랫폼 구축까지 전 과정을 이끌었습니다. NX3GAMES에서는 블록체인 게임 사업의 기획·결제 연동·투자 유치를 주도하며 Web3 영역까지 경험을 확장했습니다.</w:t>
      </w:r>
    </w:p>
    <w:p>
      <w:pPr>
        <w:spacing w:before="0" w:after="120" w:line="300" w:lineRule="exact"/>
      </w:pPr>
      <w:r>
        <w:rPr>
          <w:rFonts w:ascii="Arial" w:hAnsi="Arial" w:eastAsia="Arial"/>
          <w:b w:val="0"/>
          <w:i w:val="0"/>
          <w:color w:val="333333"/>
          <w:sz w:val="20"/>
        </w:rPr>
        <w:t>현재 Toomics Global BizOps팀장으로서 10개 해외 마켓의 결제 인프라 확장, 다국어 CS 자동화(AI Agent 파이프라인 구축), 글로벌 IP 보호 체계를 운영하고 있습니다. 데이터 기반 의사결정과 프로세스 자동화를 통해 운영 효율을 지속적으로 개선하고 있습니다.</w:t>
      </w:r>
    </w:p>
    <w:p>
      <w:pPr>
        <w:spacing w:before="40" w:after="80"/>
        <w:pBdr>
          <w:bottom w:val="single" w:sz="4" w:space="1" w:color="2E75B6"/>
        </w:pBdr>
      </w:pPr>
    </w:p>
    <w:p>
      <w:pPr>
        <w:spacing w:before="80" w:after="120"/>
      </w:pPr>
      <w:r>
        <w:rPr>
          <w:rFonts w:ascii="Arial" w:hAnsi="Arial" w:eastAsia="Arial"/>
          <w:b/>
          <w:i w:val="0"/>
          <w:color w:val="1B3A5C"/>
          <w:sz w:val="26"/>
        </w:rPr>
        <w:t>EXPERIENCE</w:t>
      </w:r>
    </w:p>
    <w:p>
      <w:pPr>
        <w:spacing w:before="0" w:after="0"/>
      </w:pPr>
      <w:r>
        <w:rPr>
          <w:rFonts w:ascii="Arial" w:hAnsi="Arial" w:eastAsia="Arial"/>
          <w:b/>
          <w:i w:val="0"/>
          <w:color w:val="333333"/>
          <w:sz w:val="23"/>
        </w:rPr>
        <w:t>(주)투믹스글로벌  Toomics Global</w:t>
      </w:r>
    </w:p>
    <w:p>
      <w:pPr>
        <w:spacing w:before="0" w:after="0"/>
      </w:pPr>
      <w:r>
        <w:rPr>
          <w:rFonts w:ascii="Arial" w:hAnsi="Arial" w:eastAsia="Arial"/>
          <w:b w:val="0"/>
          <w:i w:val="0"/>
          <w:color w:val="666666"/>
          <w:sz w:val="20"/>
        </w:rPr>
        <w:t>Seoul, South Korea</w:t>
      </w:r>
      <w:r>
        <w:rPr>
          <w:rFonts w:ascii="Arial" w:hAnsi="Arial" w:eastAsia="Arial"/>
          <w:b w:val="0"/>
          <w:i w:val="0"/>
          <w:color w:val="AAAAAA"/>
          <w:sz w:val="20"/>
        </w:rPr>
        <w:t xml:space="preserve">  |  </w:t>
      </w:r>
      <w:r>
        <w:rPr>
          <w:rFonts w:ascii="Arial" w:hAnsi="Arial" w:eastAsia="Arial"/>
          <w:b w:val="0"/>
          <w:i w:val="0"/>
          <w:color w:val="666666"/>
          <w:sz w:val="20"/>
        </w:rPr>
      </w:r>
    </w:p>
    <w:p>
      <w:pPr>
        <w:spacing w:before="20" w:after="20"/>
      </w:pPr>
      <w:r>
        <w:rPr>
          <w:rFonts w:ascii="Arial" w:hAnsi="Arial" w:eastAsia="Arial"/>
          <w:b/>
          <w:i w:val="0"/>
          <w:color w:val="2E75B6"/>
          <w:sz w:val="21"/>
        </w:rPr>
        <w:t>팀장, BizOps팀 (Global Platform Operations)</w:t>
      </w:r>
      <w:r>
        <w:rPr>
          <w:rFonts w:ascii="Arial" w:hAnsi="Arial" w:eastAsia="Arial"/>
          <w:b w:val="0"/>
          <w:i w:val="0"/>
          <w:color w:val="666666"/>
          <w:sz w:val="20"/>
        </w:rPr>
        <w:t xml:space="preserve">  |  2024.06 ~ 현재</w:t>
      </w:r>
    </w:p>
    <w:p>
      <w:pPr>
        <w:spacing w:before="0" w:after="60" w:line="280" w:lineRule="exact"/>
      </w:pPr>
      <w:r>
        <w:rPr>
          <w:rFonts w:ascii="Arial" w:hAnsi="Arial" w:eastAsia="Arial"/>
          <w:b w:val="0"/>
          <w:i/>
          <w:color w:val="333333"/>
          <w:sz w:val="20"/>
        </w:rPr>
        <w:t>글로벌 웹툰 플랫폼의 결제, 고객지원, 지식재산권(IP) 3개 핵심 파트를 동시에 리딩. 10개 해외 마켓 운영을 총괄하며 4명의 팀원을 관리.</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국내외 PG사(Eximbay, PayPal, Stripe 등)와 파트너십 계약을 체결·관리하고, 신규 결제 수단 도입을 통해 해외 마켓 결제 커버리지를 확대.</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차지백 소명 프로세스를 체계화하여 결제사별 증빙 템플릿과 대응 매뉴얼을 구축, 분쟁 승소율 향상에 기여.</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AI Agent 기반 CS 데이터 자동 분석 파이프라인을 설계·구축 — Zendesk 원본에서 주간 리포트 생성까지 전 과정을 자동화하여 리포팅 소요 시간을 대폭 단축.</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Zendesk CS 운영 체계를 고도화하여 17개 카테고리 · 80개 이상의 다국어 응대 템플릿을 정비하고, 카테고리별 표준 대응 프로세스를 확립.</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월 1,500건 이상의 다국어(10개 언어) CS 티켓 운영을 관리하며, 데이터 분석 기반으로 반복 이슈 패턴을 도출하고 근본 원인을 개선.</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글로벌 디지털 콘텐츠의 저작권 침해 모니터링 및 DMCA/UDRP 대응 체계를 수립하여 IP 보호 업무를 체계화.</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Confluence 기반 운영 매뉴얼(CS·차지백·IP)을 구축하고, GitHub를 활용한 자동화 스크립트 관리 체계를 정립.</w:t>
      </w:r>
    </w:p>
    <w:p>
      <w:pPr>
        <w:spacing w:before="0" w:after="80"/>
      </w:pPr>
    </w:p>
    <w:p>
      <w:pPr>
        <w:spacing w:before="0" w:after="0"/>
      </w:pPr>
      <w:r>
        <w:rPr>
          <w:rFonts w:ascii="Arial" w:hAnsi="Arial" w:eastAsia="Arial"/>
          <w:b/>
          <w:i w:val="0"/>
          <w:color w:val="333333"/>
          <w:sz w:val="23"/>
        </w:rPr>
        <w:t>주식회사엔엑스쓰리게임즈  NX3 Games</w:t>
      </w:r>
    </w:p>
    <w:p>
      <w:pPr>
        <w:spacing w:before="0" w:after="0"/>
      </w:pPr>
      <w:r>
        <w:rPr>
          <w:rFonts w:ascii="Arial" w:hAnsi="Arial" w:eastAsia="Arial"/>
          <w:b w:val="0"/>
          <w:i w:val="0"/>
          <w:color w:val="666666"/>
          <w:sz w:val="20"/>
        </w:rPr>
        <w:t>Seoul, South Korea</w:t>
      </w:r>
      <w:r>
        <w:rPr>
          <w:rFonts w:ascii="Arial" w:hAnsi="Arial" w:eastAsia="Arial"/>
          <w:b w:val="0"/>
          <w:i w:val="0"/>
          <w:color w:val="AAAAAA"/>
          <w:sz w:val="20"/>
        </w:rPr>
        <w:t xml:space="preserve">  |  </w:t>
      </w:r>
      <w:r>
        <w:rPr>
          <w:rFonts w:ascii="Arial" w:hAnsi="Arial" w:eastAsia="Arial"/>
          <w:b w:val="0"/>
          <w:i w:val="0"/>
          <w:color w:val="666666"/>
          <w:sz w:val="20"/>
        </w:rPr>
      </w:r>
    </w:p>
    <w:p>
      <w:pPr>
        <w:spacing w:before="20" w:after="20"/>
      </w:pPr>
      <w:r>
        <w:rPr>
          <w:rFonts w:ascii="Arial" w:hAnsi="Arial" w:eastAsia="Arial"/>
          <w:b/>
          <w:i w:val="0"/>
          <w:color w:val="2E75B6"/>
          <w:sz w:val="21"/>
        </w:rPr>
        <w:t>파트장, Blockchain Business</w:t>
      </w:r>
      <w:r>
        <w:rPr>
          <w:rFonts w:ascii="Arial" w:hAnsi="Arial" w:eastAsia="Arial"/>
          <w:b w:val="0"/>
          <w:i w:val="0"/>
          <w:color w:val="666666"/>
          <w:sz w:val="20"/>
        </w:rPr>
        <w:t xml:space="preserve">  |  2022.01 ~ 2023.11</w:t>
      </w:r>
    </w:p>
    <w:p>
      <w:pPr>
        <w:spacing w:before="0" w:after="60" w:line="280" w:lineRule="exact"/>
      </w:pPr>
      <w:r>
        <w:rPr>
          <w:rFonts w:ascii="Arial" w:hAnsi="Arial" w:eastAsia="Arial"/>
          <w:b w:val="0"/>
          <w:i/>
          <w:color w:val="333333"/>
          <w:sz w:val="20"/>
        </w:rPr>
        <w:t>블록체인 게임 사업의 기획·파트너십·결제 연동·투자 유치를 총괄하며, 게임 산업 내 Web3 비즈니스 모델을 설계하고 상용화.</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MMORPG "Rohan M"에 NFT·토큰·P2E 메커니즘을 설계하여 블록체인 게임 "Avatara"로 리빌드, 2023년 1월 글로벌 출시를 완료.</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멀티 채널 결제 인프라 구축: PC 인앱 결제(Xsolla), 웹 블록체인 결제(Binance Pay) 파트너십을 확보하여 유저 접근성을 강화.</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Klaytn 네트워크 환경을 분석하여 인앱·웹 양 플랫폼에서 끊김 없는 결제 경험을 설계, 글로벌 유저의 결제 접근성 문제를 해소.</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OTC 파트너 및 국내 VAN사와 협력하여 해외 법인 매출의 국제송금·정산 체계를 수립, 안정적 자금 집행 구조를 확보.</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Seed 라운드 투자 유치를 주도하여 VC·전략 파트너로부터 배정 물량(10%) 전량 계약을 체결, 마케팅·운영 자금을 확보.</w:t>
      </w:r>
    </w:p>
    <w:p>
      <w:pPr>
        <w:spacing w:before="0" w:after="80"/>
      </w:pPr>
    </w:p>
    <w:p>
      <w:pPr>
        <w:spacing w:before="0" w:after="0"/>
      </w:pPr>
      <w:r>
        <w:rPr>
          <w:rFonts w:ascii="Arial" w:hAnsi="Arial" w:eastAsia="Arial"/>
          <w:b/>
          <w:i w:val="0"/>
          <w:color w:val="333333"/>
          <w:sz w:val="23"/>
        </w:rPr>
        <w:t>NHN KCP</w:t>
      </w:r>
    </w:p>
    <w:p>
      <w:pPr>
        <w:spacing w:before="0" w:after="0"/>
      </w:pPr>
      <w:r>
        <w:rPr>
          <w:rFonts w:ascii="Arial" w:hAnsi="Arial" w:eastAsia="Arial"/>
          <w:b w:val="0"/>
          <w:i w:val="0"/>
          <w:color w:val="666666"/>
          <w:sz w:val="20"/>
        </w:rPr>
        <w:t>Seoul, South Korea</w:t>
      </w:r>
      <w:r>
        <w:rPr>
          <w:rFonts w:ascii="Arial" w:hAnsi="Arial" w:eastAsia="Arial"/>
          <w:b w:val="0"/>
          <w:i w:val="0"/>
          <w:color w:val="AAAAAA"/>
          <w:sz w:val="20"/>
        </w:rPr>
        <w:t xml:space="preserve">  |  </w:t>
      </w:r>
      <w:r>
        <w:rPr>
          <w:rFonts w:ascii="Arial" w:hAnsi="Arial" w:eastAsia="Arial"/>
          <w:b w:val="0"/>
          <w:i w:val="0"/>
          <w:color w:val="666666"/>
          <w:sz w:val="20"/>
        </w:rPr>
      </w:r>
    </w:p>
    <w:p>
      <w:pPr>
        <w:spacing w:before="20" w:after="20"/>
      </w:pPr>
      <w:r>
        <w:rPr>
          <w:rFonts w:ascii="Arial" w:hAnsi="Arial" w:eastAsia="Arial"/>
          <w:b/>
          <w:i w:val="0"/>
          <w:color w:val="2E75B6"/>
          <w:sz w:val="21"/>
        </w:rPr>
        <w:t>파트장, 해외사업팀</w:t>
      </w:r>
      <w:r>
        <w:rPr>
          <w:rFonts w:ascii="Arial" w:hAnsi="Arial" w:eastAsia="Arial"/>
          <w:b w:val="0"/>
          <w:i w:val="0"/>
          <w:color w:val="666666"/>
          <w:sz w:val="20"/>
        </w:rPr>
        <w:t xml:space="preserve">  |  2019.11 ~ 2021.12</w:t>
      </w:r>
    </w:p>
    <w:p>
      <w:pPr>
        <w:spacing w:before="0" w:after="60" w:line="280" w:lineRule="exact"/>
      </w:pPr>
      <w:r>
        <w:rPr>
          <w:rFonts w:ascii="Arial" w:hAnsi="Arial" w:eastAsia="Arial"/>
          <w:b w:val="0"/>
          <w:i/>
          <w:color w:val="333333"/>
          <w:sz w:val="20"/>
        </w:rPr>
        <w:t>해외 결제 파트너 에코시스템을 관리하고, 신규 크로스보더 결제 서비스의 기획부터 상용화까지 전 과정을 리딩.</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Visa Cybersource, Tencent, JP Morgan, WorldPay, Rapyd 등 10개 이상 글로벌 결제 파트너의 영업·계약·운영을 총괄하며, 수수료 협상 및 크로스 플랫폼 연동을 실행.</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Visa, Mastercard, AMEX, UnionPay, JCB 5대 글로벌 카드 브랜드의 매입 원가를 협상하고, fraud·정산 관리 체계를 운영.</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USD 가상계좌 기반 크로스보더 대량 송금 대행 서비스를 기획·런칭하여 신규 매출원을 창출하고, 기존 파트너 lock-in 효과를 확보.</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Tencent와의 업무 협약을 통해 오프라인 WeChat QR 결제 시스템을 기획·상용화, 국내 중국 관광객 결제 시장에 대응.</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Web3 신규 사업 탐색: Filecoin Plus 분산 저장 네트워크 기반 데이터 분석 플랫폼을 기획하고, 주간 50TiB 데이터캡 승인을 획득.</w:t>
      </w:r>
    </w:p>
    <w:p>
      <w:pPr>
        <w:spacing w:before="0" w:after="80"/>
      </w:pPr>
    </w:p>
    <w:p>
      <w:pPr>
        <w:spacing w:before="0" w:after="0"/>
      </w:pPr>
      <w:r>
        <w:rPr>
          <w:rFonts w:ascii="Arial" w:hAnsi="Arial" w:eastAsia="Arial"/>
          <w:b/>
          <w:i w:val="0"/>
          <w:color w:val="333333"/>
          <w:sz w:val="23"/>
        </w:rPr>
        <w:t>Treepay Co., LTD (NHN KCP JV)</w:t>
      </w:r>
    </w:p>
    <w:p>
      <w:pPr>
        <w:spacing w:before="0" w:after="0"/>
      </w:pPr>
      <w:r>
        <w:rPr>
          <w:rFonts w:ascii="Arial" w:hAnsi="Arial" w:eastAsia="Arial"/>
          <w:b w:val="0"/>
          <w:i w:val="0"/>
          <w:color w:val="666666"/>
          <w:sz w:val="20"/>
        </w:rPr>
        <w:t>Bangkok, Thailand</w:t>
      </w:r>
      <w:r>
        <w:rPr>
          <w:rFonts w:ascii="Arial" w:hAnsi="Arial" w:eastAsia="Arial"/>
          <w:b w:val="0"/>
          <w:i w:val="0"/>
          <w:color w:val="AAAAAA"/>
          <w:sz w:val="20"/>
        </w:rPr>
        <w:t xml:space="preserve">  |  </w:t>
      </w:r>
      <w:r>
        <w:rPr>
          <w:rFonts w:ascii="Arial" w:hAnsi="Arial" w:eastAsia="Arial"/>
          <w:b w:val="0"/>
          <w:i w:val="0"/>
          <w:color w:val="666666"/>
          <w:sz w:val="20"/>
        </w:rPr>
      </w:r>
    </w:p>
    <w:p>
      <w:pPr>
        <w:spacing w:before="20" w:after="20"/>
      </w:pPr>
      <w:r>
        <w:rPr>
          <w:rFonts w:ascii="Arial" w:hAnsi="Arial" w:eastAsia="Arial"/>
          <w:b/>
          <w:i w:val="0"/>
          <w:color w:val="2E75B6"/>
          <w:sz w:val="21"/>
        </w:rPr>
        <w:t>Team Lead of IT Part / IT Director</w:t>
      </w:r>
      <w:r>
        <w:rPr>
          <w:rFonts w:ascii="Arial" w:hAnsi="Arial" w:eastAsia="Arial"/>
          <w:b w:val="0"/>
          <w:i w:val="0"/>
          <w:color w:val="666666"/>
          <w:sz w:val="20"/>
        </w:rPr>
        <w:t xml:space="preserve">  |  2015.06 ~ 2019.11</w:t>
      </w:r>
    </w:p>
    <w:p>
      <w:pPr>
        <w:spacing w:before="0" w:after="60" w:line="280" w:lineRule="exact"/>
      </w:pPr>
      <w:r>
        <w:rPr>
          <w:rFonts w:ascii="Arial" w:hAnsi="Arial" w:eastAsia="Arial"/>
          <w:b w:val="0"/>
          <w:i/>
          <w:color w:val="333333"/>
          <w:sz w:val="20"/>
        </w:rPr>
        <w:t>태국 국영 CAT 텔레콤·SK 텔레콤·NHN KCP 3사 합작법인의 초창기 멤버로서, 현지 PG 플랫폼의 기획·구축·운영 전 과정을 리딩. 약 4.5년간 방콕 주재.</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법인 설립부터 PG 플랫폼 구축, 라이선스 취득, 시스템 운영, 현지화까지 프로젝트 전 주기를 담당하며 해외 법인 운영 역량을 체득.</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태국 PG 라이선스(C3, C5), PCI-DSS 보안인증, 태국은행(BOT) 라이선스 등 필수 인허가를 로컬 법률·보안 컨설팅사와 협력하여 획득.</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태국 4자 결제 체계(발급사·매입사·브랜드·PSP)를 분석한 뒤, 한국형 3자 결제 시스템(NHN KCP 코어)을 현지 표준에 맞게 재설계.</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카드·할부, e-Wallet, 현금 기반 Counter Payment 등 태국 특화 결제 수단의 비즈니스 모델을 수립하고, 현지 파트너 영업·제휴를 실행.</w:t>
      </w:r>
    </w:p>
    <w:p>
      <w:pPr>
        <w:spacing w:before="0" w:after="80"/>
      </w:pPr>
    </w:p>
    <w:p>
      <w:pPr>
        <w:spacing w:before="0" w:after="0"/>
      </w:pPr>
      <w:r>
        <w:rPr>
          <w:rFonts w:ascii="Arial" w:hAnsi="Arial" w:eastAsia="Arial"/>
          <w:b/>
          <w:i w:val="0"/>
          <w:color w:val="333333"/>
          <w:sz w:val="23"/>
        </w:rPr>
        <w:t>NHN KCP</w:t>
      </w:r>
    </w:p>
    <w:p>
      <w:pPr>
        <w:spacing w:before="0" w:after="0"/>
      </w:pPr>
      <w:r>
        <w:rPr>
          <w:rFonts w:ascii="Arial" w:hAnsi="Arial" w:eastAsia="Arial"/>
          <w:b w:val="0"/>
          <w:i w:val="0"/>
          <w:color w:val="666666"/>
          <w:sz w:val="20"/>
        </w:rPr>
        <w:t>Seoul, South Korea</w:t>
      </w:r>
      <w:r>
        <w:rPr>
          <w:rFonts w:ascii="Arial" w:hAnsi="Arial" w:eastAsia="Arial"/>
          <w:b w:val="0"/>
          <w:i w:val="0"/>
          <w:color w:val="AAAAAA"/>
          <w:sz w:val="20"/>
        </w:rPr>
        <w:t xml:space="preserve">  |  </w:t>
      </w:r>
      <w:r>
        <w:rPr>
          <w:rFonts w:ascii="Arial" w:hAnsi="Arial" w:eastAsia="Arial"/>
          <w:b w:val="0"/>
          <w:i w:val="0"/>
          <w:color w:val="666666"/>
          <w:sz w:val="20"/>
        </w:rPr>
      </w:r>
    </w:p>
    <w:p>
      <w:pPr>
        <w:spacing w:before="20" w:after="20"/>
      </w:pPr>
      <w:r>
        <w:rPr>
          <w:rFonts w:ascii="Arial" w:hAnsi="Arial" w:eastAsia="Arial"/>
          <w:b/>
          <w:i w:val="0"/>
          <w:color w:val="2E75B6"/>
          <w:sz w:val="21"/>
        </w:rPr>
        <w:t>어카운트 매니저, 해외사업팀</w:t>
      </w:r>
      <w:r>
        <w:rPr>
          <w:rFonts w:ascii="Arial" w:hAnsi="Arial" w:eastAsia="Arial"/>
          <w:b w:val="0"/>
          <w:i w:val="0"/>
          <w:color w:val="666666"/>
          <w:sz w:val="20"/>
        </w:rPr>
        <w:t xml:space="preserve">  |  2014.10 ~ 2015.06</w:t>
      </w:r>
    </w:p>
    <w:p>
      <w:pPr>
        <w:spacing w:before="0" w:after="60" w:line="280" w:lineRule="exact"/>
      </w:pPr>
      <w:r>
        <w:rPr>
          <w:rFonts w:ascii="Arial" w:hAnsi="Arial" w:eastAsia="Arial"/>
          <w:b w:val="0"/>
          <w:i/>
          <w:color w:val="333333"/>
          <w:sz w:val="20"/>
        </w:rPr>
        <w:t>글로벌 PG 파트너사 운영 및 Fraud Detection System(FDS) 도입·운영을 담당.</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Visa 자회사 Cybersource 및 하위 가맹점(OTA, 글로벌 패션 브랜드, 디지털 플랫폼) 계정을 관리·운영.</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Cybersource FDS "Decision Manager"를 NHN KCP 해외카드 비인증 결제에 도입, Gmarket 글로벌 적용 결과 해외카드 월 결제 성공건을 약 10,000건에서 80,000건으로 8배 증가 달성.</w:t>
      </w:r>
    </w:p>
    <w:p>
      <w:pPr>
        <w:spacing w:before="20" w:after="40"/>
        <w:ind w:left="360" w:hanging="216"/>
      </w:pPr>
      <w:r>
        <w:rPr>
          <w:rFonts w:ascii="Arial" w:hAnsi="Arial" w:eastAsia="Arial"/>
          <w:b w:val="0"/>
          <w:i w:val="0"/>
          <w:color w:val="666666"/>
          <w:sz w:val="19"/>
        </w:rPr>
        <w:t xml:space="preserve">• </w:t>
      </w:r>
      <w:r>
        <w:rPr>
          <w:rFonts w:ascii="Arial" w:hAnsi="Arial" w:eastAsia="Arial"/>
          <w:b w:val="0"/>
          <w:i w:val="0"/>
          <w:color w:val="666666"/>
          <w:sz w:val="19"/>
        </w:rPr>
        <w:t>FDS 거래 모니터링 체계를 구축하고, 탐지 룰을 지속 최적화하여 fraud 탐지 정확도를 개선.</w:t>
      </w:r>
    </w:p>
    <w:p>
      <w:pPr>
        <w:spacing w:before="40" w:after="80"/>
        <w:pBdr>
          <w:bottom w:val="single" w:sz="4" w:space="1" w:color="2E75B6"/>
        </w:pBdr>
      </w:pPr>
    </w:p>
    <w:p>
      <w:pPr>
        <w:spacing w:before="80" w:after="80"/>
      </w:pPr>
      <w:r>
        <w:rPr>
          <w:rFonts w:ascii="Arial" w:hAnsi="Arial" w:eastAsia="Arial"/>
          <w:b/>
          <w:i w:val="0"/>
          <w:color w:val="1B3A5C"/>
          <w:sz w:val="26"/>
        </w:rPr>
        <w:t>EDUCATION</w:t>
      </w:r>
    </w:p>
    <w:p>
      <w:pPr>
        <w:spacing w:before="0" w:after="0"/>
      </w:pPr>
      <w:r>
        <w:rPr>
          <w:rFonts w:ascii="Arial" w:hAnsi="Arial" w:eastAsia="Arial"/>
          <w:b/>
          <w:i w:val="0"/>
          <w:color w:val="333333"/>
          <w:sz w:val="22"/>
        </w:rPr>
        <w:t>Australian National University</w:t>
      </w:r>
    </w:p>
    <w:p>
      <w:pPr>
        <w:spacing w:before="0" w:after="0"/>
      </w:pPr>
      <w:r>
        <w:rPr>
          <w:rFonts w:ascii="Arial" w:hAnsi="Arial" w:eastAsia="Arial"/>
          <w:b w:val="0"/>
          <w:i w:val="0"/>
          <w:color w:val="666666"/>
          <w:sz w:val="20"/>
        </w:rPr>
        <w:t>Canberra, Australia</w:t>
      </w:r>
      <w:r>
        <w:rPr>
          <w:rFonts w:ascii="Arial" w:hAnsi="Arial" w:eastAsia="Arial"/>
          <w:b w:val="0"/>
          <w:i w:val="0"/>
          <w:color w:val="AAAAAA"/>
          <w:sz w:val="20"/>
        </w:rPr>
        <w:t xml:space="preserve">  |  </w:t>
      </w:r>
      <w:r>
        <w:rPr>
          <w:rFonts w:ascii="Arial" w:hAnsi="Arial" w:eastAsia="Arial"/>
          <w:b w:val="0"/>
          <w:i w:val="0"/>
          <w:color w:val="666666"/>
          <w:sz w:val="20"/>
        </w:rPr>
      </w:r>
    </w:p>
    <w:p>
      <w:pPr>
        <w:spacing w:before="0" w:after="120"/>
      </w:pPr>
      <w:r>
        <w:rPr>
          <w:rFonts w:ascii="Arial" w:hAnsi="Arial" w:eastAsia="Arial"/>
          <w:b w:val="0"/>
          <w:i w:val="0"/>
          <w:color w:val="333333"/>
          <w:sz w:val="20"/>
        </w:rPr>
        <w:t>Bachelor of Commerce (Major in Finance)</w:t>
      </w:r>
      <w:r>
        <w:rPr>
          <w:rFonts w:ascii="Arial" w:hAnsi="Arial" w:eastAsia="Arial"/>
          <w:b w:val="0"/>
          <w:i w:val="0"/>
          <w:color w:val="666666"/>
          <w:sz w:val="20"/>
        </w:rPr>
        <w:t xml:space="preserve">  |  2007 ~ 2012</w:t>
      </w:r>
    </w:p>
    <w:p>
      <w:pPr>
        <w:spacing w:before="0" w:after="80"/>
      </w:pPr>
      <w:r>
        <w:rPr>
          <w:rFonts w:ascii="Arial" w:hAnsi="Arial" w:eastAsia="Arial"/>
          <w:b/>
          <w:i w:val="0"/>
          <w:color w:val="333333"/>
          <w:sz w:val="22"/>
        </w:rPr>
        <w:t>Port Hacking High School</w:t>
      </w:r>
      <w:r>
        <w:rPr>
          <w:rFonts w:ascii="Arial" w:hAnsi="Arial" w:eastAsia="Arial"/>
          <w:b w:val="0"/>
          <w:i w:val="0"/>
          <w:color w:val="666666"/>
          <w:sz w:val="20"/>
        </w:rPr>
        <w:t xml:space="preserve">  |  Sydney, Australia</w:t>
      </w:r>
      <w:r>
        <w:rPr>
          <w:rFonts w:ascii="Arial" w:hAnsi="Arial" w:eastAsia="Arial"/>
          <w:b w:val="0"/>
          <w:i w:val="0"/>
          <w:color w:val="666666"/>
          <w:sz w:val="20"/>
        </w:rPr>
        <w:t xml:space="preserve">  |  2002 ~ 2006</w:t>
      </w:r>
    </w:p>
    <w:p>
      <w:pPr>
        <w:spacing w:before="40" w:after="80"/>
        <w:pBdr>
          <w:bottom w:val="single" w:sz="4" w:space="1" w:color="2E75B6"/>
        </w:pBdr>
      </w:pPr>
    </w:p>
    <w:p>
      <w:pPr>
        <w:spacing w:before="80" w:after="80"/>
      </w:pPr>
      <w:r>
        <w:rPr>
          <w:rFonts w:ascii="Arial" w:hAnsi="Arial" w:eastAsia="Arial"/>
          <w:b/>
          <w:i w:val="0"/>
          <w:color w:val="1B3A5C"/>
          <w:sz w:val="26"/>
        </w:rPr>
        <w:t>SKILLS &amp; ADDITIONAL</w:t>
      </w:r>
    </w:p>
    <w:p>
      <w:pPr>
        <w:spacing w:before="0" w:after="40"/>
        <w:ind w:left="360" w:hanging="216"/>
      </w:pPr>
      <w:r>
        <w:rPr>
          <w:rFonts w:ascii="Arial" w:hAnsi="Arial" w:eastAsia="Arial"/>
          <w:b w:val="0"/>
          <w:i w:val="0"/>
          <w:color w:val="666666"/>
          <w:sz w:val="20"/>
        </w:rPr>
        <w:t xml:space="preserve">• </w:t>
      </w:r>
      <w:r>
        <w:rPr>
          <w:rFonts w:ascii="Arial" w:hAnsi="Arial" w:eastAsia="Arial"/>
          <w:b/>
          <w:i w:val="0"/>
          <w:color w:val="333333"/>
          <w:sz w:val="20"/>
        </w:rPr>
        <w:t xml:space="preserve">Languages: </w:t>
      </w:r>
      <w:r>
        <w:rPr>
          <w:rFonts w:ascii="Arial" w:hAnsi="Arial" w:eastAsia="Arial"/>
          <w:b w:val="0"/>
          <w:i w:val="0"/>
          <w:color w:val="666666"/>
          <w:sz w:val="20"/>
        </w:rPr>
        <w:t>English (Native/Fluent), Korean (Native)</w:t>
      </w:r>
    </w:p>
    <w:p>
      <w:pPr>
        <w:spacing w:before="0" w:after="40"/>
        <w:ind w:left="360" w:hanging="216"/>
      </w:pPr>
      <w:r>
        <w:rPr>
          <w:rFonts w:ascii="Arial" w:hAnsi="Arial" w:eastAsia="Arial"/>
          <w:b w:val="0"/>
          <w:i w:val="0"/>
          <w:color w:val="666666"/>
          <w:sz w:val="20"/>
        </w:rPr>
        <w:t xml:space="preserve">• </w:t>
      </w:r>
      <w:r>
        <w:rPr>
          <w:rFonts w:ascii="Arial" w:hAnsi="Arial" w:eastAsia="Arial"/>
          <w:b/>
          <w:i w:val="0"/>
          <w:color w:val="333333"/>
          <w:sz w:val="20"/>
        </w:rPr>
        <w:t xml:space="preserve">Tools &amp; Platforms: </w:t>
      </w:r>
      <w:r>
        <w:rPr>
          <w:rFonts w:ascii="Arial" w:hAnsi="Arial" w:eastAsia="Arial"/>
          <w:b w:val="0"/>
          <w:i w:val="0"/>
          <w:color w:val="666666"/>
          <w:sz w:val="20"/>
        </w:rPr>
        <w:t>Zendesk, Confluence, Slack, Google Workspace, GitHub, Jira, Notion</w:t>
      </w:r>
    </w:p>
    <w:p>
      <w:pPr>
        <w:spacing w:before="0" w:after="40"/>
        <w:ind w:left="360" w:hanging="216"/>
      </w:pPr>
      <w:r>
        <w:rPr>
          <w:rFonts w:ascii="Arial" w:hAnsi="Arial" w:eastAsia="Arial"/>
          <w:b w:val="0"/>
          <w:i w:val="0"/>
          <w:color w:val="666666"/>
          <w:sz w:val="20"/>
        </w:rPr>
        <w:t xml:space="preserve">• </w:t>
      </w:r>
      <w:r>
        <w:rPr>
          <w:rFonts w:ascii="Arial" w:hAnsi="Arial" w:eastAsia="Arial"/>
          <w:b/>
          <w:i w:val="0"/>
          <w:color w:val="333333"/>
          <w:sz w:val="20"/>
        </w:rPr>
        <w:t xml:space="preserve">Technical: </w:t>
      </w:r>
      <w:r>
        <w:rPr>
          <w:rFonts w:ascii="Arial" w:hAnsi="Arial" w:eastAsia="Arial"/>
          <w:b w:val="0"/>
          <w:i w:val="0"/>
          <w:color w:val="666666"/>
          <w:sz w:val="20"/>
        </w:rPr>
        <w:t>Python 자동화(pandas, openpyxl, API 연동), AI/LLM 활용(Claude API, Prompt Engineering), 데이터 분석 파이프라인 구축, CI/CD(GitHub Actions)</w:t>
      </w:r>
    </w:p>
    <w:p>
      <w:pPr>
        <w:spacing w:before="0" w:after="40"/>
        <w:ind w:left="360" w:hanging="216"/>
      </w:pPr>
      <w:r>
        <w:rPr>
          <w:rFonts w:ascii="Arial" w:hAnsi="Arial" w:eastAsia="Arial"/>
          <w:b w:val="0"/>
          <w:i w:val="0"/>
          <w:color w:val="666666"/>
          <w:sz w:val="20"/>
        </w:rPr>
        <w:t xml:space="preserve">• </w:t>
      </w:r>
      <w:r>
        <w:rPr>
          <w:rFonts w:ascii="Arial" w:hAnsi="Arial" w:eastAsia="Arial"/>
          <w:b/>
          <w:i w:val="0"/>
          <w:color w:val="333333"/>
          <w:sz w:val="20"/>
        </w:rPr>
        <w:t xml:space="preserve">Domain Expertise: </w:t>
      </w:r>
      <w:r>
        <w:rPr>
          <w:rFonts w:ascii="Arial" w:hAnsi="Arial" w:eastAsia="Arial"/>
          <w:b w:val="0"/>
          <w:i w:val="0"/>
          <w:color w:val="666666"/>
          <w:sz w:val="20"/>
        </w:rPr>
        <w:t>PG 운영·파트너십, 크로스보더 결제, AML/KYC, FDS, 블록체인, 글로벌 CS 운영, IP/저작권 보호, 차지백 소명</w:t>
      </w:r>
    </w:p>
    <w:p>
      <w:pPr>
        <w:spacing w:before="0" w:after="40"/>
        <w:ind w:left="360" w:hanging="216"/>
      </w:pPr>
      <w:r>
        <w:rPr>
          <w:rFonts w:ascii="Arial" w:hAnsi="Arial" w:eastAsia="Arial"/>
          <w:b w:val="0"/>
          <w:i w:val="0"/>
          <w:color w:val="666666"/>
          <w:sz w:val="20"/>
        </w:rPr>
        <w:t xml:space="preserve">• </w:t>
      </w:r>
      <w:r>
        <w:rPr>
          <w:rFonts w:ascii="Arial" w:hAnsi="Arial" w:eastAsia="Arial"/>
          <w:b/>
          <w:i w:val="0"/>
          <w:color w:val="333333"/>
          <w:sz w:val="20"/>
        </w:rPr>
        <w:t xml:space="preserve">Military: </w:t>
      </w:r>
      <w:r>
        <w:rPr>
          <w:rFonts w:ascii="Arial" w:hAnsi="Arial" w:eastAsia="Arial"/>
          <w:b w:val="0"/>
          <w:i w:val="0"/>
          <w:color w:val="666666"/>
          <w:sz w:val="20"/>
        </w:rPr>
        <w:t>병역 의무 완료 (2012.10 ~ 2014.07)</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