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i w:val="0"/>
          <w:color w:val="1B3A5C"/>
          <w:sz w:val="40"/>
        </w:rPr>
        <w:t>CHONGSUN YU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color w:val="666666"/>
          <w:sz w:val="20"/>
        </w:rPr>
        <w:t>+82-10-4167-0856</w:t>
      </w:r>
      <w:r>
        <w:rPr>
          <w:rFonts w:ascii="Arial" w:hAnsi="Arial" w:eastAsia="Arial"/>
          <w:b w:val="0"/>
          <w:i w:val="0"/>
          <w:color w:val="AAAAAA"/>
          <w:sz w:val="20"/>
        </w:rPr>
        <w:t xml:space="preserve">  |  </w:t>
      </w:r>
      <w:r>
        <w:rPr>
          <w:rFonts w:ascii="Arial" w:hAnsi="Arial" w:eastAsia="Arial"/>
          <w:b w:val="0"/>
          <w:i w:val="0"/>
          <w:color w:val="2E75B6"/>
          <w:sz w:val="20"/>
        </w:rPr>
        <w:t>madgegja@gmail.com</w:t>
      </w:r>
    </w:p>
    <w:p>
      <w:pPr>
        <w:spacing w:before="40" w:after="80"/>
        <w:pBdr>
          <w:bottom w:val="single" w:sz="4" w:space="1" w:color="2E75B6"/>
        </w:pBdr>
      </w:pPr>
    </w:p>
    <w:p>
      <w:pPr>
        <w:spacing w:before="80" w:after="80"/>
      </w:pPr>
      <w:r>
        <w:rPr>
          <w:rFonts w:ascii="Arial" w:hAnsi="Arial" w:eastAsia="Arial"/>
          <w:b/>
          <w:i w:val="0"/>
          <w:color w:val="1B3A5C"/>
          <w:sz w:val="26"/>
        </w:rPr>
        <w:t>PROFILE</w:t>
      </w:r>
    </w:p>
    <w:p>
      <w:pPr>
        <w:spacing w:before="0" w:after="120" w:line="300" w:lineRule="exact"/>
      </w:pPr>
      <w:r>
        <w:rPr>
          <w:rFonts w:ascii="Arial" w:hAnsi="Arial" w:eastAsia="Arial"/>
          <w:b w:val="0"/>
          <w:i w:val="0"/>
          <w:color w:val="333333"/>
          <w:sz w:val="20"/>
        </w:rPr>
        <w:t>Operations leader with 12+ years of experience spanning payment gateway management, fintech, and global platform operations across Korea, Thailand, and Australia. Built and scaled cross-border payment infrastructures, launched new revenue-generating services, and established PG platforms from the ground up in Southeast Asia. Currently leading BizOps at Toomics Global — simultaneously overseeing payment operations, multilingual customer support (10 languages), and IP protection across 10 international markets, while driving operational efficiency through AI-powered automation and data-driven decision-making.</w:t>
      </w:r>
    </w:p>
    <w:p>
      <w:pPr>
        <w:spacing w:before="40" w:after="80"/>
        <w:pBdr>
          <w:bottom w:val="single" w:sz="4" w:space="1" w:color="2E75B6"/>
        </w:pBdr>
      </w:pPr>
    </w:p>
    <w:p>
      <w:pPr>
        <w:spacing w:before="80" w:after="120"/>
      </w:pPr>
      <w:r>
        <w:rPr>
          <w:rFonts w:ascii="Arial" w:hAnsi="Arial" w:eastAsia="Arial"/>
          <w:b/>
          <w:i w:val="0"/>
          <w:color w:val="1B3A5C"/>
          <w:sz w:val="26"/>
        </w:rPr>
        <w:t>EXPERIENCE</w:t>
      </w:r>
    </w:p>
    <w:p>
      <w:pPr>
        <w:spacing w:before="0" w:after="0"/>
      </w:pPr>
      <w:r>
        <w:rPr>
          <w:rFonts w:ascii="Arial" w:hAnsi="Arial" w:eastAsia="Arial"/>
          <w:b/>
          <w:i w:val="0"/>
          <w:color w:val="333333"/>
          <w:sz w:val="23"/>
        </w:rPr>
        <w:t>Toomics Global</w:t>
      </w:r>
    </w:p>
    <w:p>
      <w:pPr>
        <w:spacing w:before="0" w:after="0"/>
      </w:pPr>
      <w:r>
        <w:rPr>
          <w:rFonts w:ascii="Arial" w:hAnsi="Arial" w:eastAsia="Arial"/>
          <w:b w:val="0"/>
          <w:i w:val="0"/>
          <w:color w:val="666666"/>
          <w:sz w:val="20"/>
        </w:rPr>
        <w:t>Seoul, South Korea</w:t>
      </w:r>
      <w:r>
        <w:rPr>
          <w:rFonts w:ascii="Arial" w:hAnsi="Arial" w:eastAsia="Arial"/>
          <w:b w:val="0"/>
          <w:i w:val="0"/>
          <w:color w:val="AAAAAA"/>
          <w:sz w:val="20"/>
        </w:rPr>
        <w:t xml:space="preserve">  |  </w:t>
      </w:r>
      <w:r>
        <w:rPr>
          <w:rFonts w:ascii="Arial" w:hAnsi="Arial" w:eastAsia="Arial"/>
          <w:b w:val="0"/>
          <w:i w:val="0"/>
          <w:color w:val="666666"/>
          <w:sz w:val="20"/>
        </w:rPr>
      </w:r>
    </w:p>
    <w:p>
      <w:pPr>
        <w:spacing w:before="20" w:after="20"/>
      </w:pPr>
      <w:r>
        <w:rPr>
          <w:rFonts w:ascii="Arial" w:hAnsi="Arial" w:eastAsia="Arial"/>
          <w:b/>
          <w:i w:val="0"/>
          <w:color w:val="2E75B6"/>
          <w:sz w:val="21"/>
        </w:rPr>
        <w:t>Team Lead, BizOps (Global Platform Operations)</w:t>
      </w:r>
      <w:r>
        <w:rPr>
          <w:rFonts w:ascii="Arial" w:hAnsi="Arial" w:eastAsia="Arial"/>
          <w:b w:val="0"/>
          <w:i w:val="0"/>
          <w:color w:val="666666"/>
          <w:sz w:val="20"/>
        </w:rPr>
        <w:t xml:space="preserve">  |  Jun 2024 – Present</w:t>
      </w:r>
    </w:p>
    <w:p>
      <w:pPr>
        <w:spacing w:before="0" w:after="60" w:line="280" w:lineRule="exact"/>
      </w:pPr>
      <w:r>
        <w:rPr>
          <w:rFonts w:ascii="Arial" w:hAnsi="Arial" w:eastAsia="Arial"/>
          <w:b w:val="0"/>
          <w:i/>
          <w:color w:val="333333"/>
          <w:sz w:val="20"/>
        </w:rPr>
        <w:t>Leading a team of 4 across three core functions — payment, customer support, and IP protection — for a webtoon platform operating in 10 international markets.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Drive payment gateway partnerships and contract negotiations with domestic and international PG providers (Eximbay, PayPal, Stripe), expanding payment coverage across global markets.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Systematize chargeback dispute processes by building per-gateway evidence templates and response manuals, improving dispute win rates.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Design and deploy AI Agent-based CS data pipeline — automating the entire workflow from Zendesk raw data extraction to weekly report generation, significantly reducing reporting turnaround time.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Enhance Zendesk-based CS operations with 80+ multilingual response templates across 17 categories and establish standardized handling procedures for each category.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Manage 1,500+ monthly multilingual tickets (10 languages), leveraging data analysis to identify recurring issue patterns and drive root-cause improvements.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Establish copyright infringement monitoring and DMCA/UDRP response frameworks to systematize IP protection for original creative content.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Build Confluence-based operational manuals (CS, chargeback, IP) and GitHub-managed automation scripts for cross-market operational consistency.</w:t>
      </w:r>
    </w:p>
    <w:p>
      <w:pPr>
        <w:spacing w:before="0" w:after="80"/>
      </w:pPr>
    </w:p>
    <w:p>
      <w:pPr>
        <w:spacing w:before="0" w:after="0"/>
      </w:pPr>
      <w:r>
        <w:rPr>
          <w:rFonts w:ascii="Arial" w:hAnsi="Arial" w:eastAsia="Arial"/>
          <w:b/>
          <w:i w:val="0"/>
          <w:color w:val="333333"/>
          <w:sz w:val="23"/>
        </w:rPr>
        <w:t>NX3 Games</w:t>
      </w:r>
    </w:p>
    <w:p>
      <w:pPr>
        <w:spacing w:before="0" w:after="0"/>
      </w:pPr>
      <w:r>
        <w:rPr>
          <w:rFonts w:ascii="Arial" w:hAnsi="Arial" w:eastAsia="Arial"/>
          <w:b w:val="0"/>
          <w:i w:val="0"/>
          <w:color w:val="666666"/>
          <w:sz w:val="20"/>
        </w:rPr>
        <w:t>Seoul, South Korea</w:t>
      </w:r>
      <w:r>
        <w:rPr>
          <w:rFonts w:ascii="Arial" w:hAnsi="Arial" w:eastAsia="Arial"/>
          <w:b w:val="0"/>
          <w:i w:val="0"/>
          <w:color w:val="AAAAAA"/>
          <w:sz w:val="20"/>
        </w:rPr>
        <w:t xml:space="preserve">  |  </w:t>
      </w:r>
      <w:r>
        <w:rPr>
          <w:rFonts w:ascii="Arial" w:hAnsi="Arial" w:eastAsia="Arial"/>
          <w:b w:val="0"/>
          <w:i w:val="0"/>
          <w:color w:val="666666"/>
          <w:sz w:val="20"/>
        </w:rPr>
      </w:r>
    </w:p>
    <w:p>
      <w:pPr>
        <w:spacing w:before="20" w:after="20"/>
      </w:pPr>
      <w:r>
        <w:rPr>
          <w:rFonts w:ascii="Arial" w:hAnsi="Arial" w:eastAsia="Arial"/>
          <w:b/>
          <w:i w:val="0"/>
          <w:color w:val="2E75B6"/>
          <w:sz w:val="21"/>
        </w:rPr>
        <w:t>Part Lead, Blockchain Business</w:t>
      </w:r>
      <w:r>
        <w:rPr>
          <w:rFonts w:ascii="Arial" w:hAnsi="Arial" w:eastAsia="Arial"/>
          <w:b w:val="0"/>
          <w:i w:val="0"/>
          <w:color w:val="666666"/>
          <w:sz w:val="20"/>
        </w:rPr>
        <w:t xml:space="preserve">  |  Jan 2022 – Nov 2023</w:t>
      </w:r>
    </w:p>
    <w:p>
      <w:pPr>
        <w:spacing w:before="0" w:after="60" w:line="280" w:lineRule="exact"/>
      </w:pPr>
      <w:r>
        <w:rPr>
          <w:rFonts w:ascii="Arial" w:hAnsi="Arial" w:eastAsia="Arial"/>
          <w:b w:val="0"/>
          <w:i/>
          <w:color w:val="333333"/>
          <w:sz w:val="20"/>
        </w:rPr>
        <w:t>Owned end-to-end planning, partnerships, and payment integration for blockchain gaming, building Web3 business models within the gaming industry.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Designed NFT, token, and Play-to-Earn (P2E) mechanics for MMORPG "Rohan M," rebuilding it as blockchain game "Avatara" and completing global launch in January 2023.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Secured multi-channel payment infrastructure: Xsolla for PC in-app payments and Binance Pay for web-based blockchain transactions, improving user accessibility.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Analyzed Klaytn network constraints to architect seamless in-app and web payment experiences, resolving global user payment friction.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Established international remittance and settlement framework with OTC partners and domestic VAN providers, ensuring stable fund flows for overseas subsidiary revenue.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Led Seed round fundraising, closing 100% of allocated investment (10%) from VCs and strategic partners, securing marketing and operational capital.</w:t>
      </w:r>
    </w:p>
    <w:p>
      <w:pPr>
        <w:spacing w:before="0" w:after="80"/>
      </w:pPr>
    </w:p>
    <w:p>
      <w:pPr>
        <w:spacing w:before="0" w:after="0"/>
      </w:pPr>
      <w:r>
        <w:rPr>
          <w:rFonts w:ascii="Arial" w:hAnsi="Arial" w:eastAsia="Arial"/>
          <w:b/>
          <w:i w:val="0"/>
          <w:color w:val="333333"/>
          <w:sz w:val="23"/>
        </w:rPr>
        <w:t>NHN KCP</w:t>
      </w:r>
    </w:p>
    <w:p>
      <w:pPr>
        <w:spacing w:before="0" w:after="0"/>
      </w:pPr>
      <w:r>
        <w:rPr>
          <w:rFonts w:ascii="Arial" w:hAnsi="Arial" w:eastAsia="Arial"/>
          <w:b w:val="0"/>
          <w:i w:val="0"/>
          <w:color w:val="666666"/>
          <w:sz w:val="20"/>
        </w:rPr>
        <w:t>Seoul, South Korea</w:t>
      </w:r>
      <w:r>
        <w:rPr>
          <w:rFonts w:ascii="Arial" w:hAnsi="Arial" w:eastAsia="Arial"/>
          <w:b w:val="0"/>
          <w:i w:val="0"/>
          <w:color w:val="AAAAAA"/>
          <w:sz w:val="20"/>
        </w:rPr>
        <w:t xml:space="preserve">  |  </w:t>
      </w:r>
      <w:r>
        <w:rPr>
          <w:rFonts w:ascii="Arial" w:hAnsi="Arial" w:eastAsia="Arial"/>
          <w:b w:val="0"/>
          <w:i w:val="0"/>
          <w:color w:val="666666"/>
          <w:sz w:val="20"/>
        </w:rPr>
      </w:r>
    </w:p>
    <w:p>
      <w:pPr>
        <w:spacing w:before="20" w:after="20"/>
      </w:pPr>
      <w:r>
        <w:rPr>
          <w:rFonts w:ascii="Arial" w:hAnsi="Arial" w:eastAsia="Arial"/>
          <w:b/>
          <w:i w:val="0"/>
          <w:color w:val="2E75B6"/>
          <w:sz w:val="21"/>
        </w:rPr>
        <w:t>Part Lead, International Business</w:t>
      </w:r>
      <w:r>
        <w:rPr>
          <w:rFonts w:ascii="Arial" w:hAnsi="Arial" w:eastAsia="Arial"/>
          <w:b w:val="0"/>
          <w:i w:val="0"/>
          <w:color w:val="666666"/>
          <w:sz w:val="20"/>
        </w:rPr>
        <w:t xml:space="preserve">  |  Nov 2019 – Dec 2021</w:t>
      </w:r>
    </w:p>
    <w:p>
      <w:pPr>
        <w:spacing w:before="0" w:after="60" w:line="280" w:lineRule="exact"/>
      </w:pPr>
      <w:r>
        <w:rPr>
          <w:rFonts w:ascii="Arial" w:hAnsi="Arial" w:eastAsia="Arial"/>
          <w:b w:val="0"/>
          <w:i/>
          <w:color w:val="333333"/>
          <w:sz w:val="20"/>
        </w:rPr>
        <w:t>Managed the international payment partner ecosystem and led new cross-border payment services from planning through commercialization.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Oversaw sales, contracts, and operations for 10+ global payment partners including Visa Cybersource, Tencent, JP Morgan, WorldPay, and Rapyd — handling fee negotiations and cross-platform integrations.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Negotiated acquiring costs and managed fraud/settlement operations for 5 major card brands (Visa, Mastercard, AMEX, UnionPay, JCB).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Launched cross-border bulk remittance service using USD virtual accounts, creating a new revenue stream and achieving partner lock-in effect.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Planned and commercialized offline WeChat QR payment system through Tencent partnership, addressing the Chinese tourist market in Korea.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Explored Web3 opportunity: designed an SME data analytics platform on Filecoin Plus distributed storage, securing 50 TiB weekly datacap approval.</w:t>
      </w:r>
    </w:p>
    <w:p>
      <w:pPr>
        <w:spacing w:before="0" w:after="80"/>
      </w:pPr>
    </w:p>
    <w:p>
      <w:pPr>
        <w:spacing w:before="0" w:after="0"/>
      </w:pPr>
      <w:r>
        <w:rPr>
          <w:rFonts w:ascii="Arial" w:hAnsi="Arial" w:eastAsia="Arial"/>
          <w:b/>
          <w:i w:val="0"/>
          <w:color w:val="333333"/>
          <w:sz w:val="23"/>
        </w:rPr>
        <w:t>Treepay Co., LTD (NHN KCP JV)</w:t>
      </w:r>
    </w:p>
    <w:p>
      <w:pPr>
        <w:spacing w:before="0" w:after="0"/>
      </w:pPr>
      <w:r>
        <w:rPr>
          <w:rFonts w:ascii="Arial" w:hAnsi="Arial" w:eastAsia="Arial"/>
          <w:b w:val="0"/>
          <w:i w:val="0"/>
          <w:color w:val="666666"/>
          <w:sz w:val="20"/>
        </w:rPr>
        <w:t>Bangkok, Thailand</w:t>
      </w:r>
      <w:r>
        <w:rPr>
          <w:rFonts w:ascii="Arial" w:hAnsi="Arial" w:eastAsia="Arial"/>
          <w:b w:val="0"/>
          <w:i w:val="0"/>
          <w:color w:val="AAAAAA"/>
          <w:sz w:val="20"/>
        </w:rPr>
        <w:t xml:space="preserve">  |  </w:t>
      </w:r>
      <w:r>
        <w:rPr>
          <w:rFonts w:ascii="Arial" w:hAnsi="Arial" w:eastAsia="Arial"/>
          <w:b w:val="0"/>
          <w:i w:val="0"/>
          <w:color w:val="666666"/>
          <w:sz w:val="20"/>
        </w:rPr>
      </w:r>
    </w:p>
    <w:p>
      <w:pPr>
        <w:spacing w:before="20" w:after="20"/>
      </w:pPr>
      <w:r>
        <w:rPr>
          <w:rFonts w:ascii="Arial" w:hAnsi="Arial" w:eastAsia="Arial"/>
          <w:b/>
          <w:i w:val="0"/>
          <w:color w:val="2E75B6"/>
          <w:sz w:val="21"/>
        </w:rPr>
        <w:t>Team Lead of IT / IT Director</w:t>
      </w:r>
      <w:r>
        <w:rPr>
          <w:rFonts w:ascii="Arial" w:hAnsi="Arial" w:eastAsia="Arial"/>
          <w:b w:val="0"/>
          <w:i w:val="0"/>
          <w:color w:val="666666"/>
          <w:sz w:val="20"/>
        </w:rPr>
        <w:t xml:space="preserve">  |  Jun 2015 – Nov 2019</w:t>
      </w:r>
    </w:p>
    <w:p>
      <w:pPr>
        <w:spacing w:before="0" w:after="60" w:line="280" w:lineRule="exact"/>
      </w:pPr>
      <w:r>
        <w:rPr>
          <w:rFonts w:ascii="Arial" w:hAnsi="Arial" w:eastAsia="Arial"/>
          <w:b w:val="0"/>
          <w:i/>
          <w:color w:val="333333"/>
          <w:sz w:val="20"/>
        </w:rPr>
        <w:t>Founding member of a 3-way joint venture (CAT Telecom × SK Telecom × NHN KCP), leading the full lifecycle of PG platform planning, development, and localization in Thailand. Based in Bangkok for 4.5 years.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Managed the complete project lifecycle — from entity incorporation, PG platform deployment, and licensing through to system operations and localization — building hands-on overseas subsidiary expertise.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Obtained critical regulatory approvals including Thai PG licenses (C3, C5), PCI-DSS certification, and Bank of Thailand licenses in collaboration with local legal and security consultants.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Analyzed Thailand's 4-party payment ecosystem (issuer, acquirer, brand network, PSP) and re-architected NHN KCP's core platform to comply with local standards.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Developed localized payment business models — card/installment processing, e-Wallet integration, and cash-based counter payment services — while leading partner acquisition and alliances.</w:t>
      </w:r>
    </w:p>
    <w:p>
      <w:pPr>
        <w:spacing w:before="0" w:after="80"/>
      </w:pPr>
    </w:p>
    <w:p>
      <w:pPr>
        <w:spacing w:before="0" w:after="0"/>
      </w:pPr>
      <w:r>
        <w:rPr>
          <w:rFonts w:ascii="Arial" w:hAnsi="Arial" w:eastAsia="Arial"/>
          <w:b/>
          <w:i w:val="0"/>
          <w:color w:val="333333"/>
          <w:sz w:val="23"/>
        </w:rPr>
        <w:t>NHN KCP</w:t>
      </w:r>
    </w:p>
    <w:p>
      <w:pPr>
        <w:spacing w:before="0" w:after="0"/>
      </w:pPr>
      <w:r>
        <w:rPr>
          <w:rFonts w:ascii="Arial" w:hAnsi="Arial" w:eastAsia="Arial"/>
          <w:b w:val="0"/>
          <w:i w:val="0"/>
          <w:color w:val="666666"/>
          <w:sz w:val="20"/>
        </w:rPr>
        <w:t>Seoul, South Korea</w:t>
      </w:r>
      <w:r>
        <w:rPr>
          <w:rFonts w:ascii="Arial" w:hAnsi="Arial" w:eastAsia="Arial"/>
          <w:b w:val="0"/>
          <w:i w:val="0"/>
          <w:color w:val="AAAAAA"/>
          <w:sz w:val="20"/>
        </w:rPr>
        <w:t xml:space="preserve">  |  </w:t>
      </w:r>
      <w:r>
        <w:rPr>
          <w:rFonts w:ascii="Arial" w:hAnsi="Arial" w:eastAsia="Arial"/>
          <w:b w:val="0"/>
          <w:i w:val="0"/>
          <w:color w:val="666666"/>
          <w:sz w:val="20"/>
        </w:rPr>
      </w:r>
    </w:p>
    <w:p>
      <w:pPr>
        <w:spacing w:before="20" w:after="20"/>
      </w:pPr>
      <w:r>
        <w:rPr>
          <w:rFonts w:ascii="Arial" w:hAnsi="Arial" w:eastAsia="Arial"/>
          <w:b/>
          <w:i w:val="0"/>
          <w:color w:val="2E75B6"/>
          <w:sz w:val="21"/>
        </w:rPr>
        <w:t>Account Manager, International Business</w:t>
      </w:r>
      <w:r>
        <w:rPr>
          <w:rFonts w:ascii="Arial" w:hAnsi="Arial" w:eastAsia="Arial"/>
          <w:b w:val="0"/>
          <w:i w:val="0"/>
          <w:color w:val="666666"/>
          <w:sz w:val="20"/>
        </w:rPr>
        <w:t xml:space="preserve">  |  Oct 2014 – Jun 2015</w:t>
      </w:r>
    </w:p>
    <w:p>
      <w:pPr>
        <w:spacing w:before="0" w:after="60" w:line="280" w:lineRule="exact"/>
      </w:pPr>
      <w:r>
        <w:rPr>
          <w:rFonts w:ascii="Arial" w:hAnsi="Arial" w:eastAsia="Arial"/>
          <w:b w:val="0"/>
          <w:i/>
          <w:color w:val="333333"/>
          <w:sz w:val="20"/>
        </w:rPr>
        <w:t>Managed global PG partner operations and spearheaded the introduction of a Fraud Detection System (FDS).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Managed Visa subsidiary Cybersource accounts and sub-merchants including OTAs, global fashion brands, and digital platforms.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Introduced Cybersource FDS "Decision Manager" for non-authenticated international card payments — achieving ~8x increase in successful monthly transactions on Gmarket Global (10K → 80K).</w:t>
      </w:r>
    </w:p>
    <w:p>
      <w:pPr>
        <w:spacing w:before="2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19"/>
        </w:rPr>
        <w:t xml:space="preserve">• </w:t>
      </w:r>
      <w:r>
        <w:rPr>
          <w:rFonts w:ascii="Arial" w:hAnsi="Arial" w:eastAsia="Arial"/>
          <w:b w:val="0"/>
          <w:i w:val="0"/>
          <w:color w:val="666666"/>
          <w:sz w:val="19"/>
        </w:rPr>
        <w:t>Built transaction monitoring frameworks and continuously optimized FDS rule sets, improving fraud detection accuracy.</w:t>
      </w:r>
    </w:p>
    <w:p>
      <w:pPr>
        <w:spacing w:before="40" w:after="80"/>
        <w:pBdr>
          <w:bottom w:val="single" w:sz="4" w:space="1" w:color="2E75B6"/>
        </w:pBdr>
      </w:pPr>
    </w:p>
    <w:p>
      <w:pPr>
        <w:spacing w:before="80" w:after="80"/>
      </w:pPr>
      <w:r>
        <w:rPr>
          <w:rFonts w:ascii="Arial" w:hAnsi="Arial" w:eastAsia="Arial"/>
          <w:b/>
          <w:i w:val="0"/>
          <w:color w:val="1B3A5C"/>
          <w:sz w:val="26"/>
        </w:rPr>
        <w:t>EDUCATION</w:t>
      </w:r>
    </w:p>
    <w:p>
      <w:pPr>
        <w:spacing w:before="0" w:after="0"/>
      </w:pPr>
      <w:r>
        <w:rPr>
          <w:rFonts w:ascii="Arial" w:hAnsi="Arial" w:eastAsia="Arial"/>
          <w:b/>
          <w:i w:val="0"/>
          <w:color w:val="333333"/>
          <w:sz w:val="22"/>
        </w:rPr>
        <w:t>Australian National University</w:t>
      </w:r>
    </w:p>
    <w:p>
      <w:pPr>
        <w:spacing w:before="0" w:after="0"/>
      </w:pPr>
      <w:r>
        <w:rPr>
          <w:rFonts w:ascii="Arial" w:hAnsi="Arial" w:eastAsia="Arial"/>
          <w:b w:val="0"/>
          <w:i w:val="0"/>
          <w:color w:val="666666"/>
          <w:sz w:val="20"/>
        </w:rPr>
        <w:t>Canberra, Australia</w:t>
      </w:r>
      <w:r>
        <w:rPr>
          <w:rFonts w:ascii="Arial" w:hAnsi="Arial" w:eastAsia="Arial"/>
          <w:b w:val="0"/>
          <w:i w:val="0"/>
          <w:color w:val="AAAAAA"/>
          <w:sz w:val="20"/>
        </w:rPr>
        <w:t xml:space="preserve">  |  </w:t>
      </w:r>
      <w:r>
        <w:rPr>
          <w:rFonts w:ascii="Arial" w:hAnsi="Arial" w:eastAsia="Arial"/>
          <w:b w:val="0"/>
          <w:i w:val="0"/>
          <w:color w:val="666666"/>
          <w:sz w:val="20"/>
        </w:rPr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color w:val="333333"/>
          <w:sz w:val="20"/>
        </w:rPr>
        <w:t>Bachelor of Commerce (Major in Finance)</w:t>
      </w:r>
      <w:r>
        <w:rPr>
          <w:rFonts w:ascii="Arial" w:hAnsi="Arial" w:eastAsia="Arial"/>
          <w:b w:val="0"/>
          <w:i w:val="0"/>
          <w:color w:val="666666"/>
          <w:sz w:val="20"/>
        </w:rPr>
        <w:t xml:space="preserve">  |  2007 – 2012</w:t>
      </w:r>
    </w:p>
    <w:p>
      <w:pPr>
        <w:spacing w:before="0" w:after="80"/>
      </w:pPr>
      <w:r>
        <w:rPr>
          <w:rFonts w:ascii="Arial" w:hAnsi="Arial" w:eastAsia="Arial"/>
          <w:b/>
          <w:i w:val="0"/>
          <w:color w:val="333333"/>
          <w:sz w:val="22"/>
        </w:rPr>
        <w:t>Port Hacking High School</w:t>
      </w:r>
      <w:r>
        <w:rPr>
          <w:rFonts w:ascii="Arial" w:hAnsi="Arial" w:eastAsia="Arial"/>
          <w:b w:val="0"/>
          <w:i w:val="0"/>
          <w:color w:val="666666"/>
          <w:sz w:val="20"/>
        </w:rPr>
        <w:t xml:space="preserve">  |  Sydney, Australia</w:t>
      </w:r>
      <w:r>
        <w:rPr>
          <w:rFonts w:ascii="Arial" w:hAnsi="Arial" w:eastAsia="Arial"/>
          <w:b w:val="0"/>
          <w:i w:val="0"/>
          <w:color w:val="666666"/>
          <w:sz w:val="20"/>
        </w:rPr>
        <w:t xml:space="preserve">  |  2002 – 2006</w:t>
      </w:r>
    </w:p>
    <w:p>
      <w:pPr>
        <w:spacing w:before="40" w:after="80"/>
        <w:pBdr>
          <w:bottom w:val="single" w:sz="4" w:space="1" w:color="2E75B6"/>
        </w:pBdr>
      </w:pPr>
    </w:p>
    <w:p>
      <w:pPr>
        <w:spacing w:before="80" w:after="80"/>
      </w:pPr>
      <w:r>
        <w:rPr>
          <w:rFonts w:ascii="Arial" w:hAnsi="Arial" w:eastAsia="Arial"/>
          <w:b/>
          <w:i w:val="0"/>
          <w:color w:val="1B3A5C"/>
          <w:sz w:val="26"/>
        </w:rPr>
        <w:t>SKILLS &amp; ADDITIONAL</w:t>
      </w:r>
    </w:p>
    <w:p>
      <w:pPr>
        <w:spacing w:before="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20"/>
        </w:rPr>
        <w:t xml:space="preserve">• </w:t>
      </w:r>
      <w:r>
        <w:rPr>
          <w:rFonts w:ascii="Arial" w:hAnsi="Arial" w:eastAsia="Arial"/>
          <w:b/>
          <w:i w:val="0"/>
          <w:color w:val="333333"/>
          <w:sz w:val="20"/>
        </w:rPr>
        <w:t xml:space="preserve">Languages: </w:t>
      </w:r>
      <w:r>
        <w:rPr>
          <w:rFonts w:ascii="Arial" w:hAnsi="Arial" w:eastAsia="Arial"/>
          <w:b w:val="0"/>
          <w:i w:val="0"/>
          <w:color w:val="666666"/>
          <w:sz w:val="20"/>
        </w:rPr>
        <w:t>English (Native/Fluent), Korean (Native)</w:t>
      </w:r>
    </w:p>
    <w:p>
      <w:pPr>
        <w:spacing w:before="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20"/>
        </w:rPr>
        <w:t xml:space="preserve">• </w:t>
      </w:r>
      <w:r>
        <w:rPr>
          <w:rFonts w:ascii="Arial" w:hAnsi="Arial" w:eastAsia="Arial"/>
          <w:b/>
          <w:i w:val="0"/>
          <w:color w:val="333333"/>
          <w:sz w:val="20"/>
        </w:rPr>
        <w:t xml:space="preserve">Tools &amp; Platforms: </w:t>
      </w:r>
      <w:r>
        <w:rPr>
          <w:rFonts w:ascii="Arial" w:hAnsi="Arial" w:eastAsia="Arial"/>
          <w:b w:val="0"/>
          <w:i w:val="0"/>
          <w:color w:val="666666"/>
          <w:sz w:val="20"/>
        </w:rPr>
        <w:t>Zendesk, Confluence, Slack, Google Workspace, GitHub, Jira, Notion</w:t>
      </w:r>
    </w:p>
    <w:p>
      <w:pPr>
        <w:spacing w:before="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20"/>
        </w:rPr>
        <w:t xml:space="preserve">• </w:t>
      </w:r>
      <w:r>
        <w:rPr>
          <w:rFonts w:ascii="Arial" w:hAnsi="Arial" w:eastAsia="Arial"/>
          <w:b/>
          <w:i w:val="0"/>
          <w:color w:val="333333"/>
          <w:sz w:val="20"/>
        </w:rPr>
        <w:t xml:space="preserve">Technical: </w:t>
      </w:r>
      <w:r>
        <w:rPr>
          <w:rFonts w:ascii="Arial" w:hAnsi="Arial" w:eastAsia="Arial"/>
          <w:b w:val="0"/>
          <w:i w:val="0"/>
          <w:color w:val="666666"/>
          <w:sz w:val="20"/>
        </w:rPr>
        <w:t>Python automation (pandas, openpyxl, API integrations), AI/LLM (Claude API, prompt engineering), data analytics pipelines, CI/CD (GitHub Actions)</w:t>
      </w:r>
    </w:p>
    <w:p>
      <w:pPr>
        <w:spacing w:before="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20"/>
        </w:rPr>
        <w:t xml:space="preserve">• </w:t>
      </w:r>
      <w:r>
        <w:rPr>
          <w:rFonts w:ascii="Arial" w:hAnsi="Arial" w:eastAsia="Arial"/>
          <w:b/>
          <w:i w:val="0"/>
          <w:color w:val="333333"/>
          <w:sz w:val="20"/>
        </w:rPr>
        <w:t xml:space="preserve">Domain Expertise: </w:t>
      </w:r>
      <w:r>
        <w:rPr>
          <w:rFonts w:ascii="Arial" w:hAnsi="Arial" w:eastAsia="Arial"/>
          <w:b w:val="0"/>
          <w:i w:val="0"/>
          <w:color w:val="666666"/>
          <w:sz w:val="20"/>
        </w:rPr>
        <w:t>Payment gateway operations &amp; partnerships, cross-border payments, AML/KYC, FDS, blockchain, global CS operations, IP/copyright protection, chargeback dispute management</w:t>
      </w:r>
    </w:p>
    <w:p>
      <w:pPr>
        <w:spacing w:before="0" w:after="40"/>
        <w:ind w:left="360" w:hanging="216"/>
      </w:pPr>
      <w:r>
        <w:rPr>
          <w:rFonts w:ascii="Arial" w:hAnsi="Arial" w:eastAsia="Arial"/>
          <w:b w:val="0"/>
          <w:i w:val="0"/>
          <w:color w:val="666666"/>
          <w:sz w:val="20"/>
        </w:rPr>
        <w:t xml:space="preserve">• </w:t>
      </w:r>
      <w:r>
        <w:rPr>
          <w:rFonts w:ascii="Arial" w:hAnsi="Arial" w:eastAsia="Arial"/>
          <w:b/>
          <w:i w:val="0"/>
          <w:color w:val="333333"/>
          <w:sz w:val="20"/>
        </w:rPr>
        <w:t xml:space="preserve">Military Service: </w:t>
      </w:r>
      <w:r>
        <w:rPr>
          <w:rFonts w:ascii="Arial" w:hAnsi="Arial" w:eastAsia="Arial"/>
          <w:b w:val="0"/>
          <w:i w:val="0"/>
          <w:color w:val="666666"/>
          <w:sz w:val="20"/>
        </w:rPr>
        <w:t>Republic of Korea Army, completed (Oct 2012 – Jul 2014)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