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Control Tower Project Report</w:t>
      </w:r>
    </w:p>
    <w:p>
      <w:pPr>
        <w:pStyle w:val="Heading1"/>
      </w:pPr>
      <w:r>
        <w:t>1. Business Problem</w:t>
      </w:r>
    </w:p>
    <w:p>
      <w:r>
        <w:t>Logistics operations lack visibility into shipment delays, leading to poor ETA accuracy and inefficiencies in supply chain decision-making.</w:t>
      </w:r>
    </w:p>
    <w:p>
      <w:pPr>
        <w:pStyle w:val="Heading1"/>
      </w:pPr>
      <w:r>
        <w:t>2. Solution Architecture</w:t>
      </w:r>
    </w:p>
    <w:p>
      <w:r>
        <w:t>Data is ingested from CSV files into PySpark, processed using distributed computing, aggregated for insights, exported as Parquet, and visualized in Power BI dashboards.</w:t>
      </w:r>
    </w:p>
    <w:p>
      <w:pPr>
        <w:pStyle w:val="Heading1"/>
      </w:pPr>
      <w:r>
        <w:t>3. Methodology</w:t>
      </w:r>
    </w:p>
    <w:p>
      <w:r>
        <w:t>Data was loaded using PySpark, delay_minutes calculated, aggregations performed (avg, max, min), and window functions used for running and rolling averages.</w:t>
      </w:r>
    </w:p>
    <w:p>
      <w:pPr>
        <w:pStyle w:val="Heading1"/>
      </w:pPr>
      <w:r>
        <w:t>4. Key Insights</w:t>
      </w:r>
    </w:p>
    <w:p>
      <w:r>
        <w:t>Route R2 shows highest delay (60 mins), while Route R1 averages 20 mins. Delay patterns indicate inconsistency across routes.</w:t>
      </w:r>
    </w:p>
    <w:p>
      <w:pPr>
        <w:pStyle w:val="Heading1"/>
      </w:pPr>
      <w:r>
        <w:t>5. Scalability</w:t>
      </w:r>
    </w:p>
    <w:p>
      <w:r>
        <w:t>Using PySpark allows horizontal scaling. The system can handle 10x–100x data by adding nodes, optimizing partitions, and reducing shuffle operations.</w:t>
      </w:r>
    </w:p>
    <w:p>
      <w:pPr>
        <w:pStyle w:val="Heading1"/>
      </w:pPr>
      <w:r>
        <w:t>6. Conclusion</w:t>
      </w:r>
    </w:p>
    <w:p>
      <w:r>
        <w:t>The solution improves logistics visibility and enables data-driven decisions to enhance delivery performance and ETA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