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>Diff b/w ODS and DW</w:t>
      </w:r>
    </w:p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>-----------------------------------</w:t>
      </w:r>
    </w:p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3366"/>
          <w:sz w:val="19"/>
          <w:szCs w:val="19"/>
        </w:rPr>
      </w:pPr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>We are working on our first data warehouse project and following this same learning curve, here is what we've learned about the differences:</w:t>
      </w:r>
    </w:p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</w:pPr>
    </w:p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3366"/>
          <w:sz w:val="19"/>
          <w:szCs w:val="19"/>
        </w:rPr>
      </w:pPr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>Your ODS takes the form of a typical normalized schema, the type we are used to with transactional systems.</w:t>
      </w:r>
    </w:p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</w:pPr>
    </w:p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3366"/>
          <w:sz w:val="19"/>
          <w:szCs w:val="19"/>
        </w:rPr>
      </w:pPr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 xml:space="preserve">The DW on the other hand is used to translate the data from the highly normalized ODS schema into the star/snowflake schema(s) that are typically used with DW analytics. In the DW you design fact tables that store the data elements to be reported on and associate </w:t>
      </w:r>
      <w:proofErr w:type="gramStart"/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>those fact table</w:t>
      </w:r>
      <w:proofErr w:type="gramEnd"/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 xml:space="preserve"> with various dimension tables that provide a hierarchy of how you will view the fact tables -for instance time: day/week/month/quarter/year is typically a dimension.</w:t>
      </w:r>
    </w:p>
    <w:p w:rsidR="009F5C55" w:rsidRDefault="009F5C55" w:rsidP="009F5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3366"/>
          <w:sz w:val="19"/>
          <w:szCs w:val="19"/>
        </w:rPr>
      </w:pPr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 xml:space="preserve">In short, the DW is just another way to </w:t>
      </w:r>
      <w:proofErr w:type="gramStart"/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>organized</w:t>
      </w:r>
      <w:proofErr w:type="gramEnd"/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 xml:space="preserve"> your DB in order to make it friendly for analytics. </w:t>
      </w:r>
      <w:proofErr w:type="gramStart"/>
      <w:r>
        <w:rPr>
          <w:rFonts w:ascii="Verdana" w:hAnsi="Verdana" w:cs="Arial"/>
          <w:color w:val="003366"/>
          <w:sz w:val="20"/>
          <w:szCs w:val="20"/>
          <w:bdr w:val="none" w:sz="0" w:space="0" w:color="auto" w:frame="1"/>
        </w:rPr>
        <w:t>Hope that helps.</w:t>
      </w:r>
      <w:proofErr w:type="gramEnd"/>
    </w:p>
    <w:p w:rsidR="00065941" w:rsidRDefault="009F5C55"/>
    <w:p w:rsidR="009F5C55" w:rsidRDefault="009F5C55">
      <w:r>
        <w:rPr>
          <w:rFonts w:ascii="Arial" w:hAnsi="Arial" w:cs="Arial"/>
          <w:color w:val="003366"/>
          <w:sz w:val="19"/>
          <w:szCs w:val="19"/>
          <w:shd w:val="clear" w:color="auto" w:fill="FFFFFF"/>
        </w:rPr>
        <w:t xml:space="preserve">ODS is the part of data warehouse </w:t>
      </w:r>
      <w:proofErr w:type="spellStart"/>
      <w:r>
        <w:rPr>
          <w:rFonts w:ascii="Arial" w:hAnsi="Arial" w:cs="Arial"/>
          <w:color w:val="003366"/>
          <w:sz w:val="19"/>
          <w:szCs w:val="19"/>
          <w:shd w:val="clear" w:color="auto" w:fill="FFFFFF"/>
        </w:rPr>
        <w:t>architecture.where</w:t>
      </w:r>
      <w:proofErr w:type="spellEnd"/>
      <w:r>
        <w:rPr>
          <w:rFonts w:ascii="Arial" w:hAnsi="Arial" w:cs="Arial"/>
          <w:color w:val="003366"/>
          <w:sz w:val="19"/>
          <w:szCs w:val="19"/>
          <w:shd w:val="clear" w:color="auto" w:fill="FFFFFF"/>
        </w:rPr>
        <w:t xml:space="preserve"> you are collecting and integrating the data and ensures the completeness and accuracy of the </w:t>
      </w:r>
      <w:proofErr w:type="spellStart"/>
      <w:r>
        <w:rPr>
          <w:rFonts w:ascii="Arial" w:hAnsi="Arial" w:cs="Arial"/>
          <w:color w:val="003366"/>
          <w:sz w:val="19"/>
          <w:szCs w:val="19"/>
          <w:shd w:val="clear" w:color="auto" w:fill="FFFFFF"/>
        </w:rPr>
        <w:t>data,and</w:t>
      </w:r>
      <w:proofErr w:type="spellEnd"/>
      <w:r>
        <w:rPr>
          <w:rFonts w:ascii="Arial" w:hAnsi="Arial" w:cs="Arial"/>
          <w:color w:val="003366"/>
          <w:sz w:val="19"/>
          <w:szCs w:val="19"/>
          <w:shd w:val="clear" w:color="auto" w:fill="FFFFFF"/>
        </w:rPr>
        <w:t xml:space="preserve"> it provides the near data of warehouse data, it is like "Instant mix food" for hungry people:-D. ODS provides the data for impatient business analyst for analysis. </w:t>
      </w:r>
      <w:bookmarkStart w:id="0" w:name="_GoBack"/>
      <w:bookmarkEnd w:id="0"/>
    </w:p>
    <w:p w:rsidR="009F5C55" w:rsidRDefault="009F5C55"/>
    <w:sectPr w:rsidR="009F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55"/>
    <w:rsid w:val="00183972"/>
    <w:rsid w:val="00513AD0"/>
    <w:rsid w:val="009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2017-07-29T04:39:00Z</dcterms:created>
  <dcterms:modified xsi:type="dcterms:W3CDTF">2017-07-29T04:40:00Z</dcterms:modified>
</cp:coreProperties>
</file>